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380365</wp:posOffset>
            </wp:positionV>
            <wp:extent cx="72726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394335</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50165</wp:posOffset>
            </wp:positionV>
            <wp:extent cx="14516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1610" cy="6985"/>
                    </a:xfrm>
                    <a:prstGeom prst="rect">
                      <a:avLst/>
                    </a:prstGeom>
                    <a:noFill/>
                  </pic:spPr>
                </pic:pic>
              </a:graphicData>
            </a:graphic>
          </wp:anchor>
        </w:drawing>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73025</wp:posOffset>
            </wp:positionV>
            <wp:extent cx="14516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1610" cy="6985"/>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fiscal year ended December 31, 2015</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61"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20" w:top="667" w:right="279" w:bottom="1440" w:gutter="0" w:footer="0" w:header="0"/>
        </w:sectPr>
      </w:pPr>
    </w:p>
    <w:p>
      <w:pPr>
        <w:spacing w:after="0" w:line="76" w:lineRule="exact"/>
        <w:rPr>
          <w:sz w:val="24"/>
          <w:szCs w:val="24"/>
          <w:color w:val="auto"/>
        </w:rPr>
      </w:pPr>
    </w:p>
    <w:p>
      <w:pPr>
        <w:ind w:left="446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81" w:lineRule="exact"/>
        <w:rPr>
          <w:sz w:val="24"/>
          <w:szCs w:val="24"/>
          <w:color w:val="auto"/>
        </w:rPr>
      </w:pPr>
    </w:p>
    <w:p>
      <w:pPr>
        <w:sectPr>
          <w:pgSz w:w="11900" w:h="16838" w:orient="portrait"/>
          <w:cols w:equalWidth="0" w:num="2">
            <w:col w:w="6160" w:space="380"/>
            <w:col w:w="4860"/>
          </w:cols>
          <w:pgMar w:left="220" w:top="667" w:right="279" w:bottom="1440" w:gutter="0" w:footer="0" w:header="0"/>
          <w:type w:val="continuous"/>
        </w:sectPr>
      </w:pPr>
    </w:p>
    <w:p>
      <w:pPr>
        <w:jc w:val="center"/>
        <w:ind w:right="-79"/>
        <w:spacing w:after="0"/>
        <w:rPr>
          <w:sz w:val="20"/>
          <w:szCs w:val="20"/>
          <w:color w:val="auto"/>
        </w:rPr>
      </w:pPr>
      <w:r>
        <w:rPr>
          <w:rFonts w:ascii="Arial" w:cs="Arial" w:eastAsia="Arial" w:hAnsi="Arial"/>
          <w:sz w:val="11"/>
          <w:szCs w:val="11"/>
          <w:b w:val="1"/>
          <w:bCs w:val="1"/>
          <w:color w:val="auto"/>
        </w:rPr>
        <w:t>Commission File Number: 001-37465</w:t>
      </w:r>
    </w:p>
    <w:p>
      <w:pPr>
        <w:sectPr>
          <w:pgSz w:w="11900" w:h="16838" w:orient="portrait"/>
          <w:cols w:equalWidth="0" w:num="1">
            <w:col w:w="11400"/>
          </w:cols>
          <w:pgMar w:left="220" w:top="667" w:right="27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383"/>
        </w:trPr>
        <w:tc>
          <w:tcPr>
            <w:tcW w:w="4600" w:type="dxa"/>
            <w:vAlign w:val="bottom"/>
          </w:tcPr>
          <w:p>
            <w:pPr>
              <w:ind w:left="4020"/>
              <w:spacing w:after="0"/>
              <w:rPr>
                <w:sz w:val="20"/>
                <w:szCs w:val="20"/>
                <w:color w:val="auto"/>
              </w:rPr>
            </w:pPr>
            <w:r>
              <w:rPr>
                <w:rFonts w:ascii="Arial" w:cs="Arial" w:eastAsia="Arial" w:hAnsi="Arial"/>
                <w:sz w:val="29"/>
                <w:szCs w:val="29"/>
                <w:b w:val="1"/>
                <w:bCs w:val="1"/>
                <w:color w:val="auto"/>
                <w:w w:val="70"/>
              </w:rPr>
              <w:t>Seres</w:t>
            </w:r>
          </w:p>
        </w:tc>
        <w:tc>
          <w:tcPr>
            <w:tcW w:w="2280" w:type="dxa"/>
            <w:vAlign w:val="bottom"/>
            <w:tcBorders>
              <w:top w:val="single" w:sz="8" w:color="auto"/>
            </w:tcBorders>
            <w:gridSpan w:val="2"/>
          </w:tcPr>
          <w:p>
            <w:pPr>
              <w:ind w:left="260"/>
              <w:spacing w:after="0" w:line="383" w:lineRule="exact"/>
              <w:rPr>
                <w:sz w:val="20"/>
                <w:szCs w:val="20"/>
                <w:color w:val="auto"/>
              </w:rPr>
            </w:pPr>
            <w:r>
              <w:rPr>
                <w:rFonts w:ascii="Arial" w:cs="Arial" w:eastAsia="Arial" w:hAnsi="Arial"/>
                <w:sz w:val="34"/>
                <w:szCs w:val="34"/>
                <w:b w:val="1"/>
                <w:bCs w:val="1"/>
                <w:color w:val="auto"/>
                <w:w w:val="90"/>
              </w:rPr>
              <w:t>Therapeutics,</w:t>
            </w:r>
          </w:p>
        </w:tc>
        <w:tc>
          <w:tcPr>
            <w:tcW w:w="4400" w:type="dxa"/>
            <w:vAlign w:val="bottom"/>
            <w:gridSpan w:val="2"/>
          </w:tcPr>
          <w:p>
            <w:pPr>
              <w:ind w:left="20"/>
              <w:spacing w:after="0" w:line="383" w:lineRule="exact"/>
              <w:rPr>
                <w:sz w:val="20"/>
                <w:szCs w:val="20"/>
                <w:color w:val="auto"/>
              </w:rPr>
            </w:pPr>
            <w:r>
              <w:rPr>
                <w:rFonts w:ascii="Arial" w:cs="Arial" w:eastAsia="Arial" w:hAnsi="Arial"/>
                <w:sz w:val="34"/>
                <w:szCs w:val="34"/>
                <w:b w:val="1"/>
                <w:bCs w:val="1"/>
                <w:color w:val="auto"/>
              </w:rPr>
              <w:t>Inc.</w:t>
            </w:r>
          </w:p>
        </w:tc>
        <w:tc>
          <w:tcPr>
            <w:tcW w:w="0" w:type="dxa"/>
            <w:vAlign w:val="bottom"/>
          </w:tcPr>
          <w:p>
            <w:pPr>
              <w:spacing w:after="0"/>
              <w:rPr>
                <w:sz w:val="1"/>
                <w:szCs w:val="1"/>
                <w:color w:val="auto"/>
              </w:rPr>
            </w:pPr>
          </w:p>
        </w:tc>
      </w:tr>
      <w:tr>
        <w:trPr>
          <w:trHeight w:val="169"/>
        </w:trPr>
        <w:tc>
          <w:tcPr>
            <w:tcW w:w="7260" w:type="dxa"/>
            <w:vAlign w:val="bottom"/>
            <w:gridSpan w:val="4"/>
          </w:tcPr>
          <w:p>
            <w:pPr>
              <w:jc w:val="center"/>
              <w:ind w:left="4151"/>
              <w:spacing w:after="0"/>
              <w:rPr>
                <w:sz w:val="20"/>
                <w:szCs w:val="20"/>
                <w:color w:val="auto"/>
              </w:rPr>
            </w:pPr>
            <w:r>
              <w:rPr>
                <w:rFonts w:ascii="Arial" w:cs="Arial" w:eastAsia="Arial" w:hAnsi="Arial"/>
                <w:sz w:val="13"/>
                <w:szCs w:val="13"/>
                <w:b w:val="1"/>
                <w:bCs w:val="1"/>
                <w:color w:val="auto"/>
                <w:w w:val="92"/>
              </w:rPr>
              <w:t>(Exact Name of Registrant as Specified in Its Charter)</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60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jc w:val="center"/>
              <w:ind w:right="1012"/>
              <w:spacing w:after="0"/>
              <w:rPr>
                <w:sz w:val="20"/>
                <w:szCs w:val="20"/>
                <w:color w:val="auto"/>
              </w:rPr>
            </w:pPr>
            <w:r>
              <w:rPr>
                <w:rFonts w:ascii="Arial" w:cs="Arial" w:eastAsia="Arial" w:hAnsi="Arial"/>
                <w:sz w:val="13"/>
                <w:szCs w:val="13"/>
                <w:b w:val="1"/>
                <w:bCs w:val="1"/>
                <w:color w:val="auto"/>
                <w:w w:val="91"/>
              </w:rPr>
              <w:t>Delaware</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tcPr>
          <w:p>
            <w:pPr>
              <w:jc w:val="right"/>
              <w:ind w:right="2238"/>
              <w:spacing w:after="0"/>
              <w:rPr>
                <w:sz w:val="20"/>
                <w:szCs w:val="20"/>
                <w:color w:val="auto"/>
              </w:rPr>
            </w:pPr>
            <w:r>
              <w:rPr>
                <w:rFonts w:ascii="Arial" w:cs="Arial" w:eastAsia="Arial" w:hAnsi="Arial"/>
                <w:sz w:val="13"/>
                <w:szCs w:val="13"/>
                <w:b w:val="1"/>
                <w:bCs w:val="1"/>
                <w:color w:val="231F20"/>
              </w:rPr>
              <w:t>27-4326290</w:t>
            </w:r>
          </w:p>
        </w:tc>
        <w:tc>
          <w:tcPr>
            <w:tcW w:w="0" w:type="dxa"/>
            <w:vAlign w:val="bottom"/>
          </w:tcPr>
          <w:p>
            <w:pPr>
              <w:spacing w:after="0"/>
              <w:rPr>
                <w:sz w:val="1"/>
                <w:szCs w:val="1"/>
                <w:color w:val="auto"/>
              </w:rPr>
            </w:pPr>
          </w:p>
        </w:tc>
      </w:tr>
      <w:tr>
        <w:trPr>
          <w:trHeight w:val="120"/>
        </w:trPr>
        <w:tc>
          <w:tcPr>
            <w:tcW w:w="6820" w:type="dxa"/>
            <w:vAlign w:val="bottom"/>
            <w:gridSpan w:val="2"/>
          </w:tcPr>
          <w:p>
            <w:pPr>
              <w:jc w:val="center"/>
              <w:ind w:right="1012"/>
              <w:spacing w:after="0" w:line="121" w:lineRule="exact"/>
              <w:rPr>
                <w:sz w:val="20"/>
                <w:szCs w:val="20"/>
                <w:color w:val="auto"/>
              </w:rPr>
            </w:pPr>
            <w:r>
              <w:rPr>
                <w:rFonts w:ascii="Arial" w:cs="Arial" w:eastAsia="Arial" w:hAnsi="Arial"/>
                <w:sz w:val="12"/>
                <w:szCs w:val="12"/>
                <w:b w:val="1"/>
                <w:bCs w:val="1"/>
                <w:color w:val="auto"/>
                <w:w w:val="89"/>
              </w:rPr>
              <w:t>(State or Other Jurisdiction of</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20" w:type="dxa"/>
            <w:vAlign w:val="bottom"/>
          </w:tcPr>
          <w:p>
            <w:pPr>
              <w:jc w:val="center"/>
              <w:ind w:right="1158"/>
              <w:spacing w:after="0" w:line="121" w:lineRule="exact"/>
              <w:rPr>
                <w:sz w:val="20"/>
                <w:szCs w:val="20"/>
                <w:color w:val="auto"/>
              </w:rPr>
            </w:pPr>
            <w:r>
              <w:rPr>
                <w:rFonts w:ascii="Arial" w:cs="Arial" w:eastAsia="Arial" w:hAnsi="Arial"/>
                <w:sz w:val="12"/>
                <w:szCs w:val="12"/>
                <w:b w:val="1"/>
                <w:bCs w:val="1"/>
                <w:color w:val="auto"/>
                <w:w w:val="92"/>
              </w:rPr>
              <w:t>(IRS Employer</w:t>
            </w:r>
          </w:p>
        </w:tc>
        <w:tc>
          <w:tcPr>
            <w:tcW w:w="0" w:type="dxa"/>
            <w:vAlign w:val="bottom"/>
          </w:tcPr>
          <w:p>
            <w:pPr>
              <w:spacing w:after="0"/>
              <w:rPr>
                <w:sz w:val="1"/>
                <w:szCs w:val="1"/>
                <w:color w:val="auto"/>
              </w:rPr>
            </w:pPr>
          </w:p>
        </w:tc>
      </w:tr>
      <w:tr>
        <w:trPr>
          <w:trHeight w:val="150"/>
        </w:trPr>
        <w:tc>
          <w:tcPr>
            <w:tcW w:w="6820" w:type="dxa"/>
            <w:vAlign w:val="bottom"/>
            <w:gridSpan w:val="2"/>
          </w:tcPr>
          <w:p>
            <w:pPr>
              <w:jc w:val="center"/>
              <w:ind w:right="1012"/>
              <w:spacing w:after="0"/>
              <w:rPr>
                <w:sz w:val="20"/>
                <w:szCs w:val="20"/>
                <w:color w:val="auto"/>
              </w:rPr>
            </w:pPr>
            <w:r>
              <w:rPr>
                <w:rFonts w:ascii="Arial" w:cs="Arial" w:eastAsia="Arial" w:hAnsi="Arial"/>
                <w:sz w:val="12"/>
                <w:szCs w:val="12"/>
                <w:b w:val="1"/>
                <w:bCs w:val="1"/>
                <w:color w:val="auto"/>
                <w:w w:val="89"/>
              </w:rPr>
              <w:t>Incorporation or Organization)</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20" w:type="dxa"/>
            <w:vAlign w:val="bottom"/>
          </w:tcPr>
          <w:p>
            <w:pPr>
              <w:jc w:val="center"/>
              <w:ind w:right="1158"/>
              <w:spacing w:after="0"/>
              <w:rPr>
                <w:sz w:val="20"/>
                <w:szCs w:val="20"/>
                <w:color w:val="auto"/>
              </w:rPr>
            </w:pPr>
            <w:r>
              <w:rPr>
                <w:rFonts w:ascii="Arial" w:cs="Arial" w:eastAsia="Arial" w:hAnsi="Arial"/>
                <w:sz w:val="12"/>
                <w:szCs w:val="12"/>
                <w:b w:val="1"/>
                <w:bCs w:val="1"/>
                <w:color w:val="auto"/>
                <w:w w:val="90"/>
              </w:rPr>
              <w:t>Identification No.)</w:t>
            </w:r>
          </w:p>
        </w:tc>
        <w:tc>
          <w:tcPr>
            <w:tcW w:w="0" w:type="dxa"/>
            <w:vAlign w:val="bottom"/>
          </w:tcPr>
          <w:p>
            <w:pPr>
              <w:spacing w:after="0"/>
              <w:rPr>
                <w:sz w:val="1"/>
                <w:szCs w:val="1"/>
                <w:color w:val="auto"/>
              </w:rPr>
            </w:pPr>
          </w:p>
        </w:tc>
      </w:tr>
      <w:tr>
        <w:trPr>
          <w:trHeight w:val="207"/>
        </w:trPr>
        <w:tc>
          <w:tcPr>
            <w:tcW w:w="6820" w:type="dxa"/>
            <w:vAlign w:val="bottom"/>
            <w:gridSpan w:val="2"/>
          </w:tcPr>
          <w:p>
            <w:pPr>
              <w:jc w:val="center"/>
              <w:ind w:right="1012"/>
              <w:spacing w:after="0"/>
              <w:rPr>
                <w:sz w:val="20"/>
                <w:szCs w:val="20"/>
                <w:color w:val="auto"/>
              </w:rPr>
            </w:pPr>
            <w:r>
              <w:rPr>
                <w:rFonts w:ascii="Arial" w:cs="Arial" w:eastAsia="Arial" w:hAnsi="Arial"/>
                <w:sz w:val="13"/>
                <w:szCs w:val="13"/>
                <w:b w:val="1"/>
                <w:bCs w:val="1"/>
                <w:color w:val="auto"/>
                <w:w w:val="93"/>
              </w:rPr>
              <w:t>215 First Street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820" w:type="dxa"/>
            <w:vAlign w:val="bottom"/>
            <w:gridSpan w:val="2"/>
          </w:tcPr>
          <w:p>
            <w:pPr>
              <w:jc w:val="center"/>
              <w:ind w:right="1012"/>
              <w:spacing w:after="0"/>
              <w:rPr>
                <w:sz w:val="20"/>
                <w:szCs w:val="20"/>
                <w:color w:val="auto"/>
              </w:rPr>
            </w:pPr>
            <w:r>
              <w:rPr>
                <w:rFonts w:ascii="Arial" w:cs="Arial" w:eastAsia="Arial" w:hAnsi="Arial"/>
                <w:sz w:val="13"/>
                <w:szCs w:val="13"/>
                <w:b w:val="1"/>
                <w:bCs w:val="1"/>
                <w:color w:val="auto"/>
                <w:w w:val="90"/>
              </w:rPr>
              <w:t>Cambridge, Massachusetts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20" w:type="dxa"/>
            <w:vAlign w:val="bottom"/>
          </w:tcPr>
          <w:p>
            <w:pPr>
              <w:jc w:val="right"/>
              <w:ind w:right="2398"/>
              <w:spacing w:after="0"/>
              <w:rPr>
                <w:sz w:val="20"/>
                <w:szCs w:val="20"/>
                <w:color w:val="auto"/>
              </w:rPr>
            </w:pPr>
            <w:r>
              <w:rPr>
                <w:rFonts w:ascii="Arial" w:cs="Arial" w:eastAsia="Arial" w:hAnsi="Arial"/>
                <w:sz w:val="13"/>
                <w:szCs w:val="13"/>
                <w:b w:val="1"/>
                <w:bCs w:val="1"/>
                <w:color w:val="auto"/>
              </w:rPr>
              <w:t>02142</w:t>
            </w:r>
          </w:p>
        </w:tc>
        <w:tc>
          <w:tcPr>
            <w:tcW w:w="0" w:type="dxa"/>
            <w:vAlign w:val="bottom"/>
          </w:tcPr>
          <w:p>
            <w:pPr>
              <w:spacing w:after="0"/>
              <w:rPr>
                <w:sz w:val="1"/>
                <w:szCs w:val="1"/>
                <w:color w:val="auto"/>
              </w:rPr>
            </w:pPr>
          </w:p>
        </w:tc>
      </w:tr>
      <w:tr>
        <w:trPr>
          <w:trHeight w:val="150"/>
        </w:trPr>
        <w:tc>
          <w:tcPr>
            <w:tcW w:w="6820" w:type="dxa"/>
            <w:vAlign w:val="bottom"/>
            <w:gridSpan w:val="2"/>
          </w:tcPr>
          <w:p>
            <w:pPr>
              <w:jc w:val="center"/>
              <w:ind w:right="1012"/>
              <w:spacing w:after="0"/>
              <w:rPr>
                <w:sz w:val="20"/>
                <w:szCs w:val="20"/>
                <w:color w:val="auto"/>
              </w:rPr>
            </w:pPr>
            <w:r>
              <w:rPr>
                <w:rFonts w:ascii="Arial" w:cs="Arial" w:eastAsia="Arial" w:hAnsi="Arial"/>
                <w:sz w:val="12"/>
                <w:szCs w:val="12"/>
                <w:b w:val="1"/>
                <w:bCs w:val="1"/>
                <w:color w:val="auto"/>
                <w:w w:val="87"/>
              </w:rPr>
              <w:t>(Address of Principal Executive Offices)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20" w:type="dxa"/>
            <w:vAlign w:val="bottom"/>
          </w:tcPr>
          <w:p>
            <w:pPr>
              <w:jc w:val="center"/>
              <w:ind w:right="1178"/>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22"/>
        </w:trPr>
        <w:tc>
          <w:tcPr>
            <w:tcW w:w="6820" w:type="dxa"/>
            <w:vAlign w:val="bottom"/>
            <w:gridSpan w:val="2"/>
          </w:tcPr>
          <w:p>
            <w:pPr>
              <w:jc w:val="center"/>
              <w:ind w:left="4571"/>
              <w:spacing w:after="0"/>
              <w:rPr>
                <w:sz w:val="20"/>
                <w:szCs w:val="20"/>
                <w:color w:val="auto"/>
              </w:rPr>
            </w:pPr>
            <w:r>
              <w:rPr>
                <w:rFonts w:ascii="Arial" w:cs="Arial" w:eastAsia="Arial" w:hAnsi="Arial"/>
                <w:sz w:val="13"/>
                <w:szCs w:val="13"/>
                <w:b w:val="1"/>
                <w:bCs w:val="1"/>
                <w:color w:val="auto"/>
                <w:w w:val="92"/>
              </w:rPr>
              <w:t>(617) 945-9626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260" w:type="dxa"/>
            <w:vAlign w:val="bottom"/>
            <w:gridSpan w:val="4"/>
          </w:tcPr>
          <w:p>
            <w:pPr>
              <w:jc w:val="center"/>
              <w:ind w:left="4131"/>
              <w:spacing w:after="0"/>
              <w:rPr>
                <w:sz w:val="20"/>
                <w:szCs w:val="20"/>
                <w:color w:val="auto"/>
              </w:rPr>
            </w:pPr>
            <w:r>
              <w:rPr>
                <w:rFonts w:ascii="Arial" w:cs="Arial" w:eastAsia="Arial" w:hAnsi="Arial"/>
                <w:sz w:val="12"/>
                <w:szCs w:val="12"/>
                <w:b w:val="1"/>
                <w:bCs w:val="1"/>
                <w:color w:val="auto"/>
                <w:w w:val="87"/>
              </w:rPr>
              <w:t>(Registrant’s Telephone Number, Including Area Code)</w:t>
            </w: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600" w:type="dxa"/>
            <w:vAlign w:val="bottom"/>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4020" w:type="dxa"/>
            <w:vAlign w:val="bottom"/>
            <w:vMerge w:val="restart"/>
          </w:tcPr>
          <w:p>
            <w:pPr>
              <w:ind w:left="20"/>
              <w:spacing w:after="0" w:line="150" w:lineRule="exact"/>
              <w:rPr>
                <w:sz w:val="20"/>
                <w:szCs w:val="20"/>
                <w:color w:val="auto"/>
              </w:rPr>
            </w:pPr>
            <w:r>
              <w:rPr>
                <w:rFonts w:ascii="Arial" w:cs="Arial" w:eastAsia="Arial" w:hAnsi="Arial"/>
                <w:sz w:val="13"/>
                <w:szCs w:val="13"/>
                <w:b w:val="1"/>
                <w:bCs w:val="1"/>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31"/>
        </w:trPr>
        <w:tc>
          <w:tcPr>
            <w:tcW w:w="6820" w:type="dxa"/>
            <w:vAlign w:val="bottom"/>
            <w:gridSpan w:val="2"/>
          </w:tcPr>
          <w:p>
            <w:pPr>
              <w:ind w:left="520"/>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w:t>
            </w: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Yes </w:t>
            </w:r>
            <w:r>
              <w:rPr>
                <w:rFonts w:ascii="Arial" w:cs="Arial" w:eastAsia="Arial" w:hAnsi="Arial"/>
                <w:sz w:val="13"/>
                <w:szCs w:val="13"/>
                <w:color w:val="auto"/>
              </w:rPr>
              <w:t>o</w:t>
            </w:r>
          </w:p>
        </w:tc>
        <w:tc>
          <w:tcPr>
            <w:tcW w:w="4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820" w:type="dxa"/>
            <w:vAlign w:val="bottom"/>
            <w:gridSpan w:val="2"/>
          </w:tcPr>
          <w:p>
            <w:pPr>
              <w:ind w:left="520"/>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w:t>
            </w:r>
          </w:p>
        </w:tc>
        <w:tc>
          <w:tcPr>
            <w:tcW w:w="6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3"/>
                <w:szCs w:val="13"/>
                <w:b w:val="1"/>
                <w:bCs w:val="1"/>
                <w:color w:val="auto"/>
                <w:w w:val="88"/>
              </w:rPr>
              <w:t xml:space="preserve">Yes </w:t>
            </w:r>
            <w:r>
              <w:rPr>
                <w:rFonts w:ascii="Arial" w:cs="Arial" w:eastAsia="Arial" w:hAnsi="Arial"/>
                <w:sz w:val="13"/>
                <w:szCs w:val="13"/>
                <w:color w:val="auto"/>
                <w:w w:val="88"/>
              </w:rPr>
              <w:t>o</w:t>
            </w:r>
          </w:p>
        </w:tc>
        <w:tc>
          <w:tcPr>
            <w:tcW w:w="4020" w:type="dxa"/>
            <w:vAlign w:val="bottom"/>
          </w:tcPr>
          <w:p>
            <w:pPr>
              <w:ind w:left="140"/>
              <w:spacing w:after="0" w:line="150" w:lineRule="exact"/>
              <w:rPr>
                <w:sz w:val="20"/>
                <w:szCs w:val="20"/>
                <w:color w:val="auto"/>
              </w:rPr>
            </w:pPr>
            <w:r>
              <w:rPr>
                <w:rFonts w:ascii="Arial" w:cs="Arial" w:eastAsia="Arial" w:hAnsi="Arial"/>
                <w:sz w:val="13"/>
                <w:szCs w:val="13"/>
                <w:b w:val="1"/>
                <w:bCs w:val="1"/>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7"/>
        </w:trPr>
        <w:tc>
          <w:tcPr>
            <w:tcW w:w="11280" w:type="dxa"/>
            <w:vAlign w:val="bottom"/>
            <w:gridSpan w:val="5"/>
          </w:tcPr>
          <w:p>
            <w:pPr>
              <w:ind w:left="520"/>
              <w:spacing w:after="0"/>
              <w:rPr>
                <w:sz w:val="20"/>
                <w:szCs w:val="20"/>
                <w:color w:val="auto"/>
              </w:rPr>
            </w:pPr>
            <w:r>
              <w:rPr>
                <w:rFonts w:ascii="Arial" w:cs="Arial" w:eastAsia="Arial" w:hAnsi="Arial"/>
                <w:sz w:val="13"/>
                <w:szCs w:val="13"/>
                <w:color w:val="auto"/>
                <w:w w:val="91"/>
              </w:rPr>
              <w:t>Indicate by check mark whether the registrant: (1) has filed all reports required to be filed by Section 13 or 15(d) of the Securities Exchange Act of 1934 during the preceding 12 months (or for such shorter</w:t>
            </w:r>
          </w:p>
        </w:tc>
        <w:tc>
          <w:tcPr>
            <w:tcW w:w="0" w:type="dxa"/>
            <w:vAlign w:val="bottom"/>
          </w:tcPr>
          <w:p>
            <w:pPr>
              <w:spacing w:after="0"/>
              <w:rPr>
                <w:sz w:val="1"/>
                <w:szCs w:val="1"/>
                <w:color w:val="auto"/>
              </w:rPr>
            </w:pPr>
          </w:p>
        </w:tc>
      </w:tr>
      <w:tr>
        <w:trPr>
          <w:trHeight w:val="206"/>
        </w:trPr>
        <w:tc>
          <w:tcPr>
            <w:tcW w:w="11280" w:type="dxa"/>
            <w:vAlign w:val="bottom"/>
            <w:gridSpan w:val="5"/>
          </w:tcPr>
          <w:p>
            <w:pPr>
              <w:spacing w:after="0" w:line="150" w:lineRule="exact"/>
              <w:rPr>
                <w:sz w:val="20"/>
                <w:szCs w:val="20"/>
                <w:color w:val="auto"/>
              </w:rPr>
            </w:pPr>
            <w:r>
              <w:rPr>
                <w:rFonts w:ascii="Arial" w:cs="Arial" w:eastAsia="Arial" w:hAnsi="Arial"/>
                <w:sz w:val="13"/>
                <w:szCs w:val="13"/>
                <w:color w:val="auto"/>
              </w:rPr>
              <w:t xml:space="preserve">period that the registrant was required to file such reports), and (2) has been subject to such filing requirements for the past 90 days.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o</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0" w:firstLine="520"/>
        <w:spacing w:after="0" w:line="173"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No</w:t>
      </w:r>
      <w:r>
        <w:rPr>
          <w:rFonts w:ascii="Arial" w:cs="Arial" w:eastAsia="Arial" w:hAnsi="Arial"/>
          <w:sz w:val="12"/>
          <w:szCs w:val="12"/>
          <w:color w:val="auto"/>
        </w:rPr>
        <w:t xml:space="preserve"> o</w:t>
      </w:r>
    </w:p>
    <w:p>
      <w:pPr>
        <w:spacing w:after="0" w:line="38" w:lineRule="exact"/>
        <w:rPr>
          <w:sz w:val="24"/>
          <w:szCs w:val="24"/>
          <w:color w:val="auto"/>
        </w:rPr>
      </w:pPr>
    </w:p>
    <w:p>
      <w:pPr>
        <w:ind w:right="400" w:firstLine="520"/>
        <w:spacing w:after="0" w:line="17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39" w:lineRule="exact"/>
        <w:rPr>
          <w:sz w:val="24"/>
          <w:szCs w:val="24"/>
          <w:color w:val="auto"/>
        </w:rPr>
      </w:pPr>
    </w:p>
    <w:p>
      <w:pPr>
        <w:ind w:right="600" w:firstLine="520"/>
        <w:spacing w:after="0" w:line="28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20" w:top="667" w:right="27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89" w:lineRule="exact"/>
        <w:rPr>
          <w:sz w:val="24"/>
          <w:szCs w:val="24"/>
          <w:color w:val="auto"/>
        </w:rPr>
      </w:pPr>
    </w:p>
    <w:p>
      <w:pPr>
        <w:sectPr>
          <w:pgSz w:w="11900" w:h="16838" w:orient="portrait"/>
          <w:cols w:equalWidth="0" w:num="4">
            <w:col w:w="1180" w:space="680"/>
            <w:col w:w="6840" w:space="720"/>
            <w:col w:w="1100" w:space="720"/>
            <w:col w:w="160"/>
          </w:cols>
          <w:pgMar w:left="220" w:top="667" w:right="27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89" w:lineRule="exact"/>
        <w:rPr>
          <w:sz w:val="24"/>
          <w:szCs w:val="24"/>
          <w:color w:val="auto"/>
        </w:rPr>
      </w:pPr>
    </w:p>
    <w:p>
      <w:pPr>
        <w:sectPr>
          <w:pgSz w:w="11900" w:h="16838" w:orient="portrait"/>
          <w:cols w:equalWidth="0" w:num="5">
            <w:col w:w="1140" w:space="720"/>
            <w:col w:w="120" w:space="100"/>
            <w:col w:w="6620" w:space="720"/>
            <w:col w:w="1440" w:space="380"/>
            <w:col w:w="160"/>
          </w:cols>
          <w:pgMar w:left="220" w:top="667" w:right="279" w:bottom="1440" w:gutter="0" w:footer="0" w:header="0"/>
          <w:type w:val="continuous"/>
        </w:sectPr>
      </w:pPr>
    </w:p>
    <w:p>
      <w:pPr>
        <w:ind w:left="520"/>
        <w:spacing w:after="0" w:line="150" w:lineRule="exact"/>
        <w:tabs>
          <w:tab w:leader="none" w:pos="6060" w:val="left"/>
          <w:tab w:leader="none" w:pos="65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3"/>
          <w:szCs w:val="13"/>
          <w:b w:val="1"/>
          <w:bCs w:val="1"/>
          <w:color w:val="auto"/>
        </w:rPr>
        <w:t xml:space="preserve">Yes </w:t>
      </w:r>
      <w:r>
        <w:rPr>
          <w:rFonts w:ascii="Arial" w:cs="Arial" w:eastAsia="Arial" w:hAnsi="Arial"/>
          <w:sz w:val="13"/>
          <w:szCs w:val="13"/>
          <w:color w:val="auto"/>
        </w:rPr>
        <w:t>o</w:t>
      </w:r>
      <w:r>
        <w:rPr>
          <w:rFonts w:ascii="Arial" w:cs="Arial" w:eastAsia="Arial" w:hAnsi="Arial"/>
          <w:sz w:val="13"/>
          <w:szCs w:val="13"/>
          <w:b w:val="1"/>
          <w:bCs w:val="1"/>
          <w:color w:val="auto"/>
        </w:rPr>
        <w:tab/>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ind w:right="120" w:firstLine="520"/>
        <w:spacing w:after="0" w:line="288" w:lineRule="auto"/>
        <w:rPr>
          <w:sz w:val="20"/>
          <w:szCs w:val="20"/>
          <w:color w:val="auto"/>
        </w:rPr>
      </w:pPr>
      <w:r>
        <w:rPr>
          <w:rFonts w:ascii="Arial" w:cs="Arial" w:eastAsia="Arial" w:hAnsi="Arial"/>
          <w:sz w:val="13"/>
          <w:szCs w:val="13"/>
          <w:color w:val="auto"/>
        </w:rPr>
        <w:t>The aggregate market value of common stock held by non-affiliates of the registrant based on the closing price of the registrant’s common stock as reported on the Nasdaq Global Select Market on June 30, 2015, was $422,395,134.</w:t>
      </w:r>
    </w:p>
    <w:p>
      <w:pPr>
        <w:spacing w:after="0" w:line="2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As of March 7, 2016, there were 39,187,017 shares of the registrant’s common stock, par value $0.001 per share, outstanding.</w:t>
      </w:r>
    </w:p>
    <w:p>
      <w:pPr>
        <w:spacing w:after="0" w:line="76"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73" w:lineRule="exact"/>
        <w:rPr>
          <w:sz w:val="24"/>
          <w:szCs w:val="24"/>
          <w:color w:val="auto"/>
        </w:rPr>
      </w:pPr>
    </w:p>
    <w:p>
      <w:pPr>
        <w:ind w:firstLine="520"/>
        <w:spacing w:after="0" w:line="288" w:lineRule="auto"/>
        <w:rPr>
          <w:sz w:val="20"/>
          <w:szCs w:val="20"/>
          <w:color w:val="auto"/>
        </w:rPr>
      </w:pPr>
      <w:r>
        <w:rPr>
          <w:rFonts w:ascii="Arial" w:cs="Arial" w:eastAsia="Arial" w:hAnsi="Arial"/>
          <w:sz w:val="13"/>
          <w:szCs w:val="13"/>
          <w:color w:val="auto"/>
        </w:rPr>
        <w:t>Portions of the registrant’s definitive Proxy Statement relating to its 2016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726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2726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409575</wp:posOffset>
            </wp:positionV>
            <wp:extent cx="731202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667"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00" w:type="dxa"/>
            <w:vAlign w:val="bottom"/>
            <w:gridSpan w:val="6"/>
          </w:tcPr>
          <w:p>
            <w:pPr>
              <w:ind w:left="240"/>
              <w:spacing w:after="0"/>
              <w:rPr>
                <w:sz w:val="20"/>
                <w:szCs w:val="20"/>
                <w:color w:val="auto"/>
              </w:rPr>
            </w:pPr>
            <w:r>
              <w:rPr>
                <w:rFonts w:ascii="Arial" w:cs="Arial" w:eastAsia="Arial" w:hAnsi="Arial"/>
                <w:sz w:val="15"/>
                <w:szCs w:val="15"/>
                <w:b w:val="1"/>
                <w:bCs w:val="1"/>
                <w:color w:val="auto"/>
              </w:rPr>
              <w:t>Table of Contents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520" w:type="dxa"/>
            <w:vAlign w:val="bottom"/>
            <w:vMerge w:val="restart"/>
          </w:tcPr>
          <w:p>
            <w:pPr>
              <w:spacing w:after="0"/>
              <w:rPr>
                <w:rFonts w:ascii="Arial" w:cs="Arial" w:eastAsia="Arial" w:hAnsi="Arial"/>
                <w:sz w:val="15"/>
                <w:szCs w:val="15"/>
                <w:b w:val="1"/>
                <w:bCs w:val="1"/>
                <w:color w:val="0000EE"/>
                <w:w w:val="93"/>
              </w:rPr>
            </w:pPr>
            <w:hyperlink w:anchor="page4">
              <w:r>
                <w:rPr>
                  <w:rFonts w:ascii="Arial" w:cs="Arial" w:eastAsia="Arial" w:hAnsi="Arial"/>
                  <w:sz w:val="15"/>
                  <w:szCs w:val="15"/>
                  <w:b w:val="1"/>
                  <w:bCs w:val="1"/>
                  <w:color w:val="0000EE"/>
                  <w:w w:val="93"/>
                </w:rPr>
                <w:t>PART I.</w:t>
              </w:r>
            </w:hyperlink>
          </w:p>
        </w:tc>
        <w:tc>
          <w:tcPr>
            <w:tcW w:w="940" w:type="dxa"/>
            <w:vAlign w:val="bottom"/>
            <w:gridSpan w:val="4"/>
            <w:vMerge w:val="restart"/>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38"/>
        </w:trPr>
        <w:tc>
          <w:tcPr>
            <w:tcW w:w="520" w:type="dxa"/>
            <w:vAlign w:val="bottom"/>
            <w:tcBorders>
              <w:bottom w:val="single" w:sz="8" w:color="0000EE"/>
            </w:tcBorders>
            <w:vMerge w:val="continue"/>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w:t>
            </w:r>
          </w:p>
        </w:tc>
        <w:tc>
          <w:tcPr>
            <w:tcW w:w="9380" w:type="dxa"/>
            <w:vAlign w:val="bottom"/>
            <w:gridSpan w:val="20"/>
          </w:tcPr>
          <w:p>
            <w:pPr>
              <w:spacing w:after="0" w:line="166" w:lineRule="exact"/>
              <w:rPr>
                <w:rFonts w:ascii="Arial" w:cs="Arial" w:eastAsia="Arial" w:hAnsi="Arial"/>
                <w:sz w:val="15"/>
                <w:szCs w:val="15"/>
                <w:color w:val="0000EE"/>
              </w:rPr>
            </w:pPr>
            <w:hyperlink w:anchor="page4">
              <w:r>
                <w:rPr>
                  <w:rFonts w:ascii="Arial" w:cs="Arial" w:eastAsia="Arial" w:hAnsi="Arial"/>
                  <w:sz w:val="15"/>
                  <w:szCs w:val="15"/>
                  <w:color w:val="0000EE"/>
                </w:rPr>
                <w:t>Business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1A.</w:t>
            </w:r>
          </w:p>
        </w:tc>
        <w:tc>
          <w:tcPr>
            <w:tcW w:w="9380" w:type="dxa"/>
            <w:vAlign w:val="bottom"/>
            <w:gridSpan w:val="20"/>
          </w:tcPr>
          <w:p>
            <w:pPr>
              <w:spacing w:after="0" w:line="166" w:lineRule="exact"/>
              <w:rPr>
                <w:rFonts w:ascii="Arial" w:cs="Arial" w:eastAsia="Arial" w:hAnsi="Arial"/>
                <w:sz w:val="15"/>
                <w:szCs w:val="15"/>
                <w:color w:val="0000EE"/>
              </w:rPr>
            </w:pPr>
            <w:hyperlink w:anchor="page35">
              <w:r>
                <w:rPr>
                  <w:rFonts w:ascii="Arial" w:cs="Arial" w:eastAsia="Arial" w:hAnsi="Arial"/>
                  <w:sz w:val="15"/>
                  <w:szCs w:val="15"/>
                  <w:color w:val="0000EE"/>
                </w:rPr>
                <w:t>Risk Factors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1B.</w:t>
            </w:r>
          </w:p>
        </w:tc>
        <w:tc>
          <w:tcPr>
            <w:tcW w:w="9380" w:type="dxa"/>
            <w:vAlign w:val="bottom"/>
            <w:gridSpan w:val="20"/>
          </w:tcPr>
          <w:p>
            <w:pPr>
              <w:spacing w:after="0" w:line="166" w:lineRule="exact"/>
              <w:rPr>
                <w:rFonts w:ascii="Arial" w:cs="Arial" w:eastAsia="Arial" w:hAnsi="Arial"/>
                <w:sz w:val="15"/>
                <w:szCs w:val="15"/>
                <w:color w:val="0000EE"/>
              </w:rPr>
            </w:pPr>
            <w:hyperlink w:anchor="page65">
              <w:r>
                <w:rPr>
                  <w:rFonts w:ascii="Arial" w:cs="Arial" w:eastAsia="Arial" w:hAnsi="Arial"/>
                  <w:sz w:val="15"/>
                  <w:szCs w:val="15"/>
                  <w:color w:val="0000EE"/>
                </w:rPr>
                <w:t>Unresolved Staff Comments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2.</w:t>
            </w:r>
          </w:p>
        </w:tc>
        <w:tc>
          <w:tcPr>
            <w:tcW w:w="1640" w:type="dxa"/>
            <w:vAlign w:val="bottom"/>
            <w:tcBorders>
              <w:top w:val="single" w:sz="8" w:color="0000EE"/>
            </w:tcBorders>
            <w:gridSpan w:val="9"/>
          </w:tcPr>
          <w:p>
            <w:pPr>
              <w:spacing w:after="0" w:line="166" w:lineRule="exact"/>
              <w:rPr>
                <w:rFonts w:ascii="Arial" w:cs="Arial" w:eastAsia="Arial" w:hAnsi="Arial"/>
                <w:sz w:val="15"/>
                <w:szCs w:val="15"/>
                <w:color w:val="0000EE"/>
              </w:rPr>
            </w:pPr>
            <w:hyperlink w:anchor="page65">
              <w:r>
                <w:rPr>
                  <w:rFonts w:ascii="Arial" w:cs="Arial" w:eastAsia="Arial" w:hAnsi="Arial"/>
                  <w:sz w:val="15"/>
                  <w:szCs w:val="15"/>
                  <w:color w:val="0000EE"/>
                </w:rPr>
                <w:t>Properties</w:t>
              </w:r>
            </w:hyperlink>
          </w:p>
        </w:tc>
        <w:tc>
          <w:tcPr>
            <w:tcW w:w="7740" w:type="dxa"/>
            <w:vAlign w:val="bottom"/>
            <w:gridSpan w:val="11"/>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3.</w:t>
            </w:r>
          </w:p>
        </w:tc>
        <w:tc>
          <w:tcPr>
            <w:tcW w:w="1080" w:type="dxa"/>
            <w:vAlign w:val="bottom"/>
            <w:tcBorders>
              <w:bottom w:val="single" w:sz="8" w:color="0000EE"/>
            </w:tcBorders>
            <w:gridSpan w:val="5"/>
          </w:tcPr>
          <w:p>
            <w:pPr>
              <w:spacing w:after="0" w:line="166" w:lineRule="exact"/>
              <w:rPr>
                <w:rFonts w:ascii="Arial" w:cs="Arial" w:eastAsia="Arial" w:hAnsi="Arial"/>
                <w:sz w:val="15"/>
                <w:szCs w:val="15"/>
                <w:color w:val="0000EE"/>
                <w:w w:val="85"/>
              </w:rPr>
            </w:pPr>
            <w:hyperlink w:anchor="page66">
              <w:r>
                <w:rPr>
                  <w:rFonts w:ascii="Arial" w:cs="Arial" w:eastAsia="Arial" w:hAnsi="Arial"/>
                  <w:sz w:val="15"/>
                  <w:szCs w:val="15"/>
                  <w:color w:val="0000EE"/>
                  <w:w w:val="85"/>
                </w:rPr>
                <w:t>Legal Proceedings</w:t>
              </w:r>
            </w:hyperlink>
          </w:p>
        </w:tc>
        <w:tc>
          <w:tcPr>
            <w:tcW w:w="8300" w:type="dxa"/>
            <w:vAlign w:val="bottom"/>
            <w:gridSpan w:val="15"/>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4.</w:t>
            </w:r>
          </w:p>
        </w:tc>
        <w:tc>
          <w:tcPr>
            <w:tcW w:w="9380" w:type="dxa"/>
            <w:vAlign w:val="bottom"/>
            <w:gridSpan w:val="20"/>
          </w:tcPr>
          <w:p>
            <w:pPr>
              <w:spacing w:after="0" w:line="166" w:lineRule="exact"/>
              <w:rPr>
                <w:rFonts w:ascii="Arial" w:cs="Arial" w:eastAsia="Arial" w:hAnsi="Arial"/>
                <w:sz w:val="15"/>
                <w:szCs w:val="15"/>
                <w:color w:val="0000EE"/>
              </w:rPr>
            </w:pPr>
            <w:hyperlink w:anchor="page66">
              <w:r>
                <w:rPr>
                  <w:rFonts w:ascii="Arial" w:cs="Arial" w:eastAsia="Arial" w:hAnsi="Arial"/>
                  <w:sz w:val="15"/>
                  <w:szCs w:val="15"/>
                  <w:color w:val="0000EE"/>
                </w:rPr>
                <w:t>Mine Safety Disclosures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86"/>
        </w:trPr>
        <w:tc>
          <w:tcPr>
            <w:tcW w:w="580" w:type="dxa"/>
            <w:vAlign w:val="bottom"/>
            <w:tcBorders>
              <w:bottom w:val="single" w:sz="8" w:color="0000EE"/>
            </w:tcBorders>
            <w:gridSpan w:val="2"/>
          </w:tcPr>
          <w:p>
            <w:pPr>
              <w:spacing w:after="0"/>
              <w:rPr>
                <w:rFonts w:ascii="Arial" w:cs="Arial" w:eastAsia="Arial" w:hAnsi="Arial"/>
                <w:sz w:val="15"/>
                <w:szCs w:val="15"/>
                <w:b w:val="1"/>
                <w:bCs w:val="1"/>
                <w:color w:val="0000EE"/>
                <w:w w:val="97"/>
              </w:rPr>
            </w:pPr>
            <w:hyperlink w:anchor="page69">
              <w:r>
                <w:rPr>
                  <w:rFonts w:ascii="Arial" w:cs="Arial" w:eastAsia="Arial" w:hAnsi="Arial"/>
                  <w:sz w:val="15"/>
                  <w:szCs w:val="15"/>
                  <w:b w:val="1"/>
                  <w:bCs w:val="1"/>
                  <w:color w:val="0000EE"/>
                  <w:w w:val="97"/>
                </w:rPr>
                <w:t>PART II.</w:t>
              </w:r>
            </w:hyperlink>
          </w:p>
        </w:tc>
        <w:tc>
          <w:tcPr>
            <w:tcW w:w="880" w:type="dxa"/>
            <w:vAlign w:val="bottom"/>
            <w:gridSpan w:val="3"/>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60" w:type="dxa"/>
            <w:vAlign w:val="bottom"/>
            <w:gridSpan w:val="5"/>
          </w:tcPr>
          <w:p>
            <w:pPr>
              <w:spacing w:after="0"/>
              <w:rPr>
                <w:sz w:val="20"/>
                <w:szCs w:val="20"/>
                <w:color w:val="auto"/>
              </w:rPr>
            </w:pPr>
            <w:r>
              <w:rPr>
                <w:rFonts w:ascii="Arial" w:cs="Arial" w:eastAsia="Arial" w:hAnsi="Arial"/>
                <w:sz w:val="15"/>
                <w:szCs w:val="15"/>
                <w:color w:val="auto"/>
              </w:rPr>
              <w:t>Item 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540" w:type="dxa"/>
            <w:vAlign w:val="bottom"/>
            <w:tcBorders>
              <w:bottom w:val="single" w:sz="8" w:color="0000EE"/>
            </w:tcBorders>
            <w:gridSpan w:val="19"/>
          </w:tcPr>
          <w:p>
            <w:pPr>
              <w:spacing w:after="0" w:line="153" w:lineRule="exact"/>
              <w:rPr>
                <w:rFonts w:ascii="Arial" w:cs="Arial" w:eastAsia="Arial" w:hAnsi="Arial"/>
                <w:sz w:val="15"/>
                <w:szCs w:val="15"/>
                <w:color w:val="0000EE"/>
                <w:w w:val="87"/>
              </w:rPr>
            </w:pPr>
            <w:hyperlink w:anchor="page69">
              <w:r>
                <w:rPr>
                  <w:rFonts w:ascii="Arial" w:cs="Arial" w:eastAsia="Arial" w:hAnsi="Arial"/>
                  <w:sz w:val="15"/>
                  <w:szCs w:val="15"/>
                  <w:color w:val="0000EE"/>
                  <w:w w:val="87"/>
                </w:rPr>
                <w:t>Market for Registrant’s Common Equity, Related Stockholder Matters and Issuer Purchases of Equity Securities</w:t>
              </w:r>
            </w:hyperlink>
          </w:p>
        </w:tc>
        <w:tc>
          <w:tcPr>
            <w:tcW w:w="284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6.</w:t>
            </w:r>
          </w:p>
        </w:tc>
        <w:tc>
          <w:tcPr>
            <w:tcW w:w="1380" w:type="dxa"/>
            <w:vAlign w:val="bottom"/>
            <w:tcBorders>
              <w:bottom w:val="single" w:sz="8" w:color="0000EE"/>
            </w:tcBorders>
            <w:gridSpan w:val="6"/>
          </w:tcPr>
          <w:p>
            <w:pPr>
              <w:spacing w:after="0" w:line="166" w:lineRule="exact"/>
              <w:rPr>
                <w:rFonts w:ascii="Arial" w:cs="Arial" w:eastAsia="Arial" w:hAnsi="Arial"/>
                <w:sz w:val="15"/>
                <w:szCs w:val="15"/>
                <w:color w:val="0000EE"/>
                <w:w w:val="85"/>
              </w:rPr>
            </w:pPr>
            <w:hyperlink w:anchor="page70">
              <w:r>
                <w:rPr>
                  <w:rFonts w:ascii="Arial" w:cs="Arial" w:eastAsia="Arial" w:hAnsi="Arial"/>
                  <w:sz w:val="15"/>
                  <w:szCs w:val="15"/>
                  <w:color w:val="0000EE"/>
                  <w:w w:val="85"/>
                </w:rPr>
                <w:t>Selected Financial Data</w:t>
              </w:r>
            </w:hyperlink>
          </w:p>
        </w:tc>
        <w:tc>
          <w:tcPr>
            <w:tcW w:w="8000" w:type="dxa"/>
            <w:vAlign w:val="bottom"/>
            <w:gridSpan w:val="14"/>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7.</w:t>
            </w:r>
          </w:p>
        </w:tc>
        <w:tc>
          <w:tcPr>
            <w:tcW w:w="9380" w:type="dxa"/>
            <w:vAlign w:val="bottom"/>
            <w:gridSpan w:val="20"/>
          </w:tcPr>
          <w:p>
            <w:pPr>
              <w:spacing w:after="0" w:line="166" w:lineRule="exact"/>
              <w:rPr>
                <w:rFonts w:ascii="Arial" w:cs="Arial" w:eastAsia="Arial" w:hAnsi="Arial"/>
                <w:sz w:val="15"/>
                <w:szCs w:val="15"/>
                <w:color w:val="0000EE"/>
              </w:rPr>
            </w:pPr>
            <w:hyperlink w:anchor="page72">
              <w:r>
                <w:rPr>
                  <w:rFonts w:ascii="Arial" w:cs="Arial" w:eastAsia="Arial" w:hAnsi="Arial"/>
                  <w:sz w:val="15"/>
                  <w:szCs w:val="15"/>
                  <w:color w:val="0000EE"/>
                </w:rPr>
                <w:t>Management’s Discussion and Analysis of Financial Condition and Results of Operations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7A.</w:t>
            </w:r>
          </w:p>
        </w:tc>
        <w:tc>
          <w:tcPr>
            <w:tcW w:w="5220" w:type="dxa"/>
            <w:vAlign w:val="bottom"/>
            <w:tcBorders>
              <w:top w:val="single" w:sz="8" w:color="0000EE"/>
            </w:tcBorders>
            <w:gridSpan w:val="16"/>
          </w:tcPr>
          <w:p>
            <w:pPr>
              <w:spacing w:after="0" w:line="166" w:lineRule="exact"/>
              <w:rPr>
                <w:rFonts w:ascii="Arial" w:cs="Arial" w:eastAsia="Arial" w:hAnsi="Arial"/>
                <w:sz w:val="15"/>
                <w:szCs w:val="15"/>
                <w:color w:val="0000EE"/>
              </w:rPr>
            </w:pPr>
            <w:hyperlink w:anchor="page85">
              <w:r>
                <w:rPr>
                  <w:rFonts w:ascii="Arial" w:cs="Arial" w:eastAsia="Arial" w:hAnsi="Arial"/>
                  <w:sz w:val="15"/>
                  <w:szCs w:val="15"/>
                  <w:color w:val="0000EE"/>
                </w:rPr>
                <w:t>Quantitative and Qualitative Disclosures about Market Risk</w:t>
              </w:r>
            </w:hyperlink>
          </w:p>
        </w:tc>
        <w:tc>
          <w:tcPr>
            <w:tcW w:w="4160" w:type="dxa"/>
            <w:vAlign w:val="bottom"/>
            <w:gridSpan w:val="4"/>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8.</w:t>
            </w:r>
          </w:p>
        </w:tc>
        <w:tc>
          <w:tcPr>
            <w:tcW w:w="3480" w:type="dxa"/>
            <w:vAlign w:val="bottom"/>
            <w:tcBorders>
              <w:top w:val="single" w:sz="8" w:color="0000EE"/>
            </w:tcBorders>
            <w:gridSpan w:val="14"/>
          </w:tcPr>
          <w:p>
            <w:pPr>
              <w:spacing w:after="0" w:line="166" w:lineRule="exact"/>
              <w:rPr>
                <w:rFonts w:ascii="Arial" w:cs="Arial" w:eastAsia="Arial" w:hAnsi="Arial"/>
                <w:sz w:val="15"/>
                <w:szCs w:val="15"/>
                <w:color w:val="0000EE"/>
              </w:rPr>
            </w:pPr>
            <w:hyperlink w:anchor="page85">
              <w:r>
                <w:rPr>
                  <w:rFonts w:ascii="Arial" w:cs="Arial" w:eastAsia="Arial" w:hAnsi="Arial"/>
                  <w:sz w:val="15"/>
                  <w:szCs w:val="15"/>
                  <w:color w:val="0000EE"/>
                </w:rPr>
                <w:t>Financial Statements and Supplementary Data</w:t>
              </w:r>
            </w:hyperlink>
          </w:p>
        </w:tc>
        <w:tc>
          <w:tcPr>
            <w:tcW w:w="5900" w:type="dxa"/>
            <w:vAlign w:val="bottom"/>
            <w:gridSpan w:val="6"/>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9.</w:t>
            </w:r>
          </w:p>
        </w:tc>
        <w:tc>
          <w:tcPr>
            <w:tcW w:w="5240" w:type="dxa"/>
            <w:vAlign w:val="bottom"/>
            <w:tcBorders>
              <w:bottom w:val="single" w:sz="8" w:color="0000EE"/>
            </w:tcBorders>
            <w:gridSpan w:val="17"/>
          </w:tcPr>
          <w:p>
            <w:pPr>
              <w:spacing w:after="0" w:line="166" w:lineRule="exact"/>
              <w:rPr>
                <w:rFonts w:ascii="Arial" w:cs="Arial" w:eastAsia="Arial" w:hAnsi="Arial"/>
                <w:sz w:val="15"/>
                <w:szCs w:val="15"/>
                <w:color w:val="0000EE"/>
                <w:w w:val="87"/>
              </w:rPr>
            </w:pPr>
            <w:hyperlink w:anchor="page85">
              <w:r>
                <w:rPr>
                  <w:rFonts w:ascii="Arial" w:cs="Arial" w:eastAsia="Arial" w:hAnsi="Arial"/>
                  <w:sz w:val="15"/>
                  <w:szCs w:val="15"/>
                  <w:color w:val="0000EE"/>
                  <w:w w:val="87"/>
                </w:rPr>
                <w:t>Changes in and Disagreements with Accountants on Accounting and Financial Disclosure</w:t>
              </w:r>
            </w:hyperlink>
          </w:p>
        </w:tc>
        <w:tc>
          <w:tcPr>
            <w:tcW w:w="4140" w:type="dxa"/>
            <w:vAlign w:val="bottom"/>
            <w:gridSpan w:val="3"/>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9A.</w:t>
            </w:r>
          </w:p>
        </w:tc>
        <w:tc>
          <w:tcPr>
            <w:tcW w:w="9380" w:type="dxa"/>
            <w:vAlign w:val="bottom"/>
            <w:gridSpan w:val="20"/>
          </w:tcPr>
          <w:p>
            <w:pPr>
              <w:spacing w:after="0" w:line="166" w:lineRule="exact"/>
              <w:rPr>
                <w:rFonts w:ascii="Arial" w:cs="Arial" w:eastAsia="Arial" w:hAnsi="Arial"/>
                <w:sz w:val="15"/>
                <w:szCs w:val="15"/>
                <w:color w:val="0000EE"/>
              </w:rPr>
            </w:pPr>
            <w:hyperlink w:anchor="page85">
              <w:r>
                <w:rPr>
                  <w:rFonts w:ascii="Arial" w:cs="Arial" w:eastAsia="Arial" w:hAnsi="Arial"/>
                  <w:sz w:val="15"/>
                  <w:szCs w:val="15"/>
                  <w:color w:val="0000EE"/>
                </w:rPr>
                <w:t>Controls and Procedures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9B.</w:t>
            </w:r>
          </w:p>
        </w:tc>
        <w:tc>
          <w:tcPr>
            <w:tcW w:w="1420" w:type="dxa"/>
            <w:vAlign w:val="bottom"/>
            <w:tcBorders>
              <w:top w:val="single" w:sz="8" w:color="0000EE"/>
            </w:tcBorders>
            <w:gridSpan w:val="7"/>
          </w:tcPr>
          <w:p>
            <w:pPr>
              <w:spacing w:after="0" w:line="166" w:lineRule="exact"/>
              <w:rPr>
                <w:rFonts w:ascii="Arial" w:cs="Arial" w:eastAsia="Arial" w:hAnsi="Arial"/>
                <w:sz w:val="15"/>
                <w:szCs w:val="15"/>
                <w:color w:val="0000EE"/>
              </w:rPr>
            </w:pPr>
            <w:hyperlink w:anchor="page86">
              <w:r>
                <w:rPr>
                  <w:rFonts w:ascii="Arial" w:cs="Arial" w:eastAsia="Arial" w:hAnsi="Arial"/>
                  <w:sz w:val="15"/>
                  <w:szCs w:val="15"/>
                  <w:color w:val="0000EE"/>
                </w:rPr>
                <w:t>Other Information</w:t>
              </w:r>
            </w:hyperlink>
          </w:p>
        </w:tc>
        <w:tc>
          <w:tcPr>
            <w:tcW w:w="7960" w:type="dxa"/>
            <w:vAlign w:val="bottom"/>
            <w:gridSpan w:val="13"/>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86"/>
        </w:trPr>
        <w:tc>
          <w:tcPr>
            <w:tcW w:w="1460" w:type="dxa"/>
            <w:vAlign w:val="bottom"/>
            <w:gridSpan w:val="5"/>
          </w:tcPr>
          <w:p>
            <w:pPr>
              <w:spacing w:after="0"/>
              <w:rPr>
                <w:rFonts w:ascii="Arial" w:cs="Arial" w:eastAsia="Arial" w:hAnsi="Arial"/>
                <w:sz w:val="15"/>
                <w:szCs w:val="15"/>
                <w:b w:val="1"/>
                <w:bCs w:val="1"/>
                <w:color w:val="0000EE"/>
              </w:rPr>
            </w:pPr>
            <w:hyperlink w:anchor="page87">
              <w:r>
                <w:rPr>
                  <w:rFonts w:ascii="Arial" w:cs="Arial" w:eastAsia="Arial" w:hAnsi="Arial"/>
                  <w:sz w:val="15"/>
                  <w:szCs w:val="15"/>
                  <w:b w:val="1"/>
                  <w:bCs w:val="1"/>
                  <w:color w:val="0000EE"/>
                </w:rPr>
                <w:t>PART III.</w:t>
              </w:r>
            </w:hyperlink>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20" w:type="dxa"/>
            <w:vAlign w:val="bottom"/>
            <w:tcBorders>
              <w:top w:val="single" w:sz="8" w:color="0000EE"/>
            </w:tcBorders>
            <w:gridSpan w:val="4"/>
          </w:tcPr>
          <w:p>
            <w:pPr>
              <w:spacing w:after="0" w:line="166" w:lineRule="exact"/>
              <w:rPr>
                <w:sz w:val="20"/>
                <w:szCs w:val="20"/>
                <w:color w:val="auto"/>
              </w:rPr>
            </w:pPr>
            <w:r>
              <w:rPr>
                <w:rFonts w:ascii="Arial" w:cs="Arial" w:eastAsia="Arial" w:hAnsi="Arial"/>
                <w:sz w:val="15"/>
                <w:szCs w:val="15"/>
                <w:color w:val="auto"/>
              </w:rPr>
              <w:t>Item 10.</w:t>
            </w:r>
          </w:p>
        </w:tc>
        <w:tc>
          <w:tcPr>
            <w:tcW w:w="840" w:type="dxa"/>
            <w:vAlign w:val="bottom"/>
          </w:tcPr>
          <w:p>
            <w:pPr>
              <w:spacing w:after="0"/>
              <w:rPr>
                <w:sz w:val="14"/>
                <w:szCs w:val="14"/>
                <w:color w:val="auto"/>
              </w:rPr>
            </w:pPr>
          </w:p>
        </w:tc>
        <w:tc>
          <w:tcPr>
            <w:tcW w:w="9380" w:type="dxa"/>
            <w:vAlign w:val="bottom"/>
            <w:gridSpan w:val="20"/>
          </w:tcPr>
          <w:p>
            <w:pPr>
              <w:spacing w:after="0" w:line="166" w:lineRule="exact"/>
              <w:rPr>
                <w:rFonts w:ascii="Arial" w:cs="Arial" w:eastAsia="Arial" w:hAnsi="Arial"/>
                <w:sz w:val="15"/>
                <w:szCs w:val="15"/>
                <w:color w:val="0000EE"/>
              </w:rPr>
            </w:pPr>
            <w:hyperlink w:anchor="page87">
              <w:r>
                <w:rPr>
                  <w:rFonts w:ascii="Arial" w:cs="Arial" w:eastAsia="Arial" w:hAnsi="Arial"/>
                  <w:sz w:val="15"/>
                  <w:szCs w:val="15"/>
                  <w:color w:val="0000EE"/>
                </w:rPr>
                <w:t>Directors, Executive Officers and Corporate Governance</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11.</w:t>
            </w:r>
          </w:p>
        </w:tc>
        <w:tc>
          <w:tcPr>
            <w:tcW w:w="1460" w:type="dxa"/>
            <w:vAlign w:val="bottom"/>
            <w:tcBorders>
              <w:top w:val="single" w:sz="8" w:color="0000EE"/>
              <w:bottom w:val="single" w:sz="8" w:color="0000EE"/>
            </w:tcBorders>
            <w:gridSpan w:val="8"/>
          </w:tcPr>
          <w:p>
            <w:pPr>
              <w:spacing w:after="0" w:line="166" w:lineRule="exact"/>
              <w:rPr>
                <w:rFonts w:ascii="Arial" w:cs="Arial" w:eastAsia="Arial" w:hAnsi="Arial"/>
                <w:sz w:val="15"/>
                <w:szCs w:val="15"/>
                <w:color w:val="0000EE"/>
                <w:w w:val="86"/>
              </w:rPr>
            </w:pPr>
            <w:hyperlink w:anchor="page87">
              <w:r>
                <w:rPr>
                  <w:rFonts w:ascii="Arial" w:cs="Arial" w:eastAsia="Arial" w:hAnsi="Arial"/>
                  <w:sz w:val="15"/>
                  <w:szCs w:val="15"/>
                  <w:color w:val="0000EE"/>
                  <w:w w:val="86"/>
                </w:rPr>
                <w:t>Executive Compensation</w:t>
              </w:r>
            </w:hyperlink>
          </w:p>
        </w:tc>
        <w:tc>
          <w:tcPr>
            <w:tcW w:w="1840" w:type="dxa"/>
            <w:vAlign w:val="bottom"/>
            <w:tcBorders>
              <w:top w:val="single" w:sz="8" w:color="0000EE"/>
            </w:tcBorders>
            <w:gridSpan w:val="5"/>
          </w:tcPr>
          <w:p>
            <w:pPr>
              <w:spacing w:after="0"/>
              <w:rPr>
                <w:sz w:val="14"/>
                <w:szCs w:val="14"/>
                <w:color w:val="auto"/>
              </w:rPr>
            </w:pPr>
          </w:p>
        </w:tc>
        <w:tc>
          <w:tcPr>
            <w:tcW w:w="6080" w:type="dxa"/>
            <w:vAlign w:val="bottom"/>
            <w:gridSpan w:val="7"/>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12.</w:t>
            </w:r>
          </w:p>
        </w:tc>
        <w:tc>
          <w:tcPr>
            <w:tcW w:w="5900" w:type="dxa"/>
            <w:vAlign w:val="bottom"/>
            <w:tcBorders>
              <w:bottom w:val="single" w:sz="8" w:color="0000EE"/>
            </w:tcBorders>
            <w:gridSpan w:val="18"/>
          </w:tcPr>
          <w:p>
            <w:pPr>
              <w:spacing w:after="0" w:line="166" w:lineRule="exact"/>
              <w:rPr>
                <w:rFonts w:ascii="Arial" w:cs="Arial" w:eastAsia="Arial" w:hAnsi="Arial"/>
                <w:sz w:val="15"/>
                <w:szCs w:val="15"/>
                <w:color w:val="0000EE"/>
                <w:w w:val="88"/>
              </w:rPr>
            </w:pPr>
            <w:hyperlink w:anchor="page87">
              <w:r>
                <w:rPr>
                  <w:rFonts w:ascii="Arial" w:cs="Arial" w:eastAsia="Arial" w:hAnsi="Arial"/>
                  <w:sz w:val="15"/>
                  <w:szCs w:val="15"/>
                  <w:color w:val="0000EE"/>
                  <w:w w:val="88"/>
                </w:rPr>
                <w:t>Security Ownership of Certain Beneficial Owners and Management and Related Stockholder Matters</w:t>
              </w:r>
            </w:hyperlink>
          </w:p>
        </w:tc>
        <w:tc>
          <w:tcPr>
            <w:tcW w:w="3480" w:type="dxa"/>
            <w:vAlign w:val="bottom"/>
            <w:gridSpan w:val="2"/>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13.</w:t>
            </w:r>
          </w:p>
        </w:tc>
        <w:tc>
          <w:tcPr>
            <w:tcW w:w="4380" w:type="dxa"/>
            <w:vAlign w:val="bottom"/>
            <w:tcBorders>
              <w:bottom w:val="single" w:sz="8" w:color="0000EE"/>
            </w:tcBorders>
            <w:gridSpan w:val="15"/>
          </w:tcPr>
          <w:p>
            <w:pPr>
              <w:spacing w:after="0" w:line="166" w:lineRule="exact"/>
              <w:rPr>
                <w:rFonts w:ascii="Arial" w:cs="Arial" w:eastAsia="Arial" w:hAnsi="Arial"/>
                <w:sz w:val="15"/>
                <w:szCs w:val="15"/>
                <w:color w:val="0000EE"/>
                <w:w w:val="86"/>
              </w:rPr>
            </w:pPr>
            <w:hyperlink w:anchor="page87">
              <w:r>
                <w:rPr>
                  <w:rFonts w:ascii="Arial" w:cs="Arial" w:eastAsia="Arial" w:hAnsi="Arial"/>
                  <w:sz w:val="15"/>
                  <w:szCs w:val="15"/>
                  <w:color w:val="0000EE"/>
                  <w:w w:val="86"/>
                </w:rPr>
                <w:t>Certain Relationships and Related Transactions and Director Independence</w:t>
              </w:r>
            </w:hyperlink>
          </w:p>
        </w:tc>
        <w:tc>
          <w:tcPr>
            <w:tcW w:w="5000" w:type="dxa"/>
            <w:vAlign w:val="bottom"/>
            <w:gridSpan w:val="5"/>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6"/>
        </w:trPr>
        <w:tc>
          <w:tcPr>
            <w:tcW w:w="1460" w:type="dxa"/>
            <w:vAlign w:val="bottom"/>
            <w:gridSpan w:val="5"/>
          </w:tcPr>
          <w:p>
            <w:pPr>
              <w:spacing w:after="0" w:line="166" w:lineRule="exact"/>
              <w:rPr>
                <w:sz w:val="20"/>
                <w:szCs w:val="20"/>
                <w:color w:val="auto"/>
              </w:rPr>
            </w:pPr>
            <w:r>
              <w:rPr>
                <w:rFonts w:ascii="Arial" w:cs="Arial" w:eastAsia="Arial" w:hAnsi="Arial"/>
                <w:sz w:val="15"/>
                <w:szCs w:val="15"/>
                <w:color w:val="auto"/>
              </w:rPr>
              <w:t>Item 14.</w:t>
            </w:r>
          </w:p>
        </w:tc>
        <w:tc>
          <w:tcPr>
            <w:tcW w:w="9380" w:type="dxa"/>
            <w:vAlign w:val="bottom"/>
            <w:gridSpan w:val="20"/>
          </w:tcPr>
          <w:p>
            <w:pPr>
              <w:spacing w:after="0" w:line="166" w:lineRule="exact"/>
              <w:rPr>
                <w:rFonts w:ascii="Arial" w:cs="Arial" w:eastAsia="Arial" w:hAnsi="Arial"/>
                <w:sz w:val="15"/>
                <w:szCs w:val="15"/>
                <w:color w:val="0000EE"/>
              </w:rPr>
            </w:pPr>
            <w:hyperlink w:anchor="page87">
              <w:r>
                <w:rPr>
                  <w:rFonts w:ascii="Arial" w:cs="Arial" w:eastAsia="Arial" w:hAnsi="Arial"/>
                  <w:sz w:val="15"/>
                  <w:szCs w:val="15"/>
                  <w:color w:val="0000EE"/>
                </w:rPr>
                <w:t>Principal Accountant Fees and Services</w:t>
              </w:r>
            </w:hyperlink>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86"/>
        </w:trPr>
        <w:tc>
          <w:tcPr>
            <w:tcW w:w="1460" w:type="dxa"/>
            <w:vAlign w:val="bottom"/>
            <w:gridSpan w:val="5"/>
          </w:tcPr>
          <w:p>
            <w:pPr>
              <w:spacing w:after="0"/>
              <w:rPr>
                <w:rFonts w:ascii="Arial" w:cs="Arial" w:eastAsia="Arial" w:hAnsi="Arial"/>
                <w:sz w:val="15"/>
                <w:szCs w:val="15"/>
                <w:b w:val="1"/>
                <w:bCs w:val="1"/>
                <w:color w:val="0000EE"/>
              </w:rPr>
            </w:pPr>
            <w:hyperlink w:anchor="page88">
              <w:r>
                <w:rPr>
                  <w:rFonts w:ascii="Arial" w:cs="Arial" w:eastAsia="Arial" w:hAnsi="Arial"/>
                  <w:sz w:val="15"/>
                  <w:szCs w:val="15"/>
                  <w:b w:val="1"/>
                  <w:bCs w:val="1"/>
                  <w:color w:val="0000EE"/>
                </w:rPr>
                <w:t>PART IV.</w:t>
              </w:r>
            </w:hyperlink>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0" w:type="dxa"/>
            <w:vAlign w:val="bottom"/>
            <w:tcBorders>
              <w:top w:val="single" w:sz="8" w:color="0000EE"/>
            </w:tcBorders>
            <w:gridSpan w:val="3"/>
          </w:tcPr>
          <w:p>
            <w:pPr>
              <w:spacing w:after="0" w:line="166" w:lineRule="exact"/>
              <w:rPr>
                <w:sz w:val="20"/>
                <w:szCs w:val="20"/>
                <w:color w:val="auto"/>
              </w:rPr>
            </w:pPr>
            <w:r>
              <w:rPr>
                <w:rFonts w:ascii="Arial" w:cs="Arial" w:eastAsia="Arial" w:hAnsi="Arial"/>
                <w:sz w:val="15"/>
                <w:szCs w:val="15"/>
                <w:color w:val="auto"/>
              </w:rPr>
              <w:t>Item 15.</w:t>
            </w:r>
          </w:p>
        </w:tc>
        <w:tc>
          <w:tcPr>
            <w:tcW w:w="860" w:type="dxa"/>
            <w:vAlign w:val="bottom"/>
            <w:gridSpan w:val="2"/>
          </w:tcPr>
          <w:p>
            <w:pPr>
              <w:spacing w:after="0"/>
              <w:rPr>
                <w:sz w:val="14"/>
                <w:szCs w:val="14"/>
                <w:color w:val="auto"/>
              </w:rPr>
            </w:pPr>
          </w:p>
        </w:tc>
        <w:tc>
          <w:tcPr>
            <w:tcW w:w="2560" w:type="dxa"/>
            <w:vAlign w:val="bottom"/>
            <w:tcBorders>
              <w:bottom w:val="single" w:sz="8" w:color="0000EE"/>
            </w:tcBorders>
            <w:gridSpan w:val="11"/>
          </w:tcPr>
          <w:p>
            <w:pPr>
              <w:spacing w:after="0" w:line="166" w:lineRule="exact"/>
              <w:rPr>
                <w:rFonts w:ascii="Arial" w:cs="Arial" w:eastAsia="Arial" w:hAnsi="Arial"/>
                <w:sz w:val="15"/>
                <w:szCs w:val="15"/>
                <w:color w:val="0000EE"/>
                <w:w w:val="86"/>
              </w:rPr>
            </w:pPr>
            <w:hyperlink w:anchor="page88">
              <w:r>
                <w:rPr>
                  <w:rFonts w:ascii="Arial" w:cs="Arial" w:eastAsia="Arial" w:hAnsi="Arial"/>
                  <w:sz w:val="15"/>
                  <w:szCs w:val="15"/>
                  <w:color w:val="0000EE"/>
                  <w:w w:val="86"/>
                </w:rPr>
                <w:t>Exhibits and Financial Statement Schedules</w:t>
              </w:r>
            </w:hyperlink>
          </w:p>
        </w:tc>
        <w:tc>
          <w:tcPr>
            <w:tcW w:w="6820" w:type="dxa"/>
            <w:vAlign w:val="bottom"/>
            <w:gridSpan w:val="9"/>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Signatures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5" w:right="2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5"/>
          <w:szCs w:val="15"/>
          <w:b w:val="1"/>
          <w:bCs w:val="1"/>
          <w:color w:val="231F20"/>
        </w:rPr>
        <w:t>FORWARD-LOOKING STATEMENTS</w:t>
      </w:r>
    </w:p>
    <w:p>
      <w:pPr>
        <w:spacing w:after="0" w:line="203" w:lineRule="exact"/>
        <w:rPr>
          <w:sz w:val="20"/>
          <w:szCs w:val="20"/>
          <w:color w:val="auto"/>
        </w:rPr>
      </w:pPr>
    </w:p>
    <w:p>
      <w:pPr>
        <w:ind w:firstLine="499"/>
        <w:spacing w:after="0" w:line="247" w:lineRule="auto"/>
        <w:rPr>
          <w:sz w:val="20"/>
          <w:szCs w:val="20"/>
          <w:color w:val="auto"/>
        </w:rPr>
      </w:pPr>
      <w:r>
        <w:rPr>
          <w:rFonts w:ascii="Arial" w:cs="Arial" w:eastAsia="Arial" w:hAnsi="Arial"/>
          <w:sz w:val="15"/>
          <w:szCs w:val="15"/>
          <w:color w:val="auto"/>
        </w:rPr>
        <w:t>This Annual Report on Form 10-K contains forward-looking statements. All statements other than statements of historical facts contained in this Annual Report on Form 10-K,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We make such forward-looking statements pursuant to the safe harbor provisions of the Private Securities Litigation Reform Act of 1995 and other federal securities laws.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3" w:lineRule="exact"/>
        <w:rPr>
          <w:sz w:val="20"/>
          <w:szCs w:val="20"/>
          <w:color w:val="auto"/>
        </w:rPr>
      </w:pPr>
    </w:p>
    <w:p>
      <w:pPr>
        <w:ind w:right="240" w:firstLine="489"/>
        <w:spacing w:after="0" w:line="321" w:lineRule="auto"/>
        <w:rPr>
          <w:sz w:val="20"/>
          <w:szCs w:val="20"/>
          <w:color w:val="auto"/>
        </w:rPr>
      </w:pPr>
      <w:r>
        <w:rPr>
          <w:rFonts w:ascii="Arial" w:cs="Arial" w:eastAsia="Arial" w:hAnsi="Arial"/>
          <w:sz w:val="12"/>
          <w:szCs w:val="12"/>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risks, uncertainties and assumptions described under the sections in this report titled “Risk Factors” and “Management’s Discussion and Analysis of Financial Condition and Results of Operations” and elsewhere in this report. These forward-looking statements are subject to numerous risks, including, without limitation, the following:</w:t>
      </w:r>
    </w:p>
    <w:p>
      <w:pPr>
        <w:spacing w:after="0" w:line="260" w:lineRule="exact"/>
        <w:rPr>
          <w:sz w:val="20"/>
          <w:szCs w:val="20"/>
          <w:color w:val="auto"/>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status as a development-stage company and our expectation to incur losses in the future;</w:t>
      </w:r>
    </w:p>
    <w:p>
      <w:pPr>
        <w:spacing w:after="0" w:line="46"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future capital needs and our need to raise additional funds;</w:t>
      </w:r>
    </w:p>
    <w:p>
      <w:pPr>
        <w:spacing w:after="0" w:line="46"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ability to build a pipeline of product candidates and develop and commercialize drugs;</w:t>
      </w:r>
    </w:p>
    <w:p>
      <w:pPr>
        <w:spacing w:after="0" w:line="46"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unproven approach to therapeutic intervention;</w:t>
      </w:r>
    </w:p>
    <w:p>
      <w:pPr>
        <w:spacing w:after="0" w:line="46"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ability to enroll patients in clinical trials, timely and successfully complete those trials and receive necessary regulatory approvals;</w:t>
      </w:r>
    </w:p>
    <w:p>
      <w:pPr>
        <w:spacing w:after="0" w:line="68"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ability to establish our own manufacturing facilities and to receive or manufacture sufficient quantities of our product candidates;</w:t>
      </w:r>
    </w:p>
    <w:p>
      <w:pPr>
        <w:spacing w:after="0" w:line="57"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ability to protect and enforce our intellectual property rights;</w:t>
      </w:r>
    </w:p>
    <w:p>
      <w:pPr>
        <w:spacing w:after="0" w:line="35"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federal, state, and foreign regulatory requirements, including FDA regulation of our product candidates;</w:t>
      </w:r>
    </w:p>
    <w:p>
      <w:pPr>
        <w:spacing w:after="0" w:line="68"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ability to obtain and retain key executives and attract and retain qualified personnel; and</w:t>
      </w:r>
    </w:p>
    <w:p>
      <w:pPr>
        <w:spacing w:after="0" w:line="57" w:lineRule="exact"/>
        <w:rPr>
          <w:rFonts w:ascii="Arial" w:cs="Arial" w:eastAsia="Arial" w:hAnsi="Arial"/>
          <w:sz w:val="15"/>
          <w:szCs w:val="15"/>
          <w:color w:val="231F20"/>
        </w:rPr>
      </w:pPr>
    </w:p>
    <w:p>
      <w:pPr>
        <w:ind w:left="700" w:hanging="198"/>
        <w:spacing w:after="0"/>
        <w:tabs>
          <w:tab w:leader="none" w:pos="700" w:val="left"/>
        </w:tabs>
        <w:numPr>
          <w:ilvl w:val="0"/>
          <w:numId w:val="3"/>
        </w:numPr>
        <w:rPr>
          <w:rFonts w:ascii="Arial" w:cs="Arial" w:eastAsia="Arial" w:hAnsi="Arial"/>
          <w:sz w:val="15"/>
          <w:szCs w:val="15"/>
          <w:color w:val="231F20"/>
        </w:rPr>
      </w:pPr>
      <w:r>
        <w:rPr>
          <w:rFonts w:ascii="Arial" w:cs="Arial" w:eastAsia="Arial" w:hAnsi="Arial"/>
          <w:sz w:val="15"/>
          <w:szCs w:val="15"/>
          <w:color w:val="auto"/>
        </w:rPr>
        <w:t>our ability to successfully manage our growth</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51435</wp:posOffset>
            </wp:positionV>
            <wp:extent cx="731202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180"/>
          </w:cols>
          <w:pgMar w:left="360" w:top="464"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5"/>
          <w:szCs w:val="15"/>
          <w:b w:val="1"/>
          <w:bCs w:val="1"/>
          <w:color w:val="auto"/>
        </w:rPr>
        <w:t>PART I</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4" w:lineRule="exact"/>
        <w:rPr>
          <w:sz w:val="20"/>
          <w:szCs w:val="20"/>
          <w:color w:val="auto"/>
        </w:rPr>
      </w:pPr>
    </w:p>
    <w:p>
      <w:pPr>
        <w:ind w:right="20" w:firstLine="520"/>
        <w:spacing w:after="0" w:line="266" w:lineRule="auto"/>
        <w:rPr>
          <w:sz w:val="20"/>
          <w:szCs w:val="20"/>
          <w:color w:val="auto"/>
        </w:rPr>
      </w:pPr>
      <w:r>
        <w:rPr>
          <w:rFonts w:ascii="Arial" w:cs="Arial" w:eastAsia="Arial" w:hAnsi="Arial"/>
          <w:sz w:val="14"/>
          <w:szCs w:val="14"/>
          <w:color w:val="auto"/>
        </w:rPr>
        <w:t xml:space="preserve">We are a microbiome therapeutics platform company developing a novel class of biological drugs, which we refer to as Ecobiotic microbiome therapeutics. The human microbiome is an ecology of microorganisms, including bacteria, fungi and viruses, that, when unhealthy, or dysbiotic, can leave the body more susceptible to infections, metabolic disorders, allergies, autoimmune disease, inflammation and other serious conditions. Our drugs are designed to restore health by repairing the function of a dysbiotic microbiome. We are initially focused on implementing our microbiome therapeutics platform to develop Ecobiotic microbiome therapeutics that treat dysbiosis in the colonic microbiome, one of the most diverse microbiomes in the human body. SER-109, our lead product candidate, is designed to prevent further recurrences of </w:t>
      </w:r>
      <w:r>
        <w:rPr>
          <w:rFonts w:ascii="Arial" w:cs="Arial" w:eastAsia="Arial" w:hAnsi="Arial"/>
          <w:sz w:val="14"/>
          <w:szCs w:val="14"/>
          <w:i w:val="1"/>
          <w:iCs w:val="1"/>
          <w:color w:val="auto"/>
        </w:rPr>
        <w:t>Clostridium difficile</w:t>
      </w:r>
      <w:r>
        <w:rPr>
          <w:rFonts w:ascii="Arial" w:cs="Arial" w:eastAsia="Arial" w:hAnsi="Arial"/>
          <w:sz w:val="14"/>
          <w:szCs w:val="14"/>
          <w:color w:val="auto"/>
        </w:rPr>
        <w:t xml:space="preserve"> infection, or CDI, a debilitating infection of the colon and, if approved by the U.S. Food and Drug Administration, or FDA, could be a first-in-field drug. In our Phase 1b/2 clinical study of SER-109 in recurrent CDI patients, 97% of patients achieved a clinical cure, which we defined as the absence of CDI requiring antibiotic treatment during the eight-week period after SER-109 dosing; 87 % of patients met the predefined endpoint of preventing recurrent CDI within eight weeks following administration of SER-109.</w:t>
      </w:r>
    </w:p>
    <w:p>
      <w:pPr>
        <w:spacing w:after="0" w:line="148" w:lineRule="exact"/>
        <w:rPr>
          <w:sz w:val="20"/>
          <w:szCs w:val="20"/>
          <w:color w:val="auto"/>
        </w:rPr>
      </w:pPr>
    </w:p>
    <w:p>
      <w:pPr>
        <w:ind w:right="40" w:firstLine="520"/>
        <w:spacing w:after="0" w:line="273" w:lineRule="auto"/>
        <w:rPr>
          <w:sz w:val="20"/>
          <w:szCs w:val="20"/>
          <w:color w:val="auto"/>
        </w:rPr>
      </w:pPr>
      <w:r>
        <w:rPr>
          <w:rFonts w:ascii="Arial" w:cs="Arial" w:eastAsia="Arial" w:hAnsi="Arial"/>
          <w:sz w:val="14"/>
          <w:szCs w:val="14"/>
          <w:color w:val="auto"/>
        </w:rPr>
        <w:t>SER-109 has been granted Breakthrough Therapy designation by the FDA for the treatment of recurrent CDI. Breakthrough Therapy designation is intended to expedite the development and review of drugs or biologics that treat serious or life-threatening diseases or conditions and where preliminary clinical evidence indicates the drug candidate may be a substantial improvement over existing therapies. In addition, SER-109 has received Orphan Drug designation from the FDA for the treatment of recurrent CDI. We initiated a Phase 2 clinical study of SER-109 for recurrent CDI and dosed the first patient in May 2015. We expect initial study results in the middle of 2016.</w:t>
      </w:r>
    </w:p>
    <w:p>
      <w:pPr>
        <w:spacing w:after="0" w:line="143"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The human microbiome is one of the richest and most diverse ecosystems on earth, with a population of more than 100 trillion microorganisms that live in our intestines, mouth, skin and elsewhere in the body. In a healthy, symbiotic state the colonic microbiome plays an important role in human health, helping the body digest food, resist pathogens, regulate the metabolic systems, develop and regulate the immune system and synthesize essential nutrients and vitamins. However, the colonic microbiome may change in composition for a variety of reasons, including in response to long-term or high-dose antibiotics and following gastrointestinal infection. These changes in composition result in the loss of key microbes, resulting in a state of dysbiosis. Dysbiosis of the colonic microbiome is associated with a wide range of serious disease and infections, such as gastrointestinal infection and inflammatory and metabolic diseases.</w:t>
      </w:r>
    </w:p>
    <w:p>
      <w:pPr>
        <w:spacing w:after="0" w:line="116" w:lineRule="exact"/>
        <w:rPr>
          <w:sz w:val="20"/>
          <w:szCs w:val="20"/>
          <w:color w:val="auto"/>
        </w:rPr>
      </w:pPr>
    </w:p>
    <w:p>
      <w:pPr>
        <w:ind w:right="140" w:firstLine="520"/>
        <w:spacing w:after="0" w:line="248" w:lineRule="auto"/>
        <w:rPr>
          <w:sz w:val="20"/>
          <w:szCs w:val="20"/>
          <w:color w:val="auto"/>
        </w:rPr>
      </w:pPr>
      <w:r>
        <w:rPr>
          <w:rFonts w:ascii="Arial" w:cs="Arial" w:eastAsia="Arial" w:hAnsi="Arial"/>
          <w:sz w:val="15"/>
          <w:szCs w:val="15"/>
          <w:color w:val="auto"/>
        </w:rPr>
        <w:t>While the study of the human microbiome is not new, the scientific community’s understanding of the microbiome, and the colonic microbiome in particular, has been significantly advanced through metagenomics, which has enabled the broader understanding of the human microbiome at the organismal, functional and community level. Scientific research has correlated dysbiosis in the colonic microbiome with numerous diseases and conditions in humans and in animal models, including: infections, metabolic disorders, allergies, autoimmune disease, inflammation and other non- specific conditions, such as inflammatory bowel disease, or IBD. Information regarding the impact of the colonic microbiome on various disease states continues to grow rapidly.</w:t>
      </w:r>
    </w:p>
    <w:p>
      <w:pPr>
        <w:spacing w:after="0" w:line="159" w:lineRule="exact"/>
        <w:rPr>
          <w:sz w:val="20"/>
          <w:szCs w:val="20"/>
          <w:color w:val="auto"/>
        </w:rPr>
      </w:pPr>
    </w:p>
    <w:p>
      <w:pPr>
        <w:ind w:right="20" w:firstLine="520"/>
        <w:spacing w:after="0" w:line="268" w:lineRule="auto"/>
        <w:rPr>
          <w:sz w:val="20"/>
          <w:szCs w:val="20"/>
          <w:color w:val="auto"/>
        </w:rPr>
      </w:pPr>
      <w:r>
        <w:rPr>
          <w:rFonts w:ascii="Arial" w:cs="Arial" w:eastAsia="Arial" w:hAnsi="Arial"/>
          <w:sz w:val="14"/>
          <w:szCs w:val="14"/>
          <w:color w:val="auto"/>
        </w:rPr>
        <w:t>We are developing a new approach to treating disease by restoring a dysbiotic colonic microbiome to a healthy state using our Ecobiotic microbiome therapeutics. Our approach is premised on the hypothesis that the proximal cause of many diseases is a dysbiosis in the natural state of the colonic microbiome that perpetuates the conditions that allow disease to take hold and flourish. We believe that the restoration of a dysbiotic colonic microbiome using rationally designed therapeutics represents a paradigm shift in the approach to treating the underlying disease. Our Ecobiotic microbiome therapeutics, which are derived from our microbiome therapeutics platform, are rationally designed ecological compositions, consisting of discrete combinations of beneficial microorganisms with targeted functional properties that provide the ability to re-establish keystone features of a functional microbiome in settings of disease. There are currently no FDA-approved therapeutics that are designed to restore the microbiome to a healthy state.</w:t>
      </w:r>
    </w:p>
    <w:p>
      <w:pPr>
        <w:spacing w:after="0" w:line="146" w:lineRule="exact"/>
        <w:rPr>
          <w:sz w:val="20"/>
          <w:szCs w:val="20"/>
          <w:color w:val="auto"/>
        </w:rPr>
      </w:pPr>
    </w:p>
    <w:p>
      <w:pPr>
        <w:ind w:right="140" w:firstLine="520"/>
        <w:spacing w:after="0" w:line="268" w:lineRule="auto"/>
        <w:rPr>
          <w:sz w:val="20"/>
          <w:szCs w:val="20"/>
          <w:color w:val="auto"/>
        </w:rPr>
      </w:pPr>
      <w:r>
        <w:rPr>
          <w:rFonts w:ascii="Arial" w:cs="Arial" w:eastAsia="Arial" w:hAnsi="Arial"/>
          <w:sz w:val="14"/>
          <w:szCs w:val="14"/>
          <w:color w:val="auto"/>
        </w:rPr>
        <w:t>Our approach to discovery and design is based on an iterative bedside-to-bench-to-bedside drug discovery strategy that begins with data on the human microbiome that we gather from clinical studies. From these data, we identify the ecological differences between a healthy and a diseased microbiome, which we then use to rationally design potential Ecobiotic microbiome therapeutics. After further in-lab testing, selected Ecobiotic microbiome therapeutic candidates are moved back into the clinic for testing with humans. We apply a comparative genomic systems biology framework that leverages proprietary computation, microbiology and screening capabilities to design lead candidates targeted at these ecological deficiencies. We are able to apply this framework and experience to existing clinical data sets, as well as to the proprietary clinical data set we have generated through our SER-109 clinical trials. We believe we can utilize our knowledge and data to design Ecobiotic microbiome therapeutics to treat various medical</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475" w:right="259" w:bottom="1440" w:gutter="0" w:footer="0" w:header="0"/>
        </w:sectPr>
      </w:pPr>
    </w:p>
    <w:bookmarkStart w:id="4" w:name="page5"/>
    <w:bookmarkEnd w:id="4"/>
    <w:p>
      <w:pPr>
        <w:ind w:right="120"/>
        <w:spacing w:after="0" w:line="248" w:lineRule="auto"/>
        <w:rPr>
          <w:sz w:val="20"/>
          <w:szCs w:val="20"/>
          <w:color w:val="auto"/>
        </w:rPr>
      </w:pPr>
      <w:r>
        <w:rPr>
          <w:rFonts w:ascii="Arial" w:cs="Arial" w:eastAsia="Arial" w:hAnsi="Arial"/>
          <w:sz w:val="15"/>
          <w:szCs w:val="15"/>
          <w:color w:val="auto"/>
        </w:rPr>
        <w:t>conditions, such as non-</w:t>
      </w:r>
      <w:r>
        <w:rPr>
          <w:rFonts w:ascii="Arial" w:cs="Arial" w:eastAsia="Arial" w:hAnsi="Arial"/>
          <w:sz w:val="15"/>
          <w:szCs w:val="15"/>
          <w:i w:val="1"/>
          <w:iCs w:val="1"/>
          <w:color w:val="auto"/>
        </w:rPr>
        <w:t>Clostridium difficile</w:t>
      </w:r>
      <w:r>
        <w:rPr>
          <w:rFonts w:ascii="Arial" w:cs="Arial" w:eastAsia="Arial" w:hAnsi="Arial"/>
          <w:sz w:val="15"/>
          <w:szCs w:val="15"/>
          <w:color w:val="auto"/>
        </w:rPr>
        <w:t xml:space="preserve"> infection and inflammatory and metabolic diseases. We also have advanced capabilities in the fermentation of colonic bacteria and the formulation of vegetative and spore forms of bacteria into therapeutics. We believe that the combination of experience, proprietary data and proprietary know-how that comprise our microbiome therapeutics platform provides us with a competitive advantage in the design and development of microbiome therapeutics. Further, our approach and platform, which enable the rational design, testing, optimization, formulation and manufacturing of Ecobiotic microbiome therapeutics, provide a framework that we believe can significantly reduce the time typically required to advance therapeutics to the clinic.</w:t>
      </w:r>
    </w:p>
    <w:p>
      <w:pPr>
        <w:spacing w:after="0" w:line="159" w:lineRule="exact"/>
        <w:rPr>
          <w:sz w:val="20"/>
          <w:szCs w:val="20"/>
          <w:color w:val="auto"/>
        </w:rPr>
      </w:pPr>
    </w:p>
    <w:p>
      <w:pPr>
        <w:ind w:firstLine="520"/>
        <w:spacing w:after="0" w:line="311" w:lineRule="auto"/>
        <w:rPr>
          <w:sz w:val="20"/>
          <w:szCs w:val="20"/>
          <w:color w:val="auto"/>
        </w:rPr>
      </w:pPr>
      <w:r>
        <w:rPr>
          <w:rFonts w:ascii="Arial" w:cs="Arial" w:eastAsia="Arial" w:hAnsi="Arial"/>
          <w:sz w:val="12"/>
          <w:szCs w:val="12"/>
          <w:color w:val="auto"/>
        </w:rPr>
        <w:t xml:space="preserve">Using our microbiome therapeutics platform, we are developing our lead clinical product candidate, SER-109, which is designed to durably repair dysbiosis in the colonic microbiome in the setting of recurrent CDI. CDI is most often caused by the use of broad spectrum antibiotics which induce dysbiosis of the microbiome causing susceptibility to infection by </w:t>
      </w:r>
      <w:r>
        <w:rPr>
          <w:rFonts w:ascii="Arial" w:cs="Arial" w:eastAsia="Arial" w:hAnsi="Arial"/>
          <w:sz w:val="12"/>
          <w:szCs w:val="12"/>
          <w:i w:val="1"/>
          <w:iCs w:val="1"/>
          <w:color w:val="auto"/>
        </w:rPr>
        <w:t>Clostridium</w:t>
      </w:r>
      <w:r>
        <w:rPr>
          <w:rFonts w:ascii="Arial" w:cs="Arial" w:eastAsia="Arial" w:hAnsi="Arial"/>
          <w:sz w:val="12"/>
          <w:szCs w:val="12"/>
          <w:color w:val="auto"/>
        </w:rPr>
        <w:t xml:space="preserve"> </w:t>
      </w:r>
      <w:r>
        <w:rPr>
          <w:rFonts w:ascii="Arial" w:cs="Arial" w:eastAsia="Arial" w:hAnsi="Arial"/>
          <w:sz w:val="12"/>
          <w:szCs w:val="12"/>
          <w:i w:val="1"/>
          <w:iCs w:val="1"/>
          <w:color w:val="auto"/>
        </w:rPr>
        <w:t>difficile</w:t>
      </w:r>
      <w:r>
        <w:rPr>
          <w:rFonts w:ascii="Arial" w:cs="Arial" w:eastAsia="Arial" w:hAnsi="Arial"/>
          <w:sz w:val="12"/>
          <w:szCs w:val="12"/>
          <w:color w:val="auto"/>
        </w:rPr>
        <w:t>, or</w:t>
      </w:r>
      <w:r>
        <w:rPr>
          <w:rFonts w:ascii="Arial" w:cs="Arial" w:eastAsia="Arial" w:hAnsi="Arial"/>
          <w:sz w:val="12"/>
          <w:szCs w:val="12"/>
          <w:i w:val="1"/>
          <w:iCs w:val="1"/>
          <w:color w:val="auto"/>
        </w:rPr>
        <w:t xml:space="preserve"> C. difficile</w:t>
      </w:r>
      <w:r>
        <w:rPr>
          <w:rFonts w:ascii="Arial" w:cs="Arial" w:eastAsia="Arial" w:hAnsi="Arial"/>
          <w:sz w:val="12"/>
          <w:szCs w:val="12"/>
          <w:color w:val="auto"/>
        </w:rPr>
        <w:t>, a spore forming bacterium. CDI leads to severe and persistent diarrhea in infected individuals, but can also lead to more severe outcomes, such as inflammation of the colon,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toxic megacolon and death. The U.S. Centers for Disease Control, or CDC, has identified CDI as one of the top three most urgent antibiotic-resistant bacterial threats in the United States. It is the most common cause of hospital acquired infection in the United States and has overtaken methicillin-resistant </w:t>
      </w:r>
      <w:r>
        <w:rPr>
          <w:rFonts w:ascii="Arial" w:cs="Arial" w:eastAsia="Arial" w:hAnsi="Arial"/>
          <w:sz w:val="12"/>
          <w:szCs w:val="12"/>
          <w:i w:val="1"/>
          <w:iCs w:val="1"/>
          <w:color w:val="auto"/>
        </w:rPr>
        <w:t>Staphylococcus aureus</w:t>
      </w:r>
      <w:r>
        <w:rPr>
          <w:rFonts w:ascii="Arial" w:cs="Arial" w:eastAsia="Arial" w:hAnsi="Arial"/>
          <w:sz w:val="12"/>
          <w:szCs w:val="12"/>
          <w:color w:val="auto"/>
        </w:rPr>
        <w:t xml:space="preserve">, or MRSA. CDI is responsible for the deaths of approximately 29,000 Americans each year. We estimate the incidence of primary CDI in the United States is between 640,000 and 820,000 patients per year. While the epidemiological data are varied outside the United States, we believe that, due to the widespread use of antibiotics, CDI is a growing global disease. The standard of care for CDI is to treat with antibiotics. In many cases, antibiotic treatments may resolve the acute infection caused by </w:t>
      </w:r>
      <w:r>
        <w:rPr>
          <w:rFonts w:ascii="Arial" w:cs="Arial" w:eastAsia="Arial" w:hAnsi="Arial"/>
          <w:sz w:val="12"/>
          <w:szCs w:val="12"/>
          <w:i w:val="1"/>
          <w:iCs w:val="1"/>
          <w:color w:val="auto"/>
        </w:rPr>
        <w:t>C. difficile</w:t>
      </w:r>
      <w:r>
        <w:rPr>
          <w:rFonts w:ascii="Arial" w:cs="Arial" w:eastAsia="Arial" w:hAnsi="Arial"/>
          <w:sz w:val="12"/>
          <w:szCs w:val="12"/>
          <w:color w:val="auto"/>
        </w:rPr>
        <w:t xml:space="preserve">. However, these antibiotic treatments kill bacteria broadly, inducing a dysbiosis of the microbiome and potentially making patients more susceptible to a recurrence of CDI. For those patients who experience a recurrence of their CDI, we believe it is this dysbiosis of the microbiome, not the presence of </w:t>
      </w:r>
      <w:r>
        <w:rPr>
          <w:rFonts w:ascii="Arial" w:cs="Arial" w:eastAsia="Arial" w:hAnsi="Arial"/>
          <w:sz w:val="12"/>
          <w:szCs w:val="12"/>
          <w:i w:val="1"/>
          <w:iCs w:val="1"/>
          <w:color w:val="auto"/>
        </w:rPr>
        <w:t>C. difficile</w:t>
      </w:r>
      <w:r>
        <w:rPr>
          <w:rFonts w:ascii="Arial" w:cs="Arial" w:eastAsia="Arial" w:hAnsi="Arial"/>
          <w:sz w:val="12"/>
          <w:szCs w:val="12"/>
          <w:color w:val="auto"/>
        </w:rPr>
        <w:t>, which is the proximal cause of disease. Research suggests that the risk of recurrence is approximately 25% after the primary CDI, 40% after a first recurrence and greater than 60% for those experiencing two or more recurrences. In addition, a recent randomized trial comparing two antibiotics for the treatment of primary CDI indicated that 8% of patients receiving fidaxomicin and 9% of patients receiving vancomycin did not respond to these antibiotics. We estimate that the addressable population of patients in the United States with recurrent CDI, defined as patients who have experienced at least three occurrences of CDI in the past nine months, is between 85,000 and 110,000 patients per year.</w:t>
      </w:r>
    </w:p>
    <w:p>
      <w:pPr>
        <w:spacing w:after="0" w:line="305" w:lineRule="exact"/>
        <w:rPr>
          <w:sz w:val="20"/>
          <w:szCs w:val="20"/>
          <w:color w:val="auto"/>
        </w:rPr>
      </w:pPr>
    </w:p>
    <w:p>
      <w:pPr>
        <w:ind w:right="20" w:firstLine="520"/>
        <w:spacing w:after="0" w:line="316" w:lineRule="auto"/>
        <w:rPr>
          <w:sz w:val="20"/>
          <w:szCs w:val="20"/>
          <w:color w:val="auto"/>
        </w:rPr>
      </w:pPr>
      <w:r>
        <w:rPr>
          <w:rFonts w:ascii="Arial" w:cs="Arial" w:eastAsia="Arial" w:hAnsi="Arial"/>
          <w:sz w:val="12"/>
          <w:szCs w:val="12"/>
          <w:color w:val="auto"/>
        </w:rPr>
        <w:t>SER-109 is a bacterial spore ecology consisting of an average of approximately 50 bacterial species derived from healthy donors’ fecal matter. SER-109 is designed to prevent further recurrences of CDI in patients suffering from recurrent CDI by restoring the dysbiotic microbiome to a state of health. In our recently completed open label Phase 1b/2 clinical study, results demonstrated that 87 percent of patients (26 of 30) met the predefined endpoint of preventing recurrent CDI within eight weeks following administration of SER-109. 97 percent of patients (29 of 30), achieved a clinical cure, which we defined as the absence of CDI requiring antibiotic treatment during the eight-week period after SER-109 dosing. The study demonstrated that SER-109 is well-tolerated and has a favorable safety profile with no serious adverse events considered by the investigators to be attributable to SER-109 treatment.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 a healthy state. SER-109 has been granted both Breakthrough Therapy and Orphan Drug designations by the FDA. We initiated a Phase 2 clinical study of SER-109 for recurrent CDI and dosed the first patient in May 2015. We expect initial study results in the middle of 2016. We have conducted manufacturing process pre-validation studies of SER-109 to support a Phase 3 clinical trial and a potential biologics license application and commercial launch.</w:t>
      </w:r>
    </w:p>
    <w:p>
      <w:pPr>
        <w:spacing w:after="0" w:line="297" w:lineRule="exact"/>
        <w:rPr>
          <w:sz w:val="20"/>
          <w:szCs w:val="20"/>
          <w:color w:val="auto"/>
        </w:rPr>
      </w:pPr>
    </w:p>
    <w:p>
      <w:pPr>
        <w:ind w:right="40" w:firstLine="520"/>
        <w:spacing w:after="0" w:line="310" w:lineRule="auto"/>
        <w:rPr>
          <w:sz w:val="20"/>
          <w:szCs w:val="20"/>
          <w:color w:val="auto"/>
        </w:rPr>
      </w:pPr>
      <w:r>
        <w:rPr>
          <w:rFonts w:ascii="Arial" w:cs="Arial" w:eastAsia="Arial" w:hAnsi="Arial"/>
          <w:sz w:val="12"/>
          <w:szCs w:val="12"/>
          <w:color w:val="auto"/>
        </w:rPr>
        <w:t>We believe the results of our open label Phase 1b/2 clinical study of SER-109 provide validation of the hypothesis underlying our microbiome therapeutics platform, supporting its further use to develop additional Ecobiotic microbiome therapeutics. Using the data we obtained from the SER-109 clinical trial, we are developing SER-262 as an Ecobiotic microbiome therapeutic designed to be used following antibiotic treatment of primary CDI to prevent the initial recurrence of CDI. SER-262 consists of bacteria that are a subset of the bacterial ecology comprising SER-</w:t>
      </w:r>
    </w:p>
    <w:p>
      <w:pPr>
        <w:spacing w:after="0" w:line="1" w:lineRule="exact"/>
        <w:rPr>
          <w:sz w:val="20"/>
          <w:szCs w:val="20"/>
          <w:color w:val="auto"/>
        </w:rPr>
      </w:pPr>
    </w:p>
    <w:p>
      <w:pPr>
        <w:ind w:right="20" w:firstLine="8"/>
        <w:spacing w:after="0" w:line="317" w:lineRule="auto"/>
        <w:tabs>
          <w:tab w:leader="none" w:pos="291" w:val="left"/>
        </w:tabs>
        <w:numPr>
          <w:ilvl w:val="0"/>
          <w:numId w:val="4"/>
        </w:numPr>
        <w:rPr>
          <w:rFonts w:ascii="Arial" w:cs="Arial" w:eastAsia="Arial" w:hAnsi="Arial"/>
          <w:sz w:val="12"/>
          <w:szCs w:val="12"/>
          <w:color w:val="auto"/>
        </w:rPr>
      </w:pPr>
      <w:r>
        <w:rPr>
          <w:rFonts w:ascii="Arial" w:cs="Arial" w:eastAsia="Arial" w:hAnsi="Arial"/>
          <w:sz w:val="12"/>
          <w:szCs w:val="12"/>
          <w:color w:val="auto"/>
        </w:rPr>
        <w:t>Unlike SER-109, SER-262 strains are clonally isolated and produced in fermenters and do not require sourcing raw materials from human donations. There are several advantages to using a synthetic approach to developing microbiome therapeutics. Synthetically derived product candidates can be scaled up to meet global demand in a reliable reproducible manner, with well-defined characteristics. Based on our metagenomics expertise, proprietary in silico algorithms, world-leading, proprietary bacterial library, and field-leading manufacturing capabilities, we believe we can design synthetically produced microbiome therapeutic candidates for specific target indications. Importantly, our unique capabilities provide Seres with a significant competitive advantage in developing synthetically produced microbiome therapies. Pre-clinical studies of SER-262 have demonstrated efficacy in preventing the initial recurrence of CDI in mouse and hamster models. We intend to initiate clinical studies of SER-262 in patients with primary CDI to prevent recurrence in the middle of 2016.</w:t>
      </w:r>
    </w:p>
    <w:p>
      <w:pPr>
        <w:spacing w:after="0" w:line="121" w:lineRule="exact"/>
        <w:rPr>
          <w:sz w:val="20"/>
          <w:szCs w:val="20"/>
          <w:color w:val="auto"/>
        </w:rPr>
      </w:pPr>
    </w:p>
    <w:p>
      <w:pPr>
        <w:ind w:right="420" w:firstLine="535"/>
        <w:spacing w:after="0" w:line="262" w:lineRule="auto"/>
        <w:rPr>
          <w:sz w:val="20"/>
          <w:szCs w:val="20"/>
          <w:color w:val="auto"/>
        </w:rPr>
      </w:pPr>
      <w:r>
        <w:rPr>
          <w:rFonts w:ascii="Arial" w:cs="Arial" w:eastAsia="Arial" w:hAnsi="Arial"/>
          <w:sz w:val="15"/>
          <w:szCs w:val="15"/>
          <w:color w:val="auto"/>
        </w:rPr>
        <w:t>In addition to our ongoing SER-109 clinical trial, we initiated our Phase 1b study for our inflammatory bowel disease, or IBD, drug candidate, SER-287, in December 2015 and are enrolling subjects with active mild to moderate ulcerative colitis to evaluate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4"/>
          <w:szCs w:val="14"/>
          <w:color w:val="auto"/>
        </w:rPr>
        <w:t>safety and efficacy of SER-287 added to standard of care treatment. The randomized, placebo-controlled multiple dose Phase 1b study of SER-287 is expected to enroll up to 55 subjects with active mild-to-moderate UC who are failing current therapies. The primary endpoint of the study will evaluate the change in the microbiome resulting from SER-287 treatment. The study will also evaluate clinical response, mucosal healing, as well as metabolomic, immunological and safety findings. The clinical development of SER-287 to treat UC is supported by preclinical studies in multiple animal models of colitis that provide evidence that SER-287 administration results in reduced pathology. Published clinical reports furthermore suggest that modulation of the microbiome through repetitive fecal microbiota transplants may lead to meaningful clinical response in certain UC patients.</w:t>
      </w:r>
    </w:p>
    <w:p>
      <w:pPr>
        <w:spacing w:after="0" w:line="145" w:lineRule="exact"/>
        <w:rPr>
          <w:sz w:val="20"/>
          <w:szCs w:val="20"/>
          <w:color w:val="auto"/>
        </w:rPr>
      </w:pPr>
    </w:p>
    <w:p>
      <w:pPr>
        <w:ind w:firstLine="535"/>
        <w:spacing w:after="0" w:line="265" w:lineRule="auto"/>
        <w:rPr>
          <w:sz w:val="20"/>
          <w:szCs w:val="20"/>
          <w:color w:val="auto"/>
        </w:rPr>
      </w:pPr>
      <w:r>
        <w:rPr>
          <w:rFonts w:ascii="Arial" w:cs="Arial" w:eastAsia="Arial" w:hAnsi="Arial"/>
          <w:sz w:val="14"/>
          <w:szCs w:val="14"/>
          <w:color w:val="auto"/>
        </w:rPr>
        <w:t>In addition to our CDI and IBD product candidates, we are utilizing our microbiome therapeutics platform to develop SER-155 for the prevention of transplant-related mortality (due to infection and graft versus host disease, or, GvHD) in allogeneic hematopoietic stem cell transplant, or allo-HSCT, recipients. Published clinical evidence shows that allo-HSCT patients with reduced microbiome diversity due to antibiotic exposure are far more likely to die due to infection or GvHD (Taur et al., Blood, 2015). Notably, the SER-109 Phase 1b/2 study results demonstrated the elimination of drug-resistant organisms and other pathobiont species from a patient’s gastrointestinal tract. We are also researching Ecobiotic microbiome therapeutics for the treatment of metabolic diseases, such as early-stage, non-insulin dependent diabetes, non-alcoholic steatohepatitis (NASH), obesity and metabolic syndrome.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 The role of the microbiome in immuno-oncology therapies has also become apparent with recent important publications in humans and animal models (Dublin K. et al., Nature, 2016; Vetizou M. et al., Science 2015; Sivan A. et al., Science 2015) and we are applying our platform here as well.</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chart summarizes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119380</wp:posOffset>
            </wp:positionV>
            <wp:extent cx="3132455" cy="2285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2455"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firstLine="520"/>
        <w:spacing w:after="0" w:line="265" w:lineRule="auto"/>
        <w:rPr>
          <w:sz w:val="20"/>
          <w:szCs w:val="20"/>
          <w:color w:val="auto"/>
        </w:rPr>
      </w:pPr>
      <w:r>
        <w:rPr>
          <w:rFonts w:ascii="Arial" w:cs="Arial" w:eastAsia="Arial" w:hAnsi="Arial"/>
          <w:sz w:val="14"/>
          <w:szCs w:val="14"/>
          <w:color w:val="auto"/>
        </w:rPr>
        <w:t>We have assembled a world class group of scientists, clinicians, directors and investors, who have established our leadership in the field of microbiome therapeutics. We were co-founded by Drs. Noubar Afeyan, David Berry and Geoffrey von Maltzahn of Flagship VentureLabs, the innovation foundry of Flagship Ventures, which has founded over 25 life sciences companies. Through Flagship VentureLabs’ contribution of foundational scientific concepts and intellectual property, assembly of our management team and critical early-stage support, we launched as the first company focused on the ecological nature of the microbiome. Led by Dr. Roger Pomerantz, our Chairman, President and Chief Executive Officer, our experienced management team possesses core capabilities in microbiome therapeutics, infectious disease, drug development, commercialization, chemistry, manufacturing and controls, or CMC, public company management and finance. Dr. Pomerantz, an infectious disease physician-scientist, has extensive experience in infectious disease drug development and commercialization, licensing and acquisitions gained over a 10-year career in senior executive positions at Merck &amp; Co, Johnson &amp; Johnson and Tibotec Pharmaceuticals. Dr. Pomerantz led the development and commercialization of eight FDA-approved infectious disease drugs in his career. Collectively, our management team has successfully developed 18 approved pharmaceutical drugs in infectious disease and other indications. Our management team has extensive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6" w:name="page7"/>
    <w:bookmarkEnd w:id="6"/>
    <w:p>
      <w:pPr>
        <w:jc w:val="both"/>
        <w:ind w:right="120"/>
        <w:spacing w:after="0" w:line="252" w:lineRule="auto"/>
        <w:rPr>
          <w:sz w:val="20"/>
          <w:szCs w:val="20"/>
          <w:color w:val="auto"/>
        </w:rPr>
      </w:pPr>
      <w:r>
        <w:rPr>
          <w:rFonts w:ascii="Arial" w:cs="Arial" w:eastAsia="Arial" w:hAnsi="Arial"/>
          <w:sz w:val="15"/>
          <w:szCs w:val="15"/>
          <w:color w:val="auto"/>
        </w:rPr>
        <w:t>experience in microbial ecology, microbiology and live biologicals, with over 25 years studying the microbiome and over 60 published papers on the science of the microbiome. Additionally, our team has extensive experience in building out commercial capabilities in specialty diseases and has a track record for success in launching vaccine products, which have analogous manufacturing processes to that of Ecobiotic microbiome therapeutics.</w:t>
      </w:r>
    </w:p>
    <w:p>
      <w:pPr>
        <w:spacing w:after="0" w:line="157" w:lineRule="exact"/>
        <w:rPr>
          <w:sz w:val="20"/>
          <w:szCs w:val="20"/>
          <w:color w:val="auto"/>
        </w:rPr>
      </w:pPr>
    </w:p>
    <w:p>
      <w:pPr>
        <w:ind w:right="60" w:firstLine="520"/>
        <w:spacing w:after="0" w:line="248" w:lineRule="auto"/>
        <w:rPr>
          <w:sz w:val="20"/>
          <w:szCs w:val="20"/>
          <w:color w:val="auto"/>
        </w:rPr>
      </w:pPr>
      <w:r>
        <w:rPr>
          <w:rFonts w:ascii="Arial" w:cs="Arial" w:eastAsia="Arial" w:hAnsi="Arial"/>
          <w:sz w:val="15"/>
          <w:szCs w:val="15"/>
          <w:color w:val="auto"/>
        </w:rPr>
        <w:t>In January 2016 we entered into a Collaboration and License Agreement, or the License Agreement, with Nestec Ltd., or NHS, for the development and commercialization of certain of our product candidates in development for the treatment and management of CDI and IBD, including ulcerative colitis and Crohn’s disease. The License Agreement will support the development of our portfolio of products for CDI and IBD in markets outside of the United States and Canada, or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159"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the parties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Collaboration Product in certain non-EU countries within the Licensed Territory may revert to us if NHS either elects not to pursue commercialization of such Collaboration Product in such country, or fails to meet certain agreed upon milestones for commercialization of such Collaboration Product in such country. If the licensed rights in any country revert to us in this way, then we would pay to NHS a royalty in the mid-single digits on net sales of such Collaboration Product in such country.</w:t>
      </w:r>
    </w:p>
    <w:p>
      <w:pPr>
        <w:spacing w:after="0" w:line="150"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The License Agreement sets forth our and NHS’ respective obligations for development, commercialization, regulatory and manufacturing and supply activities for the NHS Collaboration Products with respect to the licensed fields and the Licensed Territory. Under the License Agreement, our and NHS’ development activities will be governed by global and regional development plans, including the conduct of additional clinical studies. We agreed to manufacture and supply NHS Collaboration Products to support development and commercialization of NHS Collaboration Products in the licensed fields and in the Licensed Territory. We also agreed to use diligent efforts to develop NHS Collaboration Products under a global development plan and to obtain approval for such NHS Collaboration Products in the European Union, or EU.</w:t>
      </w:r>
    </w:p>
    <w:p>
      <w:pPr>
        <w:spacing w:after="0" w:line="159" w:lineRule="exact"/>
        <w:rPr>
          <w:sz w:val="20"/>
          <w:szCs w:val="20"/>
          <w:color w:val="auto"/>
        </w:rPr>
      </w:pPr>
    </w:p>
    <w:p>
      <w:pPr>
        <w:ind w:right="80" w:firstLine="520"/>
        <w:spacing w:after="0" w:line="270" w:lineRule="auto"/>
        <w:rPr>
          <w:sz w:val="20"/>
          <w:szCs w:val="20"/>
          <w:color w:val="auto"/>
        </w:rPr>
      </w:pPr>
      <w:r>
        <w:rPr>
          <w:rFonts w:ascii="Arial" w:cs="Arial" w:eastAsia="Arial" w:hAnsi="Arial"/>
          <w:sz w:val="14"/>
          <w:szCs w:val="14"/>
          <w:color w:val="auto"/>
        </w:rPr>
        <w:t>In exchange for the license, NHS is obligated to pay the Company an upfront cash payment of $120 million, which the Company received in February 2016. NHS has also agreed to pay the Company tiered royalties, at percentages ranging from the high single digits to high teens, of net sales of NHS Collaboration Products in the Licensed Territory. Additionally, NHS has agreed to pay the Company up to $660 million for the achievement of certain development and regulatory milestones and up to an aggregate of $1.125 billion for the achievement of certain commercial milestones related to the sales of NHS Collaboration Products. We expect to receive a total of $30 million in milestone payments in 2016 associated with the planned initiation of a Phase 1b study for SER-262 in CDI and the anticipated initiation of the Phase 3 clinical trial for SER-109 in CDI.</w:t>
      </w:r>
    </w:p>
    <w:p>
      <w:pPr>
        <w:spacing w:after="0" w:line="145" w:lineRule="exact"/>
        <w:rPr>
          <w:sz w:val="20"/>
          <w:szCs w:val="20"/>
          <w:color w:val="auto"/>
        </w:rPr>
      </w:pPr>
    </w:p>
    <w:p>
      <w:pPr>
        <w:ind w:right="220" w:firstLine="520"/>
        <w:spacing w:after="0" w:line="249" w:lineRule="auto"/>
        <w:rPr>
          <w:sz w:val="20"/>
          <w:szCs w:val="20"/>
          <w:color w:val="auto"/>
        </w:rPr>
      </w:pPr>
      <w:r>
        <w:rPr>
          <w:rFonts w:ascii="Arial" w:cs="Arial" w:eastAsia="Arial" w:hAnsi="Arial"/>
          <w:sz w:val="15"/>
          <w:szCs w:val="15"/>
          <w:color w:val="auto"/>
        </w:rPr>
        <w:t>For the development of NHS Collaboration Products for IBD under a global development plan, we are obligated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will pay the costs of such activities to support approval in the United States and Canada, and NHS will bear the cost of such activities to support approval of NHS Collaboration Products in the Licensed Territory.</w:t>
      </w:r>
    </w:p>
    <w:p>
      <w:pPr>
        <w:spacing w:after="0" w:line="159" w:lineRule="exact"/>
        <w:rPr>
          <w:sz w:val="20"/>
          <w:szCs w:val="20"/>
          <w:color w:val="auto"/>
        </w:rPr>
      </w:pPr>
    </w:p>
    <w:p>
      <w:pPr>
        <w:ind w:right="120" w:firstLine="520"/>
        <w:spacing w:after="0" w:line="270" w:lineRule="auto"/>
        <w:rPr>
          <w:sz w:val="20"/>
          <w:szCs w:val="20"/>
          <w:color w:val="auto"/>
        </w:rPr>
      </w:pPr>
      <w:r>
        <w:rPr>
          <w:rFonts w:ascii="Arial" w:cs="Arial" w:eastAsia="Arial" w:hAnsi="Arial"/>
          <w:sz w:val="14"/>
          <w:szCs w:val="14"/>
          <w:color w:val="auto"/>
        </w:rPr>
        <w:t>With respect to development of NHS Collaboration Products for CDI under a global development plan, we agreed to pay all costs of an ongoing Phase 2 clinical trial for SER-109 and of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7" w:name="page8"/>
    <w:bookmarkEnd w:id="7"/>
    <w:p>
      <w:pPr>
        <w:ind w:firstLine="520"/>
        <w:spacing w:after="0" w:line="325" w:lineRule="auto"/>
        <w:rPr>
          <w:sz w:val="20"/>
          <w:szCs w:val="20"/>
          <w:color w:val="auto"/>
        </w:rPr>
      </w:pPr>
      <w:r>
        <w:rPr>
          <w:rFonts w:ascii="Arial" w:cs="Arial" w:eastAsia="Arial" w:hAnsi="Arial"/>
          <w:sz w:val="12"/>
          <w:szCs w:val="12"/>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116" w:lineRule="exact"/>
        <w:rPr>
          <w:sz w:val="20"/>
          <w:szCs w:val="20"/>
          <w:color w:val="auto"/>
        </w:rPr>
      </w:pPr>
    </w:p>
    <w:p>
      <w:pPr>
        <w:ind w:right="580"/>
        <w:spacing w:after="0" w:line="262" w:lineRule="auto"/>
        <w:rPr>
          <w:sz w:val="20"/>
          <w:szCs w:val="20"/>
          <w:color w:val="auto"/>
        </w:rPr>
      </w:pPr>
      <w:r>
        <w:rPr>
          <w:rFonts w:ascii="Arial" w:cs="Arial" w:eastAsia="Arial" w:hAnsi="Arial"/>
          <w:sz w:val="15"/>
          <w:szCs w:val="15"/>
          <w:color w:val="auto"/>
        </w:rPr>
        <w:t>The License Agreement contains customary representations and warranties, intellectual property protection provisions, certain indemnification rights in favor of each party and customary confidentiality provisions and limitations of liability.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Strategy</w:t>
      </w:r>
    </w:p>
    <w:p>
      <w:pPr>
        <w:spacing w:after="0" w:line="182" w:lineRule="exact"/>
        <w:rPr>
          <w:sz w:val="20"/>
          <w:szCs w:val="20"/>
          <w:color w:val="auto"/>
        </w:rPr>
      </w:pPr>
    </w:p>
    <w:p>
      <w:pPr>
        <w:ind w:right="560" w:firstLine="520"/>
        <w:spacing w:after="0" w:line="262" w:lineRule="auto"/>
        <w:rPr>
          <w:sz w:val="20"/>
          <w:szCs w:val="20"/>
          <w:color w:val="auto"/>
        </w:rPr>
      </w:pPr>
      <w:r>
        <w:rPr>
          <w:rFonts w:ascii="Arial" w:cs="Arial" w:eastAsia="Arial" w:hAnsi="Arial"/>
          <w:sz w:val="15"/>
          <w:szCs w:val="15"/>
          <w:color w:val="auto"/>
        </w:rPr>
        <w:t>Our goal is to become the leading biopharmaceutical company developing and commercializing microbiome therapeutics to address significant unmet medical needs. The critical components of our strategy include:</w:t>
      </w:r>
    </w:p>
    <w:p>
      <w:pPr>
        <w:spacing w:after="0" w:line="61" w:lineRule="exact"/>
        <w:rPr>
          <w:sz w:val="20"/>
          <w:szCs w:val="20"/>
          <w:color w:val="auto"/>
        </w:rPr>
      </w:pPr>
    </w:p>
    <w:p>
      <w:pPr>
        <w:ind w:left="1040" w:hanging="518"/>
        <w:spacing w:after="0" w:line="313" w:lineRule="auto"/>
        <w:tabs>
          <w:tab w:leader="none" w:pos="10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Rapidly advancing the development of our lead product candidate, SER-109, for the prevention of further recurrences of CDI in patients with recurrent CDI. </w:t>
      </w:r>
      <w:r>
        <w:rPr>
          <w:rFonts w:ascii="Arial" w:cs="Arial" w:eastAsia="Arial" w:hAnsi="Arial"/>
          <w:sz w:val="12"/>
          <w:szCs w:val="12"/>
          <w:color w:val="auto"/>
        </w:rPr>
        <w:t>SER-109 has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been granted both Orphan Drug and Breakthrough Therapy designation by the FDA for the treatment of CDI. Breakthrough Therapy designation provides for intensive guidance from the FDA in an effort to expedite the drug development process. Based on the results from our recently completed Phase 1b/2 clinical study of SER-109, we dosed the first patient in a Phase 2 clinical study in May 2015 in patients with three or more occurrences of CDI within the previous nine months. We expect to enroll 87 patients in a double-blinded and placebo-controlled clinical trial, with patients randomized in a ratio of 2:1 into a SER-109 arm or placebo arm. The primary endpoint of the trial is the absence of CDI recurrence requiring antibiotic treatment during the eight-week follow-up period after dosing. We also plan to follow patients for an additional 16 weeks to document the safety profile of SER-109 compared to placebo. Secondary endpoints include the time to CDI recurrence and the proportion of patients experiencing CDI recurrence at four weeks, 12 weeks and 24 weeks. We also plan to compare changes in the composition of the colonic microbiome from baseline to Week 24 post-treatment using genomic analysis. In addition, subjects that recur in either arm of the study will have the option to enroll in a parallel open label safety study in which patients will receive SER-109. We expect results from the Phase 2 clinical study in the middle of 2016. Following the analysis of the data from our Phase 2 clinical study, we plan to meet with the FDA to present Phase 2 safety and efficacy results and a proposed protocol for the Phase 3 clinical trial. We plan to initiate the Phase 3 clinical trial in the second half of 2016.</w:t>
      </w:r>
    </w:p>
    <w:p>
      <w:pPr>
        <w:spacing w:after="0" w:line="213" w:lineRule="exact"/>
        <w:rPr>
          <w:rFonts w:ascii="Arial" w:cs="Arial" w:eastAsia="Arial" w:hAnsi="Arial"/>
          <w:sz w:val="12"/>
          <w:szCs w:val="12"/>
          <w:color w:val="auto"/>
        </w:rPr>
      </w:pPr>
    </w:p>
    <w:p>
      <w:pPr>
        <w:ind w:left="1040" w:right="20" w:hanging="518"/>
        <w:spacing w:after="0" w:line="332" w:lineRule="auto"/>
        <w:tabs>
          <w:tab w:leader="none" w:pos="10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Advancing the clinical development of SER-262 to be used following antibiotic treatment of primary CDI to prevent an initial recurrence of CDI. </w:t>
      </w:r>
      <w:r>
        <w:rPr>
          <w:rFonts w:ascii="Arial" w:cs="Arial" w:eastAsia="Arial" w:hAnsi="Arial"/>
          <w:sz w:val="12"/>
          <w:szCs w:val="12"/>
          <w:color w:val="auto"/>
        </w:rPr>
        <w:t>We are developing SER-262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as a therapeutic to be used following antibiotic treatment of primary CDI to prevent an initial recurrence of CDI. SER-262 contains a subset of the bacterial ecology comprising SER-109, however, SER-262 is not derived from human stool and, in contrast, is made in bacterial fermenters in a rational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design. Pre-clinical studies of SER-262 have demonstrated efficacy similar to SER-109 in mouse and hamster models of CDI. We intend to initiate clinical studies of SER-262 in the middle of 2016.</w:t>
      </w:r>
    </w:p>
    <w:p>
      <w:pPr>
        <w:spacing w:after="0" w:line="24" w:lineRule="exact"/>
        <w:rPr>
          <w:rFonts w:ascii="Arial" w:cs="Arial" w:eastAsia="Arial" w:hAnsi="Arial"/>
          <w:sz w:val="12"/>
          <w:szCs w:val="12"/>
          <w:color w:val="auto"/>
        </w:rPr>
      </w:pPr>
    </w:p>
    <w:p>
      <w:pPr>
        <w:ind w:left="1040" w:hanging="518"/>
        <w:spacing w:after="0" w:line="177" w:lineRule="exact"/>
        <w:tabs>
          <w:tab w:leader="none" w:pos="10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Continued clinical development of SER-287 for the treatment of IBD, including ulcerative colitis. </w:t>
      </w:r>
      <w:r>
        <w:rPr>
          <w:rFonts w:ascii="Arial" w:cs="Arial" w:eastAsia="Arial" w:hAnsi="Arial"/>
          <w:sz w:val="12"/>
          <w:szCs w:val="12"/>
          <w:color w:val="auto"/>
        </w:rPr>
        <w:t>In December of 2015, we initiated a Phase 1b clinical trial evaluating SER</w:t>
      </w:r>
      <w:r>
        <w:rPr>
          <w:rFonts w:ascii="MS PGothic" w:cs="MS PGothic" w:eastAsia="MS PGothic" w:hAnsi="MS PGothic"/>
          <w:sz w:val="12"/>
          <w:szCs w:val="12"/>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287 in patients with mild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moderate ulcerative colitis. The randomized, placebo-controlled multiple dose Phase 1b study of SER-287 is expected to enroll up to 55 subjects with active mild-to-moderate ulcerative colitis who are failing current therapies. The primary endpoint of the study will evaluate the change in the microbiome resulting from SER-287 treatment. The study will also evaluate clinical response, mucosal healing, as well as metabolomic, immunological and safety findings. The clinical development of SER-287 to treat UC is supported by preclinical studies in multiple animal models of colitis that provide evidence that SER-287 administration results in reduced pathology. Published clinical reports furthermore suggest that modulation of the microbiome through repetitive fecal microbiota transplants may lead to meaningful clinical response in certain UC patients.</w:t>
      </w:r>
    </w:p>
    <w:p>
      <w:pPr>
        <w:spacing w:after="0" w:line="78" w:lineRule="exact"/>
        <w:rPr>
          <w:rFonts w:ascii="Arial" w:cs="Arial" w:eastAsia="Arial" w:hAnsi="Arial"/>
          <w:sz w:val="12"/>
          <w:szCs w:val="12"/>
          <w:color w:val="auto"/>
        </w:rPr>
      </w:pPr>
    </w:p>
    <w:p>
      <w:pPr>
        <w:ind w:left="1040" w:right="460" w:hanging="518"/>
        <w:spacing w:after="0" w:line="298" w:lineRule="auto"/>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Developing SER-155 for the treatment of antibiotic resistant bacteria. </w:t>
      </w:r>
      <w:r>
        <w:rPr>
          <w:rFonts w:ascii="Arial" w:cs="Arial" w:eastAsia="Arial" w:hAnsi="Arial"/>
          <w:sz w:val="14"/>
          <w:szCs w:val="14"/>
          <w:color w:val="auto"/>
        </w:rPr>
        <w:t>We are designing and developing SER-155, an Ecobiotic microbiome therapeutic candidate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prevention of transplant-related mortality (due to infection and GvHD) in allogeneic hematopoietic stem cell transplant (HSCT) recipients.</w:t>
      </w:r>
    </w:p>
    <w:p>
      <w:pPr>
        <w:spacing w:after="0" w:line="37" w:lineRule="exact"/>
        <w:rPr>
          <w:rFonts w:ascii="Arial" w:cs="Arial" w:eastAsia="Arial" w:hAnsi="Arial"/>
          <w:sz w:val="14"/>
          <w:szCs w:val="14"/>
          <w:color w:val="auto"/>
        </w:rPr>
      </w:pPr>
    </w:p>
    <w:p>
      <w:pPr>
        <w:ind w:left="1040" w:right="200" w:hanging="518"/>
        <w:spacing w:after="0" w:line="387" w:lineRule="auto"/>
        <w:tabs>
          <w:tab w:leader="none" w:pos="10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Leveraging our leading microbiome therapeutics platform to develop additional innovative and novel Ecobiotic microbiome therapeutics across a range of serious medical conditions with high unmet need including infectious disease, metabolic disease, inflammatory disease, rare genetic disease, and applications in immuno-oncology. </w:t>
      </w:r>
      <w:r>
        <w:rPr>
          <w:rFonts w:ascii="Arial" w:cs="Arial" w:eastAsia="Arial" w:hAnsi="Arial"/>
          <w:sz w:val="12"/>
          <w:szCs w:val="12"/>
          <w:color w:val="auto"/>
        </w:rPr>
        <w:t>We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8" w:name="page9"/>
    <w:bookmarkEnd w:id="8"/>
    <w:p>
      <w:pPr>
        <w:ind w:left="1040" w:right="500"/>
        <w:spacing w:after="0" w:line="249" w:lineRule="auto"/>
        <w:rPr>
          <w:sz w:val="20"/>
          <w:szCs w:val="20"/>
          <w:color w:val="auto"/>
        </w:rPr>
      </w:pPr>
      <w:r>
        <w:rPr>
          <w:rFonts w:ascii="Arial" w:cs="Arial" w:eastAsia="Arial" w:hAnsi="Arial"/>
          <w:sz w:val="15"/>
          <w:szCs w:val="15"/>
          <w:color w:val="auto"/>
        </w:rPr>
        <w:t>believe that the combination of experience, proprietary data and proprietary know-how related to the microbiome and of the production of microbial strains provides us a competitive advantage in the design and development of microbiome therapeutics. Our platform enables us to build upon our existing and growing clinical experience to rationally approach the treatment of acute and complex chronic diseases. We intend to leverage this advantage to develop additional innovative Ecobiotic microbiome therapeutics.</w:t>
      </w:r>
    </w:p>
    <w:p>
      <w:pPr>
        <w:spacing w:after="0" w:line="72" w:lineRule="exact"/>
        <w:rPr>
          <w:sz w:val="20"/>
          <w:szCs w:val="20"/>
          <w:color w:val="auto"/>
        </w:rPr>
      </w:pPr>
    </w:p>
    <w:p>
      <w:pPr>
        <w:ind w:left="1040" w:right="100" w:hanging="518"/>
        <w:spacing w:after="0" w:line="247"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Commercializing our Ecobiotic microbiome therapeutics, including SER-109, directly in the United States and Canada and with collaborators outside of North America. </w:t>
      </w:r>
      <w:r>
        <w:rPr>
          <w:rFonts w:ascii="Arial" w:cs="Arial" w:eastAsia="Arial" w:hAnsi="Arial"/>
          <w:sz w:val="15"/>
          <w:szCs w:val="15"/>
          <w:color w:val="auto"/>
        </w:rPr>
        <w:t>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January 2016, we announced a strategic collaboration with Nestlé Health Science for microbiome-based </w:t>
      </w:r>
      <w:r>
        <w:rPr>
          <w:rFonts w:ascii="Arial" w:cs="Arial" w:eastAsia="Arial" w:hAnsi="Arial"/>
          <w:sz w:val="15"/>
          <w:szCs w:val="15"/>
          <w:i w:val="1"/>
          <w:iCs w:val="1"/>
          <w:color w:val="auto"/>
        </w:rPr>
        <w:t>Clostridium difficile</w:t>
      </w:r>
      <w:r>
        <w:rPr>
          <w:rFonts w:ascii="Arial" w:cs="Arial" w:eastAsia="Arial" w:hAnsi="Arial"/>
          <w:sz w:val="15"/>
          <w:szCs w:val="15"/>
          <w:color w:val="auto"/>
        </w:rPr>
        <w:t xml:space="preserve"> and inflammatory bowel disease therapies in markets outside the United States and Canada. We have retained the worldwide rights for therapies developed outside of these indications. We believe the market for recurrent CDI is sufficiently concentrated to permit us to effectively commercialize SER-109 in the United States with a highly focused and specialized sales force of less than 100 individuals. We intend to leverage the experience gained by commercializing SER-109 in the United States to further build our direct sales force to address the larger patient population to be addressed by SER-262.</w:t>
      </w:r>
    </w:p>
    <w:p>
      <w:pPr>
        <w:spacing w:after="0" w:line="72" w:lineRule="exact"/>
        <w:rPr>
          <w:rFonts w:ascii="Arial" w:cs="Arial" w:eastAsia="Arial" w:hAnsi="Arial"/>
          <w:sz w:val="15"/>
          <w:szCs w:val="15"/>
          <w:color w:val="auto"/>
        </w:rPr>
      </w:pPr>
    </w:p>
    <w:p>
      <w:pPr>
        <w:ind w:left="1040" w:right="20" w:hanging="518"/>
        <w:spacing w:after="0" w:line="325" w:lineRule="auto"/>
        <w:tabs>
          <w:tab w:leader="none" w:pos="10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Developing manufacturing capabilities sufficient to support commercialization of any approved Ecobiotic microbiome therapeutic candidates. </w:t>
      </w:r>
      <w:r>
        <w:rPr>
          <w:rFonts w:ascii="Arial" w:cs="Arial" w:eastAsia="Arial" w:hAnsi="Arial"/>
          <w:sz w:val="12"/>
          <w:szCs w:val="12"/>
          <w:color w:val="auto"/>
        </w:rPr>
        <w:t>If approved by the FDA,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believe SER-109 could be a first-in-field drug, which will require manufacturing capabilities that are distinct from other biologic drugs. We intend to make strategic investments in manufacturing capabilities to help ensure that we maintain control of our know-how and also because we believe these capabilities will be necessary and highly advantageous for the development of future Ecobiotic microbiome therapeutics such as SER-287 and SER-262. Our bioprocess and manufacturing personnel are focused on creating a platform of manufacturing expertise that will set the stage for further advances in the emerging field of microbiome therapeutics.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Understanding the Microbiome and Its Impact on Disease</w:t>
      </w:r>
    </w:p>
    <w:p>
      <w:pPr>
        <w:spacing w:after="0" w:line="182" w:lineRule="exact"/>
        <w:rPr>
          <w:sz w:val="20"/>
          <w:szCs w:val="20"/>
          <w:color w:val="auto"/>
        </w:rPr>
      </w:pPr>
    </w:p>
    <w:p>
      <w:pPr>
        <w:ind w:right="80" w:firstLine="520"/>
        <w:spacing w:after="0" w:line="321" w:lineRule="auto"/>
        <w:rPr>
          <w:sz w:val="20"/>
          <w:szCs w:val="20"/>
          <w:color w:val="auto"/>
        </w:rPr>
      </w:pPr>
      <w:r>
        <w:rPr>
          <w:rFonts w:ascii="Arial" w:cs="Arial" w:eastAsia="Arial" w:hAnsi="Arial"/>
          <w:sz w:val="12"/>
          <w:szCs w:val="12"/>
          <w:color w:val="auto"/>
        </w:rPr>
        <w:t>The human microbiome is one of the richest and most diverse ecosystems on earth with a population of approximately 40 trillion microorganisms that live in our intestines, mouth, skin and elsewhere in the body. These microbiomes have numerous beneficial functions necessary to supporting health, such as digesting food, preventing disease-causing bacteria from invading the body, regulating our immune system and synthesizing essential nutrients and vitamins. Among the various microbiomes in the human body, the colonic microbiome is one of the most diverse microbial communities. At up to 100 billion to one trillion cells per milliliter, it is among the densest microbial ecosystems ever observed. In a healthy, symbiotic state the colonic microbiome enables the body to function normally. However, the colonic microbiome can change in composition, such as in response to long-term or high-dose exposure to antibiotics or following a gastrointestinal infection. As a result, there can be a loss of key microbes that results in a state of dysbiosis. Dysbiosis of the microbiome is associated with a wide range of disease and infections.</w:t>
      </w:r>
    </w:p>
    <w:p>
      <w:pPr>
        <w:spacing w:after="0" w:line="118" w:lineRule="exact"/>
        <w:rPr>
          <w:sz w:val="20"/>
          <w:szCs w:val="20"/>
          <w:color w:val="auto"/>
        </w:rPr>
      </w:pPr>
    </w:p>
    <w:p>
      <w:pPr>
        <w:ind w:firstLine="520"/>
        <w:spacing w:after="0" w:line="279" w:lineRule="auto"/>
        <w:rPr>
          <w:sz w:val="20"/>
          <w:szCs w:val="20"/>
          <w:color w:val="auto"/>
        </w:rPr>
      </w:pPr>
      <w:r>
        <w:rPr>
          <w:rFonts w:ascii="Arial" w:cs="Arial" w:eastAsia="Arial" w:hAnsi="Arial"/>
          <w:sz w:val="14"/>
          <w:szCs w:val="14"/>
          <w:color w:val="auto"/>
        </w:rPr>
        <w:t>Although bacteria are often associated with infection and disease, much of the bacteria that colonize the human body are essential for life. Until recently, few scientific studies existed that focused on the benefits of the bacteria comprising the microbiome. In 2005, the National Institutes of Health funded the Human Microbiome Project, or HMP, which had as one of its goals the characterization of the microbiome with enough specificity to enable the study of variations in the microbiome and their influence on disease.</w:t>
      </w:r>
    </w:p>
    <w:p>
      <w:pPr>
        <w:spacing w:after="0" w:line="139" w:lineRule="exact"/>
        <w:rPr>
          <w:sz w:val="20"/>
          <w:szCs w:val="20"/>
          <w:color w:val="auto"/>
        </w:rPr>
      </w:pPr>
    </w:p>
    <w:p>
      <w:pPr>
        <w:ind w:right="200" w:firstLine="520"/>
        <w:spacing w:after="0" w:line="247" w:lineRule="auto"/>
        <w:rPr>
          <w:sz w:val="20"/>
          <w:szCs w:val="20"/>
          <w:color w:val="auto"/>
        </w:rPr>
      </w:pPr>
      <w:r>
        <w:rPr>
          <w:rFonts w:ascii="Arial" w:cs="Arial" w:eastAsia="Arial" w:hAnsi="Arial"/>
          <w:sz w:val="15"/>
          <w:szCs w:val="15"/>
          <w:color w:val="auto"/>
        </w:rPr>
        <w:t>Historically, researchers studied microbes in patients by isolating pathogens and growing them in culture. This process typically identifies only a limited diversity of microbial species. The HMP used genomic sequencing technologies to analyze 5,000 samples, representing more than 3.5 terabases of genome sequence data, to identify specific genetic signals found only in bacteria. HMP researchers estimate that more than 5,000 unique microbial species occupy the human ecosystem, and these researchers believe they have characterized the normal range of microbial variation in the U.S. population. Importantly, HMP researchers have discovered that different consortia of microbes may accomplish the same metabolic activity, and the presence of those metabolic activities is more important than the exact species of microbe providing the function. Results from the HMP have provided a robust baseline microbiome against which disease states can be compared.</w:t>
      </w:r>
    </w:p>
    <w:p>
      <w:pPr>
        <w:spacing w:after="0" w:line="160" w:lineRule="exact"/>
        <w:rPr>
          <w:sz w:val="20"/>
          <w:szCs w:val="20"/>
          <w:color w:val="auto"/>
        </w:rPr>
      </w:pPr>
    </w:p>
    <w:p>
      <w:pPr>
        <w:ind w:right="40" w:firstLine="520"/>
        <w:spacing w:after="0" w:line="249" w:lineRule="auto"/>
        <w:rPr>
          <w:sz w:val="20"/>
          <w:szCs w:val="20"/>
          <w:color w:val="auto"/>
        </w:rPr>
      </w:pPr>
      <w:r>
        <w:rPr>
          <w:rFonts w:ascii="Arial" w:cs="Arial" w:eastAsia="Arial" w:hAnsi="Arial"/>
          <w:sz w:val="15"/>
          <w:szCs w:val="15"/>
          <w:color w:val="auto"/>
        </w:rPr>
        <w:t xml:space="preserve">Compared to the baseline data developed by the HMP, numerous scientific studies are emerging in both animals and humans, suggesting that many human diseases can be correlated with dysbiosis of the microbiome. These include infections, such as CDI or vancomycin-resistant </w:t>
      </w:r>
      <w:r>
        <w:rPr>
          <w:rFonts w:ascii="Arial" w:cs="Arial" w:eastAsia="Arial" w:hAnsi="Arial"/>
          <w:sz w:val="15"/>
          <w:szCs w:val="15"/>
          <w:i w:val="1"/>
          <w:iCs w:val="1"/>
          <w:color w:val="auto"/>
        </w:rPr>
        <w:t>Enterococcus</w:t>
      </w:r>
      <w:r>
        <w:rPr>
          <w:rFonts w:ascii="Arial" w:cs="Arial" w:eastAsia="Arial" w:hAnsi="Arial"/>
          <w:sz w:val="15"/>
          <w:szCs w:val="15"/>
          <w:color w:val="auto"/>
        </w:rPr>
        <w:t>, or VRE; metabolic disorders, such as early-stage, non-insulin dependent diabetes, obesity and non-alcoholic fatty liver disease; allergies; autoimmune disease; inflammatory diseases, such as ulcerative colitis, Crohn’s disease and pouchitis, and immune-oncology related applications. Examples of some studies include:</w:t>
      </w:r>
    </w:p>
    <w:p>
      <w:pPr>
        <w:spacing w:after="0" w:line="72" w:lineRule="exact"/>
        <w:rPr>
          <w:sz w:val="20"/>
          <w:szCs w:val="20"/>
          <w:color w:val="auto"/>
        </w:rPr>
      </w:pPr>
    </w:p>
    <w:p>
      <w:pPr>
        <w:ind w:left="640" w:right="80" w:hanging="381"/>
        <w:spacing w:after="0" w:line="262" w:lineRule="auto"/>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results of a study published in PLOS Pathogens in 2012 suggested that a mixture of six different bacteria found naturally in the gastrointestinal system of mice, when isolated from stool and reintroduced into the infected mice, was effective at</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566" w:right="259" w:bottom="1440" w:gutter="0" w:footer="0" w:header="0"/>
        </w:sectPr>
      </w:pPr>
    </w:p>
    <w:bookmarkStart w:id="9" w:name="page10"/>
    <w:bookmarkEnd w:id="9"/>
    <w:p>
      <w:pPr>
        <w:ind w:left="640"/>
        <w:spacing w:after="0"/>
        <w:rPr>
          <w:sz w:val="20"/>
          <w:szCs w:val="20"/>
          <w:color w:val="auto"/>
        </w:rPr>
      </w:pPr>
      <w:r>
        <w:rPr>
          <w:rFonts w:ascii="Arial" w:cs="Arial" w:eastAsia="Arial" w:hAnsi="Arial"/>
          <w:sz w:val="12"/>
          <w:szCs w:val="12"/>
          <w:color w:val="auto"/>
        </w:rPr>
        <w:t>suppressing CDI (Lawley et al., PLOS Pathogens, 2012). Researchers in the study found that a single treatment of the bacteria was sufficient and that the suppression lasted for months.</w:t>
      </w:r>
    </w:p>
    <w:p>
      <w:pPr>
        <w:spacing w:after="0" w:line="212" w:lineRule="exact"/>
        <w:rPr>
          <w:sz w:val="20"/>
          <w:szCs w:val="20"/>
          <w:color w:val="auto"/>
        </w:rPr>
      </w:pPr>
    </w:p>
    <w:p>
      <w:pPr>
        <w:ind w:left="640" w:hanging="381"/>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placebo-controlled, randomized, blinded clinical study published in Gastroenterology in 2015 showed that repetitive fecal microbiota transplant, or FMT, delivered via enema weekly</w:t>
      </w:r>
    </w:p>
    <w:p>
      <w:pPr>
        <w:spacing w:after="0" w:line="48" w:lineRule="exact"/>
        <w:rPr>
          <w:sz w:val="20"/>
          <w:szCs w:val="20"/>
          <w:color w:val="auto"/>
        </w:rPr>
      </w:pPr>
    </w:p>
    <w:p>
      <w:pPr>
        <w:ind w:left="640" w:right="400"/>
        <w:spacing w:after="0" w:line="281" w:lineRule="auto"/>
        <w:rPr>
          <w:sz w:val="20"/>
          <w:szCs w:val="20"/>
          <w:color w:val="auto"/>
        </w:rPr>
      </w:pPr>
      <w:r>
        <w:rPr>
          <w:rFonts w:ascii="Arial" w:cs="Arial" w:eastAsia="Arial" w:hAnsi="Arial"/>
          <w:sz w:val="14"/>
          <w:szCs w:val="14"/>
          <w:color w:val="auto"/>
        </w:rPr>
        <w:t>for 6 weeks could induce clinical remissions in patients with active ulcerative colitis (Moayyedi et al., Gastroenterology, 2015) This study used an established measure of colonic mucosal healing to assess the efficacy of FMT compared to placebo, thus demonstrating the role of the microbiome in treating active ulcerative colitis.</w:t>
      </w:r>
    </w:p>
    <w:p>
      <w:pPr>
        <w:spacing w:after="0" w:line="312" w:lineRule="exact"/>
        <w:rPr>
          <w:sz w:val="20"/>
          <w:szCs w:val="20"/>
          <w:color w:val="auto"/>
        </w:rPr>
      </w:pPr>
    </w:p>
    <w:p>
      <w:pPr>
        <w:jc w:val="both"/>
        <w:ind w:left="640" w:right="260" w:hanging="381"/>
        <w:spacing w:after="0" w:line="252"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placebo-controlled, randomized, blinded clinical study published in Gastroenterology in 2012 showed that administration of FMT derived from lean donors to obese subjects with metabolic syndrome could transiently increase insulin sensitivity (Vrieze et al, Gastro, 2012). This study furthermore identified changes in the microbiome of the small intestine that might have caused the effect.</w:t>
      </w:r>
    </w:p>
    <w:p>
      <w:pPr>
        <w:spacing w:after="0" w:line="156" w:lineRule="exact"/>
        <w:rPr>
          <w:rFonts w:ascii="Arial" w:cs="Arial" w:eastAsia="Arial" w:hAnsi="Arial"/>
          <w:sz w:val="15"/>
          <w:szCs w:val="15"/>
          <w:color w:val="auto"/>
        </w:rPr>
      </w:pPr>
    </w:p>
    <w:p>
      <w:pPr>
        <w:ind w:left="640" w:right="100" w:hanging="381"/>
        <w:spacing w:after="0" w:line="248"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Two studies in mouse cancer models, both published in Science in 2015, demonstrated that the anti-tumor response to checkpoint inhibitors could be enhanced by altering the microbiome (Velizou et al., Science 2015; Slvan et al., Science 2015). In addition, a prospective study in melanoma patients receiving anti-CTLA4 therapy for their cancer was published in Nature in 2016 and showed that a difference in the microbiome prior to treatment of patients who suffer from anti-CTLA4 induced colitis compared to patients who do not experience colitis (Dubin et al., Nature, 2016). Taken together, these results suggest that microbiome therapies might improve the safety and efficacy of checkpoint inhibitors in immuno-oncology treatments.</w:t>
      </w:r>
    </w:p>
    <w:p>
      <w:pPr>
        <w:spacing w:after="0" w:line="333" w:lineRule="exact"/>
        <w:rPr>
          <w:rFonts w:ascii="Arial" w:cs="Arial" w:eastAsia="Arial" w:hAnsi="Arial"/>
          <w:sz w:val="15"/>
          <w:szCs w:val="15"/>
          <w:color w:val="auto"/>
        </w:rPr>
      </w:pPr>
    </w:p>
    <w:p>
      <w:pPr>
        <w:jc w:val="both"/>
        <w:ind w:left="640" w:hanging="381"/>
        <w:spacing w:after="0" w:line="252"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study published in the Journal of Clinical Investigation in 2015 demonstrated that the microbiome of mice could be engineered to treat hyperammonemia, a clinical consequence of a set of rare genetic diseases known as Urea Cycle Disorders (Shen et al., JCI, 2015). In this preclinical model, gut microbes that lack a functional urease gene were able to alter ammonia balance in the blood, suggesting a new route to novel therapeutics.</w:t>
      </w:r>
    </w:p>
    <w:p>
      <w:pPr>
        <w:spacing w:after="0" w:line="157" w:lineRule="exact"/>
        <w:rPr>
          <w:sz w:val="20"/>
          <w:szCs w:val="20"/>
          <w:color w:val="auto"/>
        </w:rPr>
      </w:pPr>
    </w:p>
    <w:p>
      <w:pPr>
        <w:ind w:right="500" w:firstLine="520"/>
        <w:spacing w:after="0" w:line="262" w:lineRule="auto"/>
        <w:rPr>
          <w:sz w:val="20"/>
          <w:szCs w:val="20"/>
          <w:color w:val="auto"/>
        </w:rPr>
      </w:pPr>
      <w:r>
        <w:rPr>
          <w:rFonts w:ascii="Arial" w:cs="Arial" w:eastAsia="Arial" w:hAnsi="Arial"/>
          <w:sz w:val="15"/>
          <w:szCs w:val="15"/>
          <w:color w:val="auto"/>
        </w:rPr>
        <w:t>There are currently no microbiome therapeutics approved by the FDA. We believe that the ability to develop drugs that are able to modulate the microbiome and return a dysbiotic microbiome to its healthy state presents a significant opportunity to improve human health.</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Microbiome Therapeutics Platform</w:t>
      </w:r>
    </w:p>
    <w:p>
      <w:pPr>
        <w:spacing w:after="0" w:line="182" w:lineRule="exact"/>
        <w:rPr>
          <w:sz w:val="20"/>
          <w:szCs w:val="20"/>
          <w:color w:val="auto"/>
        </w:rPr>
      </w:pPr>
    </w:p>
    <w:p>
      <w:pPr>
        <w:ind w:right="120" w:firstLine="520"/>
        <w:spacing w:after="0" w:line="325" w:lineRule="auto"/>
        <w:rPr>
          <w:sz w:val="20"/>
          <w:szCs w:val="20"/>
          <w:color w:val="auto"/>
        </w:rPr>
      </w:pPr>
      <w:r>
        <w:rPr>
          <w:rFonts w:ascii="Arial" w:cs="Arial" w:eastAsia="Arial" w:hAnsi="Arial"/>
          <w:sz w:val="12"/>
          <w:szCs w:val="12"/>
          <w:color w:val="auto"/>
        </w:rPr>
        <w:t>We are developing a new approach to restoring health in settings of microbiome dysbiosis by using our microbiome therapeutics platform to develop Ecobiotic microbiome therapeutics. Our microbiome therapeutics platform is premised on the hypothesis that the proximal cause or significant contributor to multifactorial diseases is a dysbiosis of the colonic microbiome. We believe this represents a paradigm shift in approaching the way the underlying disease is defined and can be treated. Our microbiome therapeutics are a novel class of biological drugs designed to treat disease by restoring a dysbiotic microbiome to a state of health. They represent rationally defined ecological compositions, consisting of discrete combinations of beneficial microorganisms with targeted functional properties that provide the ability to re-establish keystone features of a functional microbiome in settings of disease.</w:t>
      </w:r>
    </w:p>
    <w:p>
      <w:pPr>
        <w:spacing w:after="0" w:line="116" w:lineRule="exact"/>
        <w:rPr>
          <w:sz w:val="20"/>
          <w:szCs w:val="20"/>
          <w:color w:val="auto"/>
        </w:rPr>
      </w:pPr>
    </w:p>
    <w:p>
      <w:pPr>
        <w:ind w:right="60" w:firstLine="520"/>
        <w:spacing w:after="0" w:line="346" w:lineRule="auto"/>
        <w:rPr>
          <w:sz w:val="20"/>
          <w:szCs w:val="20"/>
          <w:color w:val="auto"/>
        </w:rPr>
      </w:pPr>
      <w:r>
        <w:rPr>
          <w:rFonts w:ascii="Arial" w:cs="Arial" w:eastAsia="Arial" w:hAnsi="Arial"/>
          <w:sz w:val="12"/>
          <w:szCs w:val="12"/>
          <w:color w:val="auto"/>
        </w:rPr>
        <w:t>Our microbiome therapeutics platform integrates genomic and related data sets, proprietary algorithms and computational analysis, sequencing and screening and clinical insights. This platform allows us to rationally design, test, optimize, formulate and manufacture Ecobiotic microbiome therapeutics. Our microbiome therapeutics platform provides a framework that we believe can significantly reduce the time typically required to advance therapeutics to the clinic. The following diagram depicts the steps in our fully end-to-end microbiome therapeutics platform:</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Trials and Cohort Studies</w:t>
      </w:r>
    </w:p>
    <w:p>
      <w:pPr>
        <w:spacing w:after="0" w:line="90"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Our discovery process begins with human data derived from clinical trials and cohort studies, which we use as a basis for designing our Ecobiotic microbiome therapeutics. This allows us to compare the colonic microbiome of healthy normal individuals to those in a dysbiotic state, revealing the ecological and functional signatures of microbiome differences that we target using our Ecobiotic microbiome therapeutics. Additionally, our experience with SER-109 serves as a critical dataset for humans, instructing us on how the introduction of certain keystone microbes can facilitate and augment the restoration of a dysbiotic colonic microbiome for other indications. Using these proprietary insights and tools we can evaluate emerging data sets that link a change in the microbiome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10" w:name="page11"/>
    <w:bookmarkEnd w:id="10"/>
    <w:p>
      <w:pPr>
        <w:ind w:right="180"/>
        <w:spacing w:after="0" w:line="262" w:lineRule="auto"/>
        <w:rPr>
          <w:sz w:val="20"/>
          <w:szCs w:val="20"/>
          <w:color w:val="auto"/>
        </w:rPr>
      </w:pPr>
      <w:r>
        <w:rPr>
          <w:rFonts w:ascii="Arial" w:cs="Arial" w:eastAsia="Arial" w:hAnsi="Arial"/>
          <w:sz w:val="15"/>
          <w:szCs w:val="15"/>
          <w:color w:val="auto"/>
        </w:rPr>
        <w:t>with various diseases and define therapeutic lead candidates.. By using our genomic data sets and our proprietary tools combined with our experience with SER-109, we integrate clinical results into bench research to design our Ecobiotic microbiome therapeutics.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Ecobiotic Candidate Design</w:t>
      </w:r>
    </w:p>
    <w:p>
      <w:pPr>
        <w:spacing w:after="0" w:line="90" w:lineRule="exact"/>
        <w:rPr>
          <w:sz w:val="20"/>
          <w:szCs w:val="20"/>
          <w:color w:val="auto"/>
        </w:rPr>
      </w:pPr>
    </w:p>
    <w:p>
      <w:pPr>
        <w:ind w:right="40" w:firstLine="520"/>
        <w:spacing w:after="0" w:line="387" w:lineRule="auto"/>
        <w:rPr>
          <w:sz w:val="20"/>
          <w:szCs w:val="20"/>
          <w:color w:val="auto"/>
        </w:rPr>
      </w:pPr>
      <w:r>
        <w:rPr>
          <w:rFonts w:ascii="Arial" w:cs="Arial" w:eastAsia="Arial" w:hAnsi="Arial"/>
          <w:sz w:val="12"/>
          <w:szCs w:val="12"/>
          <w:color w:val="auto"/>
        </w:rPr>
        <w:t>We have developed a candidate design program to assist us in identifying the keystone structural and functional elements of healthy microbiomes, the deficiencies present in disease states and the functional profile of a microbial ecological network that can return the microbiome to a healthy state. The following diagram depicts the steps in our candidate design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57785</wp:posOffset>
            </wp:positionV>
            <wp:extent cx="4119245" cy="812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9245" cy="81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firstLine="520"/>
        <w:spacing w:after="0" w:line="316" w:lineRule="auto"/>
        <w:rPr>
          <w:sz w:val="20"/>
          <w:szCs w:val="20"/>
          <w:color w:val="auto"/>
        </w:rPr>
      </w:pPr>
      <w:r>
        <w:rPr>
          <w:rFonts w:ascii="Arial" w:cs="Arial" w:eastAsia="Arial" w:hAnsi="Arial"/>
          <w:sz w:val="12"/>
          <w:szCs w:val="12"/>
          <w:color w:val="auto"/>
        </w:rPr>
        <w:t>Our candidate design program applies computational comparative genomics and systems biology methods to analyze existing clinical data sets, such as those derived from the SER-109 Phase 1b/2 clinical study, to elucidate the structure and function of a healthy microbiome relative to a microbiome in a disease state. The structure is defined in terms of the organisms that comprise the ecology of the microbiome while the function is defined in terms of the genes and metabolic pathways inherent to the organisms that comprise that ecology. Structure and functional properties of a microbiome are determined using our proprietary algorithms that derive actual ecological networks that characterize the microbiome of subjects with a particular disease or that are in a state of health. Our algorithms define those organisms that impact the structure of the microbial communities and the health of the microbiome, which we refer to as keystone organisms, and their associated critical, functional biological pathways. Keystone organisms and their associated critical, functional biological pathways may exist in low, moderate, or high abundance in an ecology of microbes, but are often missing or at reduced levels in an individual with disease. By comparing the ecologies in healthy and disease states, we are able to identify the ecological deficiencies and missing keystone components that characterize the disease state and are the target of our Ecobiotic microbiome therapeutics.</w:t>
      </w:r>
    </w:p>
    <w:p>
      <w:pPr>
        <w:spacing w:after="0" w:line="122" w:lineRule="exact"/>
        <w:rPr>
          <w:sz w:val="20"/>
          <w:szCs w:val="20"/>
          <w:color w:val="auto"/>
        </w:rPr>
      </w:pPr>
    </w:p>
    <w:p>
      <w:pPr>
        <w:ind w:firstLine="520"/>
        <w:spacing w:after="0" w:line="270" w:lineRule="auto"/>
        <w:rPr>
          <w:sz w:val="20"/>
          <w:szCs w:val="20"/>
          <w:color w:val="auto"/>
        </w:rPr>
      </w:pPr>
      <w:r>
        <w:rPr>
          <w:rFonts w:ascii="Arial" w:cs="Arial" w:eastAsia="Arial" w:hAnsi="Arial"/>
          <w:sz w:val="14"/>
          <w:szCs w:val="14"/>
          <w:color w:val="auto"/>
        </w:rPr>
        <w:t>Ecobiotic microbiome therapeutics are rationally designed to solve for the microbiome ecological deficiencies identified between disease and health states. Rational design involves the determination, prioritization and optimization of microbial network ecologies with the greatest therapeutic potential based on critical factors, such as the evolutionary relationships of the microbes, theoretical and empirically defined functional capabilities, safety profile of strains and various bioprocessing parameters. We maintain a proprietary design and discovery database that captures and integrates key information about microbial strains. Our design algorithms in combination with our functional screening capabilities enable us to identify lead candidate compositions that possess the necessary functional profile to restore the ecological deficiency that causes the dysbiosis.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Strain Library Screening and Lead Optimization and Ecobiotic Candidate Nomination</w:t>
      </w:r>
    </w:p>
    <w:p>
      <w:pPr>
        <w:spacing w:after="0" w:line="90" w:lineRule="exact"/>
        <w:rPr>
          <w:sz w:val="20"/>
          <w:szCs w:val="20"/>
          <w:color w:val="auto"/>
        </w:rPr>
      </w:pPr>
    </w:p>
    <w:p>
      <w:pPr>
        <w:ind w:right="20" w:firstLine="520"/>
        <w:spacing w:after="0" w:line="270" w:lineRule="auto"/>
        <w:rPr>
          <w:sz w:val="20"/>
          <w:szCs w:val="20"/>
          <w:color w:val="auto"/>
        </w:rPr>
      </w:pPr>
      <w:r>
        <w:rPr>
          <w:rFonts w:ascii="Arial" w:cs="Arial" w:eastAsia="Arial" w:hAnsi="Arial"/>
          <w:sz w:val="14"/>
          <w:szCs w:val="14"/>
          <w:color w:val="auto"/>
        </w:rPr>
        <w:t xml:space="preserve">To facilitate the screening of network ecologies and individual strains, we have developed and maintain proprietary know-how on the isolation, cultivation and fermentation of microbial strains. Our proprietary library comprises over 13,000 strains isolated from healthy donors. Using information from our strain library, we develop and execute moderate- to high-throughput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screens that evaluate the efficacy and functional properties of candidates and individual microbial strains that comprise the lead candidate ecologies. Once we have a lead candidate we optimize its efficacy and functional properties by screening variants in disease relevant models, including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on a reduced set of candidates that are relevant to the disease indications we are investigating. The final candidate that meets our predefined criteria is nominated for clinical development.</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Bioprocess and Formulation</w:t>
      </w:r>
    </w:p>
    <w:p>
      <w:pPr>
        <w:spacing w:after="0" w:line="90" w:lineRule="exact"/>
        <w:rPr>
          <w:sz w:val="20"/>
          <w:szCs w:val="20"/>
          <w:color w:val="auto"/>
        </w:rPr>
      </w:pPr>
    </w:p>
    <w:p>
      <w:pPr>
        <w:ind w:right="80" w:firstLine="520"/>
        <w:spacing w:after="0" w:line="252" w:lineRule="auto"/>
        <w:rPr>
          <w:sz w:val="20"/>
          <w:szCs w:val="20"/>
          <w:color w:val="auto"/>
        </w:rPr>
      </w:pPr>
      <w:r>
        <w:rPr>
          <w:rFonts w:ascii="Arial" w:cs="Arial" w:eastAsia="Arial" w:hAnsi="Arial"/>
          <w:sz w:val="15"/>
          <w:szCs w:val="15"/>
          <w:color w:val="auto"/>
        </w:rPr>
        <w:t>Our Ecobiotic microbiome therapeutics in development consist of combinations of bacteria or bacterial spores rather than single strains. As a result, we must be able to produce, purify and formulate multiple strains of bacteria economically and be able to test the composition of a combination product for quality control. Our bioprocess development and manufacturing processes are designed to address each of these elements.</w:t>
      </w:r>
    </w:p>
    <w:p>
      <w:pPr>
        <w:spacing w:after="0" w:line="69" w:lineRule="exact"/>
        <w:rPr>
          <w:sz w:val="20"/>
          <w:szCs w:val="20"/>
          <w:color w:val="auto"/>
        </w:rPr>
      </w:pPr>
    </w:p>
    <w:p>
      <w:pPr>
        <w:ind w:left="1040" w:right="200" w:hanging="518"/>
        <w:spacing w:after="0" w:line="262" w:lineRule="auto"/>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Fermentation</w:t>
      </w:r>
      <w:r>
        <w:rPr>
          <w:rFonts w:ascii="Arial" w:cs="Arial" w:eastAsia="Arial" w:hAnsi="Arial"/>
          <w:sz w:val="15"/>
          <w:szCs w:val="15"/>
          <w:color w:val="auto"/>
        </w:rPr>
        <w:t>: We employ platform fermentation processes as starting conditions for current good manufacturing processes, or cGMP, production schemes and, when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develop strain specific process parameters.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11" w:name="page12"/>
    <w:bookmarkEnd w:id="11"/>
    <w:p>
      <w:pPr>
        <w:ind w:left="1040" w:right="240" w:hanging="518"/>
        <w:spacing w:after="0" w:line="262"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Purification</w:t>
      </w:r>
      <w:r>
        <w:rPr>
          <w:rFonts w:ascii="Arial" w:cs="Arial" w:eastAsia="Arial" w:hAnsi="Arial"/>
          <w:sz w:val="15"/>
          <w:szCs w:val="15"/>
          <w:color w:val="auto"/>
        </w:rPr>
        <w:t>: Similar to fermentation, we use small-scale purification operations to complete bench-scale manufacturing and quickly assess the final process yield, quality and</w:t>
      </w:r>
      <w:r>
        <w:rPr>
          <w:rFonts w:ascii="Arial" w:cs="Arial" w:eastAsia="Arial" w:hAnsi="Arial"/>
          <w:sz w:val="15"/>
          <w:szCs w:val="15"/>
          <w:i w:val="1"/>
          <w:iCs w:val="1"/>
          <w:color w:val="auto"/>
        </w:rPr>
        <w:t xml:space="preserve"> </w:t>
      </w:r>
      <w:r>
        <w:rPr>
          <w:rFonts w:ascii="Arial" w:cs="Arial" w:eastAsia="Arial" w:hAnsi="Arial"/>
          <w:sz w:val="15"/>
          <w:szCs w:val="15"/>
          <w:color w:val="auto"/>
        </w:rPr>
        <w:t>robustness.</w:t>
      </w:r>
    </w:p>
    <w:p>
      <w:pPr>
        <w:spacing w:after="0" w:line="60" w:lineRule="exact"/>
        <w:rPr>
          <w:rFonts w:ascii="Arial" w:cs="Arial" w:eastAsia="Arial" w:hAnsi="Arial"/>
          <w:sz w:val="15"/>
          <w:szCs w:val="15"/>
          <w:color w:val="auto"/>
        </w:rPr>
      </w:pPr>
    </w:p>
    <w:p>
      <w:pPr>
        <w:ind w:left="1040" w:right="180" w:hanging="518"/>
        <w:spacing w:after="0" w:line="252"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Formulation</w:t>
      </w:r>
      <w:r>
        <w:rPr>
          <w:rFonts w:ascii="Arial" w:cs="Arial" w:eastAsia="Arial" w:hAnsi="Arial"/>
          <w:sz w:val="15"/>
          <w:szCs w:val="15"/>
          <w:color w:val="auto"/>
        </w:rPr>
        <w:t>: Our Ecobiotic microbiome therapeutics are combinations of cells and bacterial spores and can be administered by a number of methods and by different routes to</w:t>
      </w:r>
      <w:r>
        <w:rPr>
          <w:rFonts w:ascii="Arial" w:cs="Arial" w:eastAsia="Arial" w:hAnsi="Arial"/>
          <w:sz w:val="15"/>
          <w:szCs w:val="15"/>
          <w:i w:val="1"/>
          <w:iCs w:val="1"/>
          <w:color w:val="auto"/>
        </w:rPr>
        <w:t xml:space="preserve"> </w:t>
      </w:r>
      <w:r>
        <w:rPr>
          <w:rFonts w:ascii="Arial" w:cs="Arial" w:eastAsia="Arial" w:hAnsi="Arial"/>
          <w:sz w:val="15"/>
          <w:szCs w:val="15"/>
          <w:color w:val="auto"/>
        </w:rPr>
        <w:t>effect the primary goal of delivering the bacteria to the intended location in a condition where they are able to replicate and correct dysbiosis. Currently, our Ecobiotic microbiome therapeutics are designed to be administered in oral form.</w:t>
      </w:r>
    </w:p>
    <w:p>
      <w:pPr>
        <w:spacing w:after="0" w:line="69" w:lineRule="exact"/>
        <w:rPr>
          <w:rFonts w:ascii="Arial" w:cs="Arial" w:eastAsia="Arial" w:hAnsi="Arial"/>
          <w:sz w:val="15"/>
          <w:szCs w:val="15"/>
          <w:color w:val="auto"/>
        </w:rPr>
      </w:pPr>
    </w:p>
    <w:p>
      <w:pPr>
        <w:ind w:left="1040" w:right="80" w:hanging="518"/>
        <w:spacing w:after="0" w:line="262"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Analytical</w:t>
      </w:r>
      <w:r>
        <w:rPr>
          <w:rFonts w:ascii="Arial" w:cs="Arial" w:eastAsia="Arial" w:hAnsi="Arial"/>
          <w:sz w:val="15"/>
          <w:szCs w:val="15"/>
          <w:color w:val="auto"/>
        </w:rPr>
        <w:t>: We address quality control requirements for our Ecobiotic microbiome therapeutics using proprietary microbiological and sequence-based testing schemes,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high-throughput quantitative analytics to assess the identity, potency and purity of the final product.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 and Clinical Testing</w:t>
      </w:r>
    </w:p>
    <w:p>
      <w:pPr>
        <w:spacing w:after="0" w:line="90" w:lineRule="exact"/>
        <w:rPr>
          <w:sz w:val="20"/>
          <w:szCs w:val="20"/>
          <w:color w:val="auto"/>
        </w:rPr>
      </w:pPr>
    </w:p>
    <w:p>
      <w:pPr>
        <w:ind w:right="60" w:firstLine="520"/>
        <w:spacing w:after="0" w:line="265" w:lineRule="auto"/>
        <w:rPr>
          <w:sz w:val="20"/>
          <w:szCs w:val="20"/>
          <w:color w:val="auto"/>
        </w:rPr>
      </w:pPr>
      <w:r>
        <w:rPr>
          <w:rFonts w:ascii="Arial" w:cs="Arial" w:eastAsia="Arial" w:hAnsi="Arial"/>
          <w:sz w:val="14"/>
          <w:szCs w:val="14"/>
          <w:color w:val="auto"/>
        </w:rPr>
        <w:t>One of the key competitive advantages of microbiome therapeutics is that we believe they will not need to undergo the same pre-clinical testing that other modalities such as small molecules require. Because the components of our Ecobiotic microbiome therapeutics are found naturally in the body, we do not expect to need carcinogenicity studies or studies designed to evaluate how our Ecobiotic microbiome therapeutics interact with other drugs. Further, we expect that we will not need to conduct traditional Phase 1 pharmacokinetic studies. Clinical pharmacokinetic studies are performed to examine the absorption, distribution, metabolism and excretion of a drug under investigation. Because our Ecobiotic microbiome therapeutics are not absorbed and, therefore, remain in the colonic microbiome, we believe such trials will not be necessary and we expect to proceed directly to patients with the disease that we are studying. These pre-clinical and clinical studies are costly and time- consuming and the ability to proceed in development without them provides an advantage as compared to traditional drug development. For example, based on our correspondence with the FDA, further pre-clinical studies will not be needed for SER-109. In addition, we have confirmed with the FDA that we do not need Phase 2 dose ranging studies for SER-109. We were also not required to perform pre-clinical toxicology studies on SER-287, our investigational product for ulcerative colitis, and we have received written feedback from FDA that traditional pre-clinical toxicology will not be required for SER-262, our Ecobiotic drug candidate for primary CDI. We believe many of the same requirements may apply across our future product candidates.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 Pipeline</w:t>
      </w:r>
    </w:p>
    <w:p>
      <w:pPr>
        <w:spacing w:after="0" w:line="90" w:lineRule="exact"/>
        <w:rPr>
          <w:sz w:val="20"/>
          <w:szCs w:val="20"/>
          <w:color w:val="auto"/>
        </w:rPr>
      </w:pPr>
    </w:p>
    <w:p>
      <w:pPr>
        <w:ind w:firstLine="520"/>
        <w:spacing w:after="0" w:line="318" w:lineRule="auto"/>
        <w:rPr>
          <w:sz w:val="20"/>
          <w:szCs w:val="20"/>
          <w:color w:val="auto"/>
        </w:rPr>
      </w:pPr>
      <w:r>
        <w:rPr>
          <w:rFonts w:ascii="Arial" w:cs="Arial" w:eastAsia="Arial" w:hAnsi="Arial"/>
          <w:sz w:val="12"/>
          <w:szCs w:val="12"/>
          <w:color w:val="auto"/>
        </w:rPr>
        <w:t>We believe our Ecobiotic microbiome therapeutics represent a novel approach with potential application across a broad range of human diseases. Our most advanced drug development program, SER-109, focuses on recurrent CDI. SER-109 is in a Phase 2 study in the U.S. and has been designated as a Breakthrough Therapy and an Orphan Drug by FDA. SER-262 is an Ecobiotic drug candidate under development for treatment of dysbiosis following primary CDI, in order to prevent recurrence, and we expect to initiate a Phase 1b study in mid-2016. SER-287 is under development for the treatment of active mild-to-moderate ulcerative colitis and we commenced a Phase 1b study in the fourth quarter of 2015. We are designing and developing SER-155, an Ecobiotic microbiome therapeutic candidate for the prevention of transplant-related mortality (due to infection and GvHD) in allogeneic hematopoietic stem cell transplant (HSCT) recipients; for the treatment of metabolic disorders such as non-alcoholic fatty liver disease and early-stage and non-insulin dependent diabetes; for inflammatory conditions such as Crohn’s disease; for enhancing the safety and efficacy of immuno-oncology agents including checkpoint inhibitors used in cancer treatment; and for treating rare genetic disorders such as urea cycle disorders.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5"/>
          <w:szCs w:val="15"/>
          <w:color w:val="auto"/>
        </w:rPr>
        <w:t>The following chart summarizes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119380</wp:posOffset>
            </wp:positionV>
            <wp:extent cx="3132455" cy="2285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32455"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CDI Product Candidates</w:t>
      </w:r>
    </w:p>
    <w:p>
      <w:pPr>
        <w:spacing w:after="0" w:line="90" w:lineRule="exact"/>
        <w:rPr>
          <w:sz w:val="20"/>
          <w:szCs w:val="20"/>
          <w:color w:val="auto"/>
        </w:rPr>
      </w:pPr>
    </w:p>
    <w:p>
      <w:pPr>
        <w:ind w:right="20" w:firstLine="520"/>
        <w:spacing w:after="0" w:line="265" w:lineRule="auto"/>
        <w:rPr>
          <w:sz w:val="20"/>
          <w:szCs w:val="20"/>
          <w:color w:val="auto"/>
        </w:rPr>
      </w:pPr>
      <w:r>
        <w:rPr>
          <w:rFonts w:ascii="Arial" w:cs="Arial" w:eastAsia="Arial" w:hAnsi="Arial"/>
          <w:sz w:val="14"/>
          <w:szCs w:val="14"/>
          <w:color w:val="auto"/>
        </w:rPr>
        <w:t xml:space="preserve">We are developing SER-109 as an Ecobiotic microbiome therapeutic designed to prevent further recurrences of CDI in patients suffering from recurrent CDI, defined as at least three occurrences of CDI in a nine-month period, by restoring the dysbiotic microbiome to a healthy state. In our Phase 1b/2 clinical study, 26 of 30 patients, or 87% of patients, achieved the primary efficacy endpoint of experiencing no diarrhea associated with a positive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test during the eight weeks post-treatment. Additionally, 29 of 30 patients, or 97% of patients, achieved a clinical cure, which we defined as the absence of CDI requiring antibiotic treatment during the eight- week period after SER-109 dosing. The results of the trial suggest a favorable safety profile with no serious adverse events considered by the investigators to be attributable to SER-109.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towards a healthy state. SER-109 has been granted Orphan Drug and Breakthrough Therapy designation by the FDA. We initiated a Phase 2 clinical study of SER-109 for recurrent CDI and dosed the first patient in May 2015. We expect initial study results in the middle of 2016. We have conducted manufacturing process pre- validation studies of SER-109 to support a Phase 3 clinical trial and a potential biologics license application and commercial launch.</w:t>
      </w:r>
    </w:p>
    <w:p>
      <w:pPr>
        <w:spacing w:after="0" w:line="150" w:lineRule="exact"/>
        <w:rPr>
          <w:sz w:val="20"/>
          <w:szCs w:val="20"/>
          <w:color w:val="auto"/>
        </w:rPr>
      </w:pPr>
    </w:p>
    <w:p>
      <w:pPr>
        <w:ind w:right="320" w:firstLine="520"/>
        <w:spacing w:after="0" w:line="262" w:lineRule="auto"/>
        <w:rPr>
          <w:sz w:val="20"/>
          <w:szCs w:val="20"/>
          <w:color w:val="auto"/>
        </w:rPr>
      </w:pPr>
      <w:r>
        <w:rPr>
          <w:rFonts w:ascii="Arial" w:cs="Arial" w:eastAsia="Arial" w:hAnsi="Arial"/>
          <w:sz w:val="15"/>
          <w:szCs w:val="15"/>
          <w:color w:val="auto"/>
        </w:rPr>
        <w:t>We are also developing SER-262 to be used following antibiotic treatment of primary CDI to prevent an initial recurrence of CDI. Pre-clinical studies of SER-262 have demonstrated efficacy similar to SER-109 in mouse models of CDI. We intend to initiate clinical studies of SER-262 in the middle of 2016.</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approved, we believe these two product candidates will enable us to provide a more effective and safer treatment for preventing the recurrence of CDI than the current standard of care.</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Clostridium difficile Infection, or CDI</w:t>
      </w:r>
    </w:p>
    <w:p>
      <w:pPr>
        <w:spacing w:after="0" w:line="90"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i w:val="1"/>
          <w:iCs w:val="1"/>
          <w:color w:val="auto"/>
        </w:rPr>
        <w:t xml:space="preserve">C. difficile </w:t>
      </w:r>
      <w:r>
        <w:rPr>
          <w:rFonts w:ascii="Arial" w:cs="Arial" w:eastAsia="Arial" w:hAnsi="Arial"/>
          <w:sz w:val="15"/>
          <w:szCs w:val="15"/>
          <w:color w:val="auto"/>
        </w:rPr>
        <w:t>is a Gram-positive, toxin-producing, spore forming bacterium that causes severe and persistent diarrhea in infected individuals, but can also lead to more severe outcomes, such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as pseudomembraneous colitis, toxic megacolon and death.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bacteria express toxins that disrupt the structural architecture of cells causing leakage of fluids through the gastrointestinal epithelium. The cells disrupted by these toxins eventually undergo apoptosis and die, releasing their contents into the colon, resulting in inflammation of the colon, severe and persistent diarrhea and, in the most serious cases, death.</w:t>
      </w:r>
    </w:p>
    <w:p>
      <w:pPr>
        <w:spacing w:after="0" w:line="159" w:lineRule="exact"/>
        <w:rPr>
          <w:sz w:val="20"/>
          <w:szCs w:val="20"/>
          <w:color w:val="auto"/>
        </w:rPr>
      </w:pPr>
    </w:p>
    <w:p>
      <w:pPr>
        <w:ind w:right="260" w:firstLine="520"/>
        <w:spacing w:after="0" w:line="262" w:lineRule="auto"/>
        <w:rPr>
          <w:sz w:val="20"/>
          <w:szCs w:val="20"/>
          <w:color w:val="auto"/>
        </w:rPr>
      </w:pPr>
      <w:r>
        <w:rPr>
          <w:rFonts w:ascii="Arial" w:cs="Arial" w:eastAsia="Arial" w:hAnsi="Arial"/>
          <w:sz w:val="15"/>
          <w:szCs w:val="15"/>
          <w:color w:val="auto"/>
        </w:rPr>
        <w:t xml:space="preserve">CDI is generally not present in healthy adults, although approximately 1% to 5% of adults may carry low levels of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without clinical symptoms. CDI is most often associated with the prior use of antibiotics, although age and poor immune status are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13" w:name="page14"/>
    <w:bookmarkEnd w:id="13"/>
    <w:p>
      <w:pPr>
        <w:ind w:right="120"/>
        <w:spacing w:after="0" w:line="248" w:lineRule="auto"/>
        <w:rPr>
          <w:sz w:val="20"/>
          <w:szCs w:val="20"/>
          <w:color w:val="auto"/>
        </w:rPr>
      </w:pPr>
      <w:r>
        <w:rPr>
          <w:rFonts w:ascii="Arial" w:cs="Arial" w:eastAsia="Arial" w:hAnsi="Arial"/>
          <w:sz w:val="15"/>
          <w:szCs w:val="15"/>
          <w:color w:val="auto"/>
        </w:rPr>
        <w:t xml:space="preserve">important risk factors as well. Antibiotics are thought to decrease resistance to CDI by causing dysbiosis in the microbiome. Since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spores are able to survive for long periods of time outside the body, and because healthcare settings are often sites of significant antibiotic use, CDI transmission rates in hospitals, long-term acute care facilities and nursing homes have been increasing. CDI is also a cause of morbidity and mortality among hospitalized cancer patients and bone marrow transplant patients as their immune systems are suppressed by cytotoxic drugs, which are drugs that inhibit or prevent the function of cells, and they may be heavily treated with antibiotics to prevent or treat infections. More recently, the rise of community-acquired CDI has been recognized as a growing problem.</w:t>
      </w:r>
    </w:p>
    <w:p>
      <w:pPr>
        <w:spacing w:after="0" w:line="159"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 xml:space="preserve">The CDC has identified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as one of the top three most urgent antibiotic-resistant bacterial threats in the United States. It is the most common cause of hospital acquired infection in the United States, having overtaken MRSA. CDI is responsible for the deaths of approximately 29,000 Americans each year. CDI is also very costly to the healthcare system. According to a study published in Clinical Infectious Diseases, the economic burden of CDI in 2008 in U.S. acute care facilities alone was estimated to be as much as $4.8 billion. In addition, a summary of studies published in 2009 in </w:t>
      </w:r>
      <w:r>
        <w:rPr>
          <w:rFonts w:ascii="Arial" w:cs="Arial" w:eastAsia="Arial" w:hAnsi="Arial"/>
          <w:sz w:val="15"/>
          <w:szCs w:val="15"/>
          <w:i w:val="1"/>
          <w:iCs w:val="1"/>
          <w:color w:val="auto"/>
        </w:rPr>
        <w:t>The Journal of Hospital Infection</w:t>
      </w:r>
      <w:r>
        <w:rPr>
          <w:rFonts w:ascii="Arial" w:cs="Arial" w:eastAsia="Arial" w:hAnsi="Arial"/>
          <w:sz w:val="15"/>
          <w:szCs w:val="15"/>
          <w:color w:val="auto"/>
        </w:rPr>
        <w:t>, calculated that the treatment cost per episode of primary CDI was as much as $5,000 and as much as $18,000 per recurrence of CDI (Ghantoji et al., 2010).</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CDC estimates the incidence of primary CDI by focusing on 10 catchment areas covering 11 million residents. Based on this analysis, it is estimated that there are approximately</w:t>
      </w:r>
    </w:p>
    <w:p>
      <w:pPr>
        <w:spacing w:after="0" w:line="48" w:lineRule="exact"/>
        <w:rPr>
          <w:sz w:val="20"/>
          <w:szCs w:val="20"/>
          <w:color w:val="auto"/>
        </w:rPr>
      </w:pPr>
    </w:p>
    <w:p>
      <w:pPr>
        <w:spacing w:after="0" w:line="313" w:lineRule="auto"/>
        <w:rPr>
          <w:sz w:val="20"/>
          <w:szCs w:val="20"/>
          <w:color w:val="auto"/>
        </w:rPr>
      </w:pPr>
      <w:r>
        <w:rPr>
          <w:rFonts w:ascii="Arial" w:cs="Arial" w:eastAsia="Arial" w:hAnsi="Arial"/>
          <w:sz w:val="12"/>
          <w:szCs w:val="12"/>
          <w:color w:val="auto"/>
        </w:rPr>
        <w:t xml:space="preserve">453,000 new cases of primary CDI per year. Further, according to a 2014 article in the </w:t>
      </w:r>
      <w:r>
        <w:rPr>
          <w:rFonts w:ascii="Arial" w:cs="Arial" w:eastAsia="Arial" w:hAnsi="Arial"/>
          <w:sz w:val="12"/>
          <w:szCs w:val="12"/>
          <w:i w:val="1"/>
          <w:iCs w:val="1"/>
          <w:color w:val="auto"/>
        </w:rPr>
        <w:t>American Journal of Infection Control</w:t>
      </w:r>
      <w:r>
        <w:rPr>
          <w:rFonts w:ascii="Arial" w:cs="Arial" w:eastAsia="Arial" w:hAnsi="Arial"/>
          <w:sz w:val="12"/>
          <w:szCs w:val="12"/>
          <w:color w:val="auto"/>
        </w:rPr>
        <w:t>, from 2001 to 2010, incidence of CDI per 1,000 patients discharged increased from 4.5 to 8.2 with an average hospital stay of eight days. We believe the CDC method underestimates incidence based on several factors. First, residents who are diagnosed outside of their catchment area are not included in estimates. Second, many of the CDC diagnostic labs use a lower sensitivity test, which results in about 20% lower detection rates than the current most sensitive method. In addition, the CDC approach misses community cases, which are estimated to account for 30% to 40% of total cases. As a result, we estimate the incidence of primary CDI in the United States is between 640,000 and 820,000 patients per year. Additional research suggests that the risk of recurrence is approximately 25% after primary CDI, 40% after a first recurrence and greater than 60% for those experiencing two or more recurrences. In addition, in a recent randomized trial comparing two antibiotics for primary CDI, 8% of patients receiving fidaxomicin and 9% of patients receiving vancomycin did not respond after completing their antibiotic regimen. We estimate that the addressable population of patients in the United States with recurrent CDI, defined as patients who have experienced at least three occurrences of CDI in the past nine months, is between 85,000 and 110,000 patients per year.</w:t>
      </w:r>
    </w:p>
    <w:p>
      <w:pPr>
        <w:spacing w:after="0" w:line="125" w:lineRule="exact"/>
        <w:rPr>
          <w:sz w:val="20"/>
          <w:szCs w:val="20"/>
          <w:color w:val="auto"/>
        </w:rPr>
      </w:pPr>
    </w:p>
    <w:p>
      <w:pPr>
        <w:ind w:right="40" w:firstLine="520"/>
        <w:spacing w:after="0" w:line="252" w:lineRule="auto"/>
        <w:rPr>
          <w:sz w:val="20"/>
          <w:szCs w:val="20"/>
          <w:color w:val="auto"/>
        </w:rPr>
      </w:pPr>
      <w:r>
        <w:rPr>
          <w:rFonts w:ascii="Arial" w:cs="Arial" w:eastAsia="Arial" w:hAnsi="Arial"/>
          <w:sz w:val="15"/>
          <w:szCs w:val="15"/>
          <w:color w:val="auto"/>
        </w:rPr>
        <w:t>The European Hospital and Healthcare Federation, or HOPE, estimates that there are approximately 172,000 cases of CDI per year in the EU. In 2013, CDI was estimated to occur in one in 435 admissions per hospital. Based on a 2010 report from HOPE and other studies on the incidence of CDI in the EU, we estimate that the annual incidence rate of CDI in the EU is 4.1 per 10,000 individuals.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developing treatment alternatives and their limitations</w:t>
      </w:r>
    </w:p>
    <w:p>
      <w:pPr>
        <w:spacing w:after="0" w:line="90" w:lineRule="exact"/>
        <w:rPr>
          <w:sz w:val="20"/>
          <w:szCs w:val="20"/>
          <w:color w:val="auto"/>
        </w:rPr>
      </w:pPr>
    </w:p>
    <w:p>
      <w:pPr>
        <w:ind w:right="460" w:firstLine="520"/>
        <w:spacing w:after="0" w:line="262" w:lineRule="auto"/>
        <w:rPr>
          <w:sz w:val="20"/>
          <w:szCs w:val="20"/>
          <w:color w:val="auto"/>
        </w:rPr>
      </w:pPr>
      <w:r>
        <w:rPr>
          <w:rFonts w:ascii="Arial" w:cs="Arial" w:eastAsia="Arial" w:hAnsi="Arial"/>
          <w:sz w:val="15"/>
          <w:szCs w:val="15"/>
          <w:color w:val="auto"/>
        </w:rPr>
        <w:t>Patients with CDI utilize antibiotics, fecal microbiota transplantation FMT, and unapproved over-the-counter probiotics. Several therapeutic antibodies and vaccines are also being developed.</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Antibiotics</w:t>
      </w:r>
    </w:p>
    <w:p>
      <w:pPr>
        <w:spacing w:after="0" w:line="90" w:lineRule="exact"/>
        <w:rPr>
          <w:sz w:val="20"/>
          <w:szCs w:val="20"/>
          <w:color w:val="auto"/>
        </w:rPr>
      </w:pPr>
    </w:p>
    <w:p>
      <w:pPr>
        <w:ind w:right="40" w:firstLine="520"/>
        <w:spacing w:after="0" w:line="249" w:lineRule="auto"/>
        <w:rPr>
          <w:sz w:val="20"/>
          <w:szCs w:val="20"/>
          <w:color w:val="auto"/>
        </w:rPr>
      </w:pPr>
      <w:r>
        <w:rPr>
          <w:rFonts w:ascii="Arial" w:cs="Arial" w:eastAsia="Arial" w:hAnsi="Arial"/>
          <w:sz w:val="15"/>
          <w:szCs w:val="15"/>
          <w:color w:val="auto"/>
        </w:rPr>
        <w:t>The current standard of care for CDI is to treat with antibiotics, such as metronidazole and vancomycin. Metronidazole has been found to be effective for primary CDI, but approximately 29% of patients experience recurrence. It is not recommended for severe disease, nor is it used beyond first recurrence due to lack of efficacy. Vancomycin is more expensive, with a reported relapse rate of 25%. In addition, fidaxomicin, an approved antibiotic for CDI, may have higher initial efficacy compared to metronidazole, but it does not have a label claim to reduce or prevent CDI recurrence. No antibiotic therapeutics are currently approved for treatment of recurrence of CDI.</w:t>
      </w:r>
    </w:p>
    <w:p>
      <w:pPr>
        <w:spacing w:after="0" w:line="159" w:lineRule="exact"/>
        <w:rPr>
          <w:sz w:val="20"/>
          <w:szCs w:val="20"/>
          <w:color w:val="auto"/>
        </w:rPr>
      </w:pPr>
    </w:p>
    <w:p>
      <w:pPr>
        <w:ind w:right="180" w:firstLine="520"/>
        <w:spacing w:after="0" w:line="273" w:lineRule="auto"/>
        <w:rPr>
          <w:sz w:val="20"/>
          <w:szCs w:val="20"/>
          <w:color w:val="auto"/>
        </w:rPr>
      </w:pPr>
      <w:r>
        <w:rPr>
          <w:rFonts w:ascii="Arial" w:cs="Arial" w:eastAsia="Arial" w:hAnsi="Arial"/>
          <w:sz w:val="14"/>
          <w:szCs w:val="14"/>
          <w:color w:val="auto"/>
        </w:rPr>
        <w:t>Recurrent CDI, defined as three or more occurrences of CDI in a nine-month period, is not well addressed by any of the available antibiotics. When a patient has recurred two or more times after the initial occurrence, antibiotic relapse rates are greater than 60% and the probability of additional relapse increases with successive cycles. Some physicians resort to pulse-taper regimens of vancomycin lasting six weeks or more, but there are no well-controlled clinical studies that show such regimens are effective. In extreme cases, patients are treated continuously for years with vancomycin, even while they continue to experience gastrointestinal symptoms including diarrhea and abdominal discomfort.</w:t>
      </w:r>
    </w:p>
    <w:p>
      <w:pPr>
        <w:spacing w:after="0" w:line="143" w:lineRule="exact"/>
        <w:rPr>
          <w:sz w:val="20"/>
          <w:szCs w:val="20"/>
          <w:color w:val="auto"/>
        </w:rPr>
      </w:pPr>
    </w:p>
    <w:p>
      <w:pPr>
        <w:ind w:right="220" w:firstLine="520"/>
        <w:spacing w:after="0" w:line="252" w:lineRule="auto"/>
        <w:rPr>
          <w:sz w:val="20"/>
          <w:szCs w:val="20"/>
          <w:color w:val="auto"/>
        </w:rPr>
      </w:pPr>
      <w:r>
        <w:rPr>
          <w:rFonts w:ascii="Arial" w:cs="Arial" w:eastAsia="Arial" w:hAnsi="Arial"/>
          <w:sz w:val="15"/>
          <w:szCs w:val="15"/>
          <w:color w:val="auto"/>
        </w:rPr>
        <w:t xml:space="preserve">The primary limitation of antibiotics is that their use appears to exacerbate dysbiosis. Recent research in animal models has shown that antibiotic use not only eliminates many healthy bacteria in the gastrointestinal tract, but also leads to the release of nutrients that facilitate the growth of </w:t>
      </w:r>
      <w:r>
        <w:rPr>
          <w:rFonts w:ascii="Arial" w:cs="Arial" w:eastAsia="Arial" w:hAnsi="Arial"/>
          <w:sz w:val="15"/>
          <w:szCs w:val="15"/>
          <w:i w:val="1"/>
          <w:iCs w:val="1"/>
          <w:color w:val="auto"/>
        </w:rPr>
        <w:t>C. difficile</w:t>
      </w:r>
      <w:r>
        <w:rPr>
          <w:rFonts w:ascii="Arial" w:cs="Arial" w:eastAsia="Arial" w:hAnsi="Arial"/>
          <w:sz w:val="15"/>
          <w:szCs w:val="15"/>
          <w:color w:val="auto"/>
        </w:rPr>
        <w:t>. Antibiotics have also been shown to change the ratio of primary versus secondary</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14" w:name="page15"/>
    <w:bookmarkEnd w:id="14"/>
    <w:p>
      <w:pPr>
        <w:jc w:val="both"/>
        <w:ind w:right="40"/>
        <w:spacing w:after="0" w:line="387" w:lineRule="auto"/>
        <w:rPr>
          <w:sz w:val="20"/>
          <w:szCs w:val="20"/>
          <w:color w:val="auto"/>
        </w:rPr>
      </w:pPr>
      <w:r>
        <w:rPr>
          <w:rFonts w:ascii="Arial" w:cs="Arial" w:eastAsia="Arial" w:hAnsi="Arial"/>
          <w:sz w:val="12"/>
          <w:szCs w:val="12"/>
          <w:color w:val="auto"/>
        </w:rPr>
        <w:t xml:space="preserve">bile acids in the colon by killing bacteria required to metabolize bile acids. This shift to a predominance of primary bile acids further facilitates the growth of </w:t>
      </w:r>
      <w:r>
        <w:rPr>
          <w:rFonts w:ascii="Arial" w:cs="Arial" w:eastAsia="Arial" w:hAnsi="Arial"/>
          <w:sz w:val="12"/>
          <w:szCs w:val="12"/>
          <w:i w:val="1"/>
          <w:iCs w:val="1"/>
          <w:color w:val="auto"/>
        </w:rPr>
        <w:t>C. difficile</w:t>
      </w:r>
      <w:r>
        <w:rPr>
          <w:rFonts w:ascii="Arial" w:cs="Arial" w:eastAsia="Arial" w:hAnsi="Arial"/>
          <w:sz w:val="12"/>
          <w:szCs w:val="12"/>
          <w:color w:val="auto"/>
        </w:rPr>
        <w:t xml:space="preserve">, as it requires primary bile acids for germination of its spores. As a result, antibiotic use may induce a lasting dysbiosis that makes it possible for </w:t>
      </w:r>
      <w:r>
        <w:rPr>
          <w:rFonts w:ascii="Arial" w:cs="Arial" w:eastAsia="Arial" w:hAnsi="Arial"/>
          <w:sz w:val="12"/>
          <w:szCs w:val="12"/>
          <w:i w:val="1"/>
          <w:iCs w:val="1"/>
          <w:color w:val="auto"/>
        </w:rPr>
        <w:t>C. difficile</w:t>
      </w:r>
      <w:r>
        <w:rPr>
          <w:rFonts w:ascii="Arial" w:cs="Arial" w:eastAsia="Arial" w:hAnsi="Arial"/>
          <w:sz w:val="12"/>
          <w:szCs w:val="12"/>
          <w:color w:val="auto"/>
        </w:rPr>
        <w:t xml:space="preserve"> to colonize a person and then cause, or further perpetuate, disease.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Fecal microbiota transplantation</w:t>
      </w:r>
    </w:p>
    <w:p>
      <w:pPr>
        <w:spacing w:after="0" w:line="90"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color w:val="auto"/>
        </w:rPr>
        <w:t>FMT, also known as a stool transplantation, is a procedure during which donated stool, including fecal microbes, is typically instilled via colonoscopy into a patient with CDI. We believe that the efficacy of FMT, which has resulted in cure rates for recurrent CDI of 81% in a randomized controlled study reported in 2013 in the New England Journal of Medicine, essentially confirms the role of dysbiosis as a cause of CDI recurrence. However, FMT presents several challenges for effective treatment of the disease. FMT has the potential to transmit infectious or allergenic agents between hosts, involves the transmission of potentially hundreds of unknown strains of bacteria, fungi and viruses from donor to subject, and is difficult to perform on a mass scale. Additionally, FMT is inherently non-standardized so that different desired and/or undesired material may be transmitted in any given donation. FMT is not approved by the FDA and we believe it may be unable to gain such approval since the product, to our knowledge, cannot be standardized and characterized according to current regulatory requirements for identity, potency, purity and safety.</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Probiotic therapies</w:t>
      </w:r>
    </w:p>
    <w:p>
      <w:pPr>
        <w:spacing w:after="0" w:line="90" w:lineRule="exact"/>
        <w:rPr>
          <w:sz w:val="20"/>
          <w:szCs w:val="20"/>
          <w:color w:val="auto"/>
        </w:rPr>
      </w:pPr>
    </w:p>
    <w:p>
      <w:pPr>
        <w:ind w:right="20" w:firstLine="520"/>
        <w:spacing w:after="0" w:line="325" w:lineRule="auto"/>
        <w:rPr>
          <w:sz w:val="20"/>
          <w:szCs w:val="20"/>
          <w:color w:val="auto"/>
        </w:rPr>
      </w:pPr>
      <w:r>
        <w:rPr>
          <w:rFonts w:ascii="Arial" w:cs="Arial" w:eastAsia="Arial" w:hAnsi="Arial"/>
          <w:sz w:val="12"/>
          <w:szCs w:val="12"/>
          <w:color w:val="auto"/>
        </w:rPr>
        <w:t>Probiotics represent a group of products typically available over the counter in supplements and in some foods, which contain a small number of species of bacteria. However, to date there have been no clinical studies that have established the ability of probiotics to repair a dysbiosis of the microbiome. Further, there is neither a legally recognized definition of, nor a standard of identity for, the term probiotic in the United States or Europe. Recently, the European Food Safety Authority rejected many of the claims of health benefits associated with probiotics because the microbes had not been sufficiently characterized, the claimed effect was not considered beneficial and human studies in support of the claims had not been made available. As a result, after December 14, 2012, food and nutritional supplements companies were no longer allowed to communicate health benefits for their products on account of probiotic content in the EU.</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Antibodies and vaccines</w:t>
      </w:r>
    </w:p>
    <w:p>
      <w:pPr>
        <w:spacing w:after="0" w:line="90" w:lineRule="exact"/>
        <w:rPr>
          <w:sz w:val="20"/>
          <w:szCs w:val="20"/>
          <w:color w:val="auto"/>
        </w:rPr>
      </w:pPr>
    </w:p>
    <w:p>
      <w:pPr>
        <w:ind w:right="320" w:firstLine="520"/>
        <w:spacing w:after="0" w:line="249" w:lineRule="auto"/>
        <w:rPr>
          <w:sz w:val="20"/>
          <w:szCs w:val="20"/>
          <w:color w:val="auto"/>
        </w:rPr>
      </w:pPr>
      <w:r>
        <w:rPr>
          <w:rFonts w:ascii="Arial" w:cs="Arial" w:eastAsia="Arial" w:hAnsi="Arial"/>
          <w:sz w:val="15"/>
          <w:szCs w:val="15"/>
          <w:color w:val="auto"/>
        </w:rPr>
        <w:t>Antibodies and vaccines are also in development to treat CDI. Antibodies suppress toxins to alleviate the symptoms of CDI, but they do not address the underlying dysbiosis of the microbiome, which we believe is the cause of recurrent CDI. Antibodies also require intravenous infusion and are more costly to produce relative to other treatments, such as antibiotics. The efficacy of vaccines in treating CDI in humans currently remains unproven. In addition, it is difficult to define a target population for a CDI vaccine, given that the at-risk patient population is largely elderly individuals who typically respond less robustly to vaccination therapies.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SER-109</w:t>
      </w:r>
    </w:p>
    <w:p>
      <w:pPr>
        <w:spacing w:after="0" w:line="90"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color w:val="auto"/>
        </w:rPr>
        <w:t>SER-109 is a bacterial spore ecology consisting of an average of approximately 50 bacterial species derived from healthy donors’ fecal matter that is designed to prevent further recurrences of CDI in patients suffering from recurrent CDI by restoring a dysbiotic microbiome to a state of health. In our open label Phase 1b/2 clinical study of SER-109, we evaluated the effect of treatment with SER-109 in patients with three or more occurrences of CDI in a 12-month period. Of the 30 patients enrolled in the trial, 29, or 97%, achieved a clinical cure, which we defined as the absence of CDI requiring antibiotic treatment during the eight-week period after SER-109 dosing. In the trial SER-109 was well- tolerated and had a favorable safety profile with no serious adverse events considered by the investigators to be attributable to the SER-109 treatment.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 a healthy state.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15" w:name="page16"/>
    <w:bookmarkEnd w:id="15"/>
    <w:p>
      <w:pPr>
        <w:ind w:firstLine="520"/>
        <w:spacing w:after="0" w:line="249" w:lineRule="auto"/>
        <w:rPr>
          <w:sz w:val="20"/>
          <w:szCs w:val="20"/>
          <w:color w:val="auto"/>
        </w:rPr>
      </w:pPr>
      <w:r>
        <w:rPr>
          <w:rFonts w:ascii="Arial" w:cs="Arial" w:eastAsia="Arial" w:hAnsi="Arial"/>
          <w:sz w:val="15"/>
          <w:szCs w:val="15"/>
          <w:color w:val="auto"/>
        </w:rPr>
        <w:t xml:space="preserve">SER-109 is formulated as oral capsules for single-dose administration after completion of antibiotics. A single dose of SER-109 comprises 100 million spores that are delivered in four small oral capsules. The spores in SER-109 are intended to germinate in the gastrointestinal tract and immediately compete for the same nutrients required by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The spore forming organisms from SER-109 are also intended to shift the balance of bile acids toward secondary acids that are less efficient for promoting germination of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spores. The following picture is a commercial prototype of a single dose of SER-109: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107950</wp:posOffset>
            </wp:positionV>
            <wp:extent cx="2417445" cy="1722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1b/2 clinical study design</w:t>
      </w:r>
    </w:p>
    <w:p>
      <w:pPr>
        <w:spacing w:after="0" w:line="90" w:lineRule="exact"/>
        <w:rPr>
          <w:sz w:val="20"/>
          <w:szCs w:val="20"/>
          <w:color w:val="auto"/>
        </w:rPr>
      </w:pPr>
    </w:p>
    <w:p>
      <w:pPr>
        <w:ind w:right="100" w:firstLine="520"/>
        <w:spacing w:after="0" w:line="262" w:lineRule="auto"/>
        <w:rPr>
          <w:sz w:val="20"/>
          <w:szCs w:val="20"/>
          <w:color w:val="auto"/>
        </w:rPr>
      </w:pPr>
      <w:r>
        <w:rPr>
          <w:rFonts w:ascii="Arial" w:cs="Arial" w:eastAsia="Arial" w:hAnsi="Arial"/>
          <w:sz w:val="15"/>
          <w:szCs w:val="15"/>
          <w:color w:val="auto"/>
        </w:rPr>
        <w:t>The Phase 1b/2 clinical study was a two part trial designed to evaluate the safety and efficacy of SER-109 in 30 patients with recurrent CDI, defined as three or more occurrences of CDI in the previous 12 months.</w:t>
      </w:r>
    </w:p>
    <w:p>
      <w:pPr>
        <w:spacing w:after="0" w:line="148" w:lineRule="exact"/>
        <w:rPr>
          <w:sz w:val="20"/>
          <w:szCs w:val="20"/>
          <w:color w:val="auto"/>
        </w:rPr>
      </w:pPr>
    </w:p>
    <w:p>
      <w:pPr>
        <w:ind w:right="60" w:firstLine="520"/>
        <w:spacing w:after="0" w:line="270" w:lineRule="auto"/>
        <w:rPr>
          <w:sz w:val="20"/>
          <w:szCs w:val="20"/>
          <w:color w:val="auto"/>
        </w:rPr>
      </w:pPr>
      <w:r>
        <w:rPr>
          <w:rFonts w:ascii="Arial" w:cs="Arial" w:eastAsia="Arial" w:hAnsi="Arial"/>
          <w:sz w:val="14"/>
          <w:szCs w:val="14"/>
          <w:color w:val="auto"/>
        </w:rPr>
        <w:t>Part 1 of the study evaluated a single dose of SER-109 administered orally in 30 capsules over two days, with the dose derived from approximately 75 grams of stool. Part 2 of the study evaluated a single dose of SER-109 administered orally in a range of one to 12 capsules over one day. The dose in Part 2 was based on spore count, as opposed to fecal mass, which is expected to allow for a more precise dosing regimen. The target dose in Part 2 was 1x10</w:t>
      </w:r>
      <w:r>
        <w:rPr>
          <w:rFonts w:ascii="Arial" w:cs="Arial" w:eastAsia="Arial" w:hAnsi="Arial"/>
          <w:sz w:val="11"/>
          <w:szCs w:val="11"/>
          <w:color w:val="auto"/>
        </w:rPr>
        <w:t>8</w:t>
      </w:r>
      <w:r>
        <w:rPr>
          <w:rFonts w:ascii="Arial" w:cs="Arial" w:eastAsia="Arial" w:hAnsi="Arial"/>
          <w:sz w:val="14"/>
          <w:szCs w:val="14"/>
          <w:color w:val="auto"/>
        </w:rPr>
        <w:t xml:space="preserve"> spores per dose, which was approximately 17-fold lower than the mean dose in Part 1. The SER-109 doses were derived from seven different healthy human donors. Prior to receiving treatment with SER-109, patients were on antibiotic therapy consisting of either fidaxomicin, vancomycin or metronidazole. At least 24 hours prior to starting treatment with SER-109, antibiotic therapy was discontinued.</w:t>
      </w:r>
    </w:p>
    <w:p>
      <w:pPr>
        <w:spacing w:after="0" w:line="145"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The trial was designed to enroll patients between the ages of 18 and 90 years, with relapsed, laboratory-confirmed CDI with three or more occurrences in the previous 12 months. Enrolled patients must have undergone treatment for CDI with at least three courses of antibiotic therapy in the last 12 months and have a life expectancy of greater than three months. Patients with acute leukemia, recent bone marrow transplant or recent chemotherapy, as well as patients with a history of IBD or IBS with diarrhea, total colectomy or liver cirrhosis were excluded from the trial. The following table identifies patient demographics following enrollment in the trial:</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2"/>
              </w:rPr>
              <w:t>Number of CDI</w:t>
            </w:r>
          </w:p>
        </w:tc>
      </w:tr>
      <w:tr>
        <w:trPr>
          <w:trHeight w:val="120"/>
        </w:trPr>
        <w:tc>
          <w:tcPr>
            <w:tcW w:w="3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Recurrences in</w:t>
            </w:r>
          </w:p>
        </w:tc>
      </w:tr>
      <w:tr>
        <w:trPr>
          <w:trHeight w:val="120"/>
        </w:trPr>
        <w:tc>
          <w:tcPr>
            <w:tcW w:w="3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140" w:type="dxa"/>
            <w:vAlign w:val="bottom"/>
            <w:gridSpan w:val="2"/>
          </w:tcPr>
          <w:p>
            <w:pPr>
              <w:jc w:val="center"/>
              <w:ind w:right="140"/>
              <w:spacing w:after="0" w:line="121" w:lineRule="exact"/>
              <w:rPr>
                <w:sz w:val="20"/>
                <w:szCs w:val="20"/>
                <w:color w:val="auto"/>
              </w:rPr>
            </w:pPr>
            <w:r>
              <w:rPr>
                <w:rFonts w:ascii="Arial" w:cs="Arial" w:eastAsia="Arial" w:hAnsi="Arial"/>
                <w:sz w:val="12"/>
                <w:szCs w:val="12"/>
                <w:b w:val="1"/>
                <w:bCs w:val="1"/>
                <w:color w:val="auto"/>
                <w:w w:val="88"/>
              </w:rPr>
              <w:t>Mean Dose</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79"/>
              </w:rPr>
              <w:t>Age</w:t>
            </w:r>
          </w:p>
        </w:tc>
        <w:tc>
          <w:tcPr>
            <w:tcW w:w="12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Prior 12 months</w:t>
            </w:r>
          </w:p>
        </w:tc>
      </w:tr>
      <w:tr>
        <w:trPr>
          <w:trHeight w:val="147"/>
        </w:trPr>
        <w:tc>
          <w:tcPr>
            <w:tcW w:w="360" w:type="dxa"/>
            <w:vAlign w:val="bottom"/>
            <w:tcBorders>
              <w:bottom w:val="single" w:sz="8" w:color="auto"/>
            </w:tcBorders>
          </w:tcPr>
          <w:p>
            <w:pPr>
              <w:spacing w:after="0" w:line="127" w:lineRule="exact"/>
              <w:rPr>
                <w:sz w:val="20"/>
                <w:szCs w:val="20"/>
                <w:color w:val="auto"/>
              </w:rPr>
            </w:pPr>
            <w:r>
              <w:rPr>
                <w:rFonts w:ascii="Arial" w:cs="Arial" w:eastAsia="Arial" w:hAnsi="Arial"/>
                <w:sz w:val="12"/>
                <w:szCs w:val="12"/>
                <w:b w:val="1"/>
                <w:bCs w:val="1"/>
                <w:color w:val="auto"/>
                <w:w w:val="86"/>
              </w:rPr>
              <w:t>Cohort</w:t>
            </w:r>
          </w:p>
        </w:tc>
        <w:tc>
          <w:tcPr>
            <w:tcW w:w="47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85"/>
              </w:rPr>
              <w:t>(spore units)</w:t>
            </w:r>
          </w:p>
        </w:tc>
        <w:tc>
          <w:tcPr>
            <w:tcW w:w="1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2"/>
              </w:rPr>
              <w:t>Male/Female</w:t>
            </w:r>
          </w:p>
        </w:tc>
        <w:tc>
          <w:tcPr>
            <w:tcW w:w="100" w:type="dxa"/>
            <w:vAlign w:val="bottom"/>
            <w:tcBorders>
              <w:bottom w:val="single" w:sz="8" w:color="CFF0FC"/>
            </w:tcBorders>
          </w:tcPr>
          <w:p>
            <w:pPr>
              <w:spacing w:after="0"/>
              <w:rPr>
                <w:sz w:val="12"/>
                <w:szCs w:val="12"/>
                <w:color w:val="auto"/>
              </w:rPr>
            </w:pPr>
          </w:p>
        </w:tc>
        <w:tc>
          <w:tcPr>
            <w:tcW w:w="160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1"/>
              </w:rPr>
              <w:t>Median (Range)</w:t>
            </w:r>
          </w:p>
        </w:tc>
        <w:tc>
          <w:tcPr>
            <w:tcW w:w="10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89"/>
              </w:rPr>
              <w:t>Median (Range)</w:t>
            </w:r>
          </w:p>
        </w:tc>
      </w:tr>
      <w:tr>
        <w:trPr>
          <w:trHeight w:val="168"/>
        </w:trPr>
        <w:tc>
          <w:tcPr>
            <w:tcW w:w="360" w:type="dxa"/>
            <w:vAlign w:val="bottom"/>
            <w:shd w:val="clear" w:color="auto" w:fill="CFF0FC"/>
          </w:tcPr>
          <w:p>
            <w:pPr>
              <w:spacing w:after="0" w:line="168" w:lineRule="exact"/>
              <w:rPr>
                <w:sz w:val="20"/>
                <w:szCs w:val="20"/>
                <w:color w:val="auto"/>
              </w:rPr>
            </w:pPr>
            <w:r>
              <w:rPr>
                <w:rFonts w:ascii="Arial" w:cs="Arial" w:eastAsia="Arial" w:hAnsi="Arial"/>
                <w:sz w:val="15"/>
                <w:szCs w:val="15"/>
                <w:color w:val="auto"/>
              </w:rPr>
              <w:t>1</w:t>
            </w:r>
          </w:p>
        </w:tc>
        <w:tc>
          <w:tcPr>
            <w:tcW w:w="470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line="168" w:lineRule="exact"/>
              <w:rPr>
                <w:sz w:val="20"/>
                <w:szCs w:val="20"/>
                <w:color w:val="auto"/>
              </w:rPr>
            </w:pPr>
            <w:r>
              <w:rPr>
                <w:rFonts w:ascii="Arial" w:cs="Arial" w:eastAsia="Arial" w:hAnsi="Arial"/>
                <w:sz w:val="15"/>
                <w:szCs w:val="15"/>
                <w:color w:val="auto"/>
                <w:w w:val="88"/>
              </w:rPr>
              <w:t>1.7x10</w:t>
            </w:r>
            <w:r>
              <w:rPr>
                <w:rFonts w:ascii="Arial" w:cs="Arial" w:eastAsia="Arial" w:hAnsi="Arial"/>
                <w:sz w:val="12"/>
                <w:szCs w:val="12"/>
                <w:color w:val="auto"/>
                <w:w w:val="88"/>
              </w:rPr>
              <w:t>9</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line="168" w:lineRule="exact"/>
              <w:rPr>
                <w:sz w:val="20"/>
                <w:szCs w:val="20"/>
                <w:color w:val="auto"/>
              </w:rPr>
            </w:pPr>
            <w:r>
              <w:rPr>
                <w:rFonts w:ascii="Arial" w:cs="Arial" w:eastAsia="Arial" w:hAnsi="Arial"/>
                <w:sz w:val="15"/>
                <w:szCs w:val="15"/>
                <w:color w:val="auto"/>
                <w:w w:val="90"/>
              </w:rPr>
              <w:t>5 / 10</w:t>
            </w:r>
          </w:p>
        </w:tc>
        <w:tc>
          <w:tcPr>
            <w:tcW w:w="10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center"/>
              <w:ind w:right="120"/>
              <w:spacing w:after="0" w:line="168" w:lineRule="exact"/>
              <w:rPr>
                <w:sz w:val="20"/>
                <w:szCs w:val="20"/>
                <w:color w:val="auto"/>
              </w:rPr>
            </w:pPr>
            <w:r>
              <w:rPr>
                <w:rFonts w:ascii="Arial" w:cs="Arial" w:eastAsia="Arial" w:hAnsi="Arial"/>
                <w:sz w:val="15"/>
                <w:szCs w:val="15"/>
                <w:color w:val="auto"/>
                <w:w w:val="87"/>
              </w:rPr>
              <w:t>71 years (22 – 88)</w:t>
            </w:r>
          </w:p>
        </w:tc>
        <w:tc>
          <w:tcPr>
            <w:tcW w:w="1280" w:type="dxa"/>
            <w:vAlign w:val="bottom"/>
            <w:shd w:val="clear" w:color="auto" w:fill="CFF0FC"/>
          </w:tcPr>
          <w:p>
            <w:pPr>
              <w:jc w:val="center"/>
              <w:spacing w:after="0" w:line="168" w:lineRule="exact"/>
              <w:rPr>
                <w:sz w:val="20"/>
                <w:szCs w:val="20"/>
                <w:color w:val="auto"/>
              </w:rPr>
            </w:pPr>
            <w:r>
              <w:rPr>
                <w:rFonts w:ascii="Arial" w:cs="Arial" w:eastAsia="Arial" w:hAnsi="Arial"/>
                <w:sz w:val="15"/>
                <w:szCs w:val="15"/>
                <w:color w:val="auto"/>
                <w:w w:val="85"/>
              </w:rPr>
              <w:t>3 (2 – 6)</w:t>
            </w:r>
          </w:p>
        </w:tc>
      </w:tr>
      <w:tr>
        <w:trPr>
          <w:trHeight w:val="186"/>
        </w:trPr>
        <w:tc>
          <w:tcPr>
            <w:tcW w:w="360" w:type="dxa"/>
            <w:vAlign w:val="bottom"/>
          </w:tcPr>
          <w:p>
            <w:pPr>
              <w:spacing w:after="0"/>
              <w:rPr>
                <w:sz w:val="20"/>
                <w:szCs w:val="20"/>
                <w:color w:val="auto"/>
              </w:rPr>
            </w:pPr>
            <w:r>
              <w:rPr>
                <w:rFonts w:ascii="Arial" w:cs="Arial" w:eastAsia="Arial" w:hAnsi="Arial"/>
                <w:sz w:val="15"/>
                <w:szCs w:val="15"/>
                <w:color w:val="auto"/>
              </w:rPr>
              <w:t>2</w:t>
            </w:r>
          </w:p>
        </w:tc>
        <w:tc>
          <w:tcPr>
            <w:tcW w:w="47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1.0x10</w:t>
            </w:r>
            <w:r>
              <w:rPr>
                <w:rFonts w:ascii="Arial" w:cs="Arial" w:eastAsia="Arial" w:hAnsi="Arial"/>
                <w:sz w:val="12"/>
                <w:szCs w:val="12"/>
                <w:color w:val="auto"/>
                <w:w w:val="88"/>
              </w:rPr>
              <w:t>8</w:t>
            </w:r>
          </w:p>
        </w:tc>
        <w:tc>
          <w:tcPr>
            <w:tcW w:w="1040" w:type="dxa"/>
            <w:vAlign w:val="bottom"/>
          </w:tcPr>
          <w:p>
            <w:pPr>
              <w:jc w:val="center"/>
              <w:spacing w:after="0"/>
              <w:rPr>
                <w:sz w:val="20"/>
                <w:szCs w:val="20"/>
                <w:color w:val="auto"/>
              </w:rPr>
            </w:pPr>
            <w:r>
              <w:rPr>
                <w:rFonts w:ascii="Arial" w:cs="Arial" w:eastAsia="Arial" w:hAnsi="Arial"/>
                <w:sz w:val="15"/>
                <w:szCs w:val="15"/>
                <w:color w:val="auto"/>
                <w:w w:val="90"/>
              </w:rPr>
              <w:t>5 / 10</w:t>
            </w: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5"/>
                <w:szCs w:val="15"/>
                <w:color w:val="auto"/>
                <w:w w:val="87"/>
              </w:rPr>
              <w:t>58 years (39 – 83)</w:t>
            </w:r>
          </w:p>
        </w:tc>
        <w:tc>
          <w:tcPr>
            <w:tcW w:w="1280" w:type="dxa"/>
            <w:vAlign w:val="bottom"/>
          </w:tcPr>
          <w:p>
            <w:pPr>
              <w:jc w:val="center"/>
              <w:spacing w:after="0"/>
              <w:rPr>
                <w:sz w:val="20"/>
                <w:szCs w:val="20"/>
                <w:color w:val="auto"/>
              </w:rPr>
            </w:pPr>
            <w:r>
              <w:rPr>
                <w:rFonts w:ascii="Arial" w:cs="Arial" w:eastAsia="Arial" w:hAnsi="Arial"/>
                <w:sz w:val="15"/>
                <w:szCs w:val="15"/>
                <w:color w:val="auto"/>
                <w:w w:val="85"/>
              </w:rPr>
              <w:t>3 (2 – 5)</w:t>
            </w:r>
          </w:p>
        </w:tc>
      </w:tr>
    </w:tbl>
    <w:p>
      <w:pPr>
        <w:spacing w:after="0" w:line="164" w:lineRule="exact"/>
        <w:rPr>
          <w:sz w:val="20"/>
          <w:szCs w:val="20"/>
          <w:color w:val="auto"/>
        </w:rPr>
      </w:pPr>
    </w:p>
    <w:p>
      <w:pPr>
        <w:ind w:right="160" w:firstLine="520"/>
        <w:spacing w:after="0" w:line="268" w:lineRule="auto"/>
        <w:rPr>
          <w:sz w:val="20"/>
          <w:szCs w:val="20"/>
          <w:color w:val="auto"/>
        </w:rPr>
      </w:pPr>
      <w:r>
        <w:rPr>
          <w:rFonts w:ascii="Arial" w:cs="Arial" w:eastAsia="Arial" w:hAnsi="Arial"/>
          <w:sz w:val="14"/>
          <w:szCs w:val="14"/>
          <w:color w:val="auto"/>
        </w:rPr>
        <w:t xml:space="preserve">The primary safety measures were an evaluation of adverse events, laboratory values, vital signs and physical examination of findings prior to and after dosing with SER-109 over a 24-week time period. Evaluations occurred by telephone calls, in-home assessments or clinic visits by qualified personnel. Patients were assessed at Days 2 and 4 and Weeks 1, 2, 4, 8 and 24 post-treatment. The primary efficacy measure was the absence of CDI (defined in this study as more than three unformed bowel movements in a 24-hour period with laboratory confirmation of the presence of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toxin in the stool) during the eight weeks after initiating therapy. Eight weeks was selected as the measurement period for the primary endpoint based on our clinical advisory board’s experience that a significant majority of CDI recurrences occur within eight weeks. Secondary efficacy measures included minimum effective dose, time to CDI recurrence following SER-109, time without diarrhea during the follow-up period and change in diversity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5"/>
          <w:szCs w:val="15"/>
          <w:color w:val="auto"/>
        </w:rPr>
        <w:t>of the colonic microbiome at Day 4 and Weeks 1, 2, 4 and 8 as measured by deep sequencing of patient stool samples. Stool samples were collected pre- treatment and on Day 4 and Weeks 1, 2, 4, 8 and 24 post-treatment.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1b/2 clinical study results</w:t>
      </w:r>
    </w:p>
    <w:p>
      <w:pPr>
        <w:spacing w:after="0" w:line="90" w:lineRule="exact"/>
        <w:rPr>
          <w:sz w:val="20"/>
          <w:szCs w:val="20"/>
          <w:color w:val="auto"/>
        </w:rPr>
      </w:pPr>
    </w:p>
    <w:p>
      <w:pPr>
        <w:ind w:right="100" w:firstLine="520"/>
        <w:spacing w:after="0" w:line="249" w:lineRule="auto"/>
        <w:rPr>
          <w:sz w:val="20"/>
          <w:szCs w:val="20"/>
          <w:color w:val="auto"/>
        </w:rPr>
      </w:pPr>
      <w:r>
        <w:rPr>
          <w:rFonts w:ascii="Arial" w:cs="Arial" w:eastAsia="Arial" w:hAnsi="Arial"/>
          <w:sz w:val="15"/>
          <w:szCs w:val="15"/>
          <w:i w:val="1"/>
          <w:iCs w:val="1"/>
          <w:color w:val="auto"/>
        </w:rPr>
        <w:t xml:space="preserve">Efficacy. </w:t>
      </w:r>
      <w:r>
        <w:rPr>
          <w:rFonts w:ascii="Arial" w:cs="Arial" w:eastAsia="Arial" w:hAnsi="Arial"/>
          <w:sz w:val="15"/>
          <w:szCs w:val="15"/>
          <w:color w:val="auto"/>
        </w:rPr>
        <w:t>Twenty-six of 30 patients, or 87% of patients, in the Phase 1b/2 clinical study achieved the primary efficacy endpoint of experiencing no recurrence of CDI during the eight</w:t>
      </w:r>
      <w:r>
        <w:rPr>
          <w:rFonts w:ascii="Arial" w:cs="Arial" w:eastAsia="Arial" w:hAnsi="Arial"/>
          <w:sz w:val="15"/>
          <w:szCs w:val="15"/>
          <w:i w:val="1"/>
          <w:iCs w:val="1"/>
          <w:color w:val="auto"/>
        </w:rPr>
        <w:t xml:space="preserve"> </w:t>
      </w:r>
      <w:r>
        <w:rPr>
          <w:rFonts w:ascii="Arial" w:cs="Arial" w:eastAsia="Arial" w:hAnsi="Arial"/>
          <w:sz w:val="15"/>
          <w:szCs w:val="15"/>
          <w:color w:val="auto"/>
        </w:rPr>
        <w:t>weeks post- treatment. These 26 patients consisted of 13 patients in each of Part 1 and Part 2 of the study. Among the 26 patients was one patient who experienced an initial recurrence on Day 26 and was re-treated, per protocol, with a dose from the same donor. Following re-treatment, this patient also achieved the primary efficacy endpoint. Efficacy results were not dependent upon the initial human donor or the dose over the range of 3.4x10</w:t>
      </w:r>
      <w:r>
        <w:rPr>
          <w:rFonts w:ascii="Arial" w:cs="Arial" w:eastAsia="Arial" w:hAnsi="Arial"/>
          <w:sz w:val="12"/>
          <w:szCs w:val="12"/>
          <w:color w:val="auto"/>
        </w:rPr>
        <w:t>7</w:t>
      </w:r>
      <w:r>
        <w:rPr>
          <w:rFonts w:ascii="Arial" w:cs="Arial" w:eastAsia="Arial" w:hAnsi="Arial"/>
          <w:sz w:val="15"/>
          <w:szCs w:val="15"/>
          <w:color w:val="auto"/>
        </w:rPr>
        <w:t xml:space="preserve"> to 2.3x10</w:t>
      </w:r>
      <w:r>
        <w:rPr>
          <w:rFonts w:ascii="Arial" w:cs="Arial" w:eastAsia="Arial" w:hAnsi="Arial"/>
          <w:sz w:val="12"/>
          <w:szCs w:val="12"/>
          <w:color w:val="auto"/>
        </w:rPr>
        <w:t>10</w:t>
      </w:r>
      <w:r>
        <w:rPr>
          <w:rFonts w:ascii="Arial" w:cs="Arial" w:eastAsia="Arial" w:hAnsi="Arial"/>
          <w:sz w:val="15"/>
          <w:szCs w:val="15"/>
          <w:color w:val="auto"/>
        </w:rPr>
        <w:t xml:space="preserve"> spores.</w:t>
      </w:r>
    </w:p>
    <w:p>
      <w:pPr>
        <w:spacing w:after="0" w:line="159" w:lineRule="exact"/>
        <w:rPr>
          <w:sz w:val="20"/>
          <w:szCs w:val="20"/>
          <w:color w:val="auto"/>
        </w:rPr>
      </w:pPr>
    </w:p>
    <w:p>
      <w:pPr>
        <w:ind w:right="120" w:firstLine="520"/>
        <w:spacing w:after="0" w:line="248" w:lineRule="auto"/>
        <w:rPr>
          <w:sz w:val="20"/>
          <w:szCs w:val="20"/>
          <w:color w:val="auto"/>
        </w:rPr>
      </w:pPr>
      <w:r>
        <w:rPr>
          <w:rFonts w:ascii="Arial" w:cs="Arial" w:eastAsia="Arial" w:hAnsi="Arial"/>
          <w:sz w:val="15"/>
          <w:szCs w:val="15"/>
          <w:color w:val="auto"/>
        </w:rPr>
        <w:t>Of those patients who did not meet the primary efficacy endpoint, one patient had a recurrence of CDI on Day 5 and did not receive a second treatment with SER-109. The three other patients who failed the protocol-defined primary efficacy endpoint were determined by their attending investigator to be recovering from their diarrheal episode by the time they submitted their stool sample for CDI testing. In each case, the investigator advised the patient to refrain from antibiotic use and the patients’ condition resolved without antibiotic therapy. All three patients were determined to be clinically CDI free at eight weeks. As a result, the clinical cure rate for the study, which we defined as the absence of CDI requiring antibiotic treatment during the eight-week period after SER-109 dosing, was 97%, or 29 of 30 patients.</w:t>
      </w:r>
    </w:p>
    <w:p>
      <w:pPr>
        <w:spacing w:after="0" w:line="159" w:lineRule="exact"/>
        <w:rPr>
          <w:sz w:val="20"/>
          <w:szCs w:val="20"/>
          <w:color w:val="auto"/>
        </w:rPr>
      </w:pPr>
    </w:p>
    <w:p>
      <w:pPr>
        <w:ind w:right="80" w:firstLine="520"/>
        <w:spacing w:after="0" w:line="273" w:lineRule="auto"/>
        <w:rPr>
          <w:sz w:val="20"/>
          <w:szCs w:val="20"/>
          <w:color w:val="auto"/>
        </w:rPr>
      </w:pPr>
      <w:r>
        <w:rPr>
          <w:rFonts w:ascii="Arial" w:cs="Arial" w:eastAsia="Arial" w:hAnsi="Arial"/>
          <w:sz w:val="14"/>
          <w:szCs w:val="14"/>
          <w:color w:val="auto"/>
        </w:rPr>
        <w:t xml:space="preserve">We also tested a total of 27 patients at Week 8 for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carriage, where a patient carries the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bacterium but does not experience symptoms related to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Of the 27 patients tested, 24 patients, or 89% of patients, tested negative for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carriage. Among the three patients who were not tested for </w:t>
      </w:r>
      <w:r>
        <w:rPr>
          <w:rFonts w:ascii="Arial" w:cs="Arial" w:eastAsia="Arial" w:hAnsi="Arial"/>
          <w:sz w:val="14"/>
          <w:szCs w:val="14"/>
          <w:i w:val="1"/>
          <w:iCs w:val="1"/>
          <w:color w:val="auto"/>
        </w:rPr>
        <w:t>C. difficile</w:t>
      </w:r>
      <w:r>
        <w:rPr>
          <w:rFonts w:ascii="Arial" w:cs="Arial" w:eastAsia="Arial" w:hAnsi="Arial"/>
          <w:sz w:val="14"/>
          <w:szCs w:val="14"/>
          <w:color w:val="auto"/>
        </w:rPr>
        <w:t xml:space="preserve"> carriage, one patient did not continue with the study to Week 8 and samples were not collected for two patients at Week 8. In addition, 22 patients continued to participate in the Phase 1b/2 clinical study and did not receive additional antibiotics. Of these patients, 20, or 91% of patients, experienced no recurrence of CDI 24 weeks after treatment.</w:t>
      </w:r>
    </w:p>
    <w:p>
      <w:pPr>
        <w:spacing w:after="0" w:line="143" w:lineRule="exact"/>
        <w:rPr>
          <w:sz w:val="20"/>
          <w:szCs w:val="20"/>
          <w:color w:val="auto"/>
        </w:rPr>
      </w:pPr>
    </w:p>
    <w:p>
      <w:pPr>
        <w:ind w:right="420" w:firstLine="520"/>
        <w:spacing w:after="0" w:line="262" w:lineRule="auto"/>
        <w:rPr>
          <w:sz w:val="20"/>
          <w:szCs w:val="20"/>
          <w:color w:val="auto"/>
        </w:rPr>
      </w:pPr>
      <w:r>
        <w:rPr>
          <w:rFonts w:ascii="Arial" w:cs="Arial" w:eastAsia="Arial" w:hAnsi="Arial"/>
          <w:sz w:val="15"/>
          <w:szCs w:val="15"/>
          <w:color w:val="auto"/>
        </w:rPr>
        <w:t xml:space="preserve">The results of the SER-109 Phase1b/2 clinical study were published in the </w:t>
      </w:r>
      <w:r>
        <w:rPr>
          <w:rFonts w:ascii="Arial" w:cs="Arial" w:eastAsia="Arial" w:hAnsi="Arial"/>
          <w:sz w:val="15"/>
          <w:szCs w:val="15"/>
          <w:i w:val="1"/>
          <w:iCs w:val="1"/>
          <w:color w:val="auto"/>
        </w:rPr>
        <w:t>Journal of Infectious Diseases</w:t>
      </w:r>
      <w:r>
        <w:rPr>
          <w:rFonts w:ascii="Arial" w:cs="Arial" w:eastAsia="Arial" w:hAnsi="Arial"/>
          <w:sz w:val="15"/>
          <w:szCs w:val="15"/>
          <w:color w:val="auto"/>
        </w:rPr>
        <w:t xml:space="preserve"> (Khanna et al., A Novel Microbiome Therapeutic Increases Gut Microbial Diversity and Prevents Recurrent </w:t>
      </w:r>
      <w:r>
        <w:rPr>
          <w:rFonts w:ascii="Arial" w:cs="Arial" w:eastAsia="Arial" w:hAnsi="Arial"/>
          <w:sz w:val="15"/>
          <w:szCs w:val="15"/>
          <w:i w:val="1"/>
          <w:iCs w:val="1"/>
          <w:color w:val="auto"/>
        </w:rPr>
        <w:t>Clostridium difficile</w:t>
      </w:r>
      <w:r>
        <w:rPr>
          <w:rFonts w:ascii="Arial" w:cs="Arial" w:eastAsia="Arial" w:hAnsi="Arial"/>
          <w:sz w:val="15"/>
          <w:szCs w:val="15"/>
          <w:color w:val="auto"/>
        </w:rPr>
        <w:t xml:space="preserve"> Infection, Journal of Infectious Disease) in February 2016.</w:t>
      </w:r>
    </w:p>
    <w:p>
      <w:pPr>
        <w:spacing w:after="0" w:line="148" w:lineRule="exact"/>
        <w:rPr>
          <w:sz w:val="20"/>
          <w:szCs w:val="20"/>
          <w:color w:val="auto"/>
        </w:rPr>
      </w:pPr>
    </w:p>
    <w:p>
      <w:pPr>
        <w:ind w:right="100" w:firstLine="520"/>
        <w:spacing w:after="0" w:line="268" w:lineRule="auto"/>
        <w:rPr>
          <w:sz w:val="20"/>
          <w:szCs w:val="20"/>
          <w:color w:val="auto"/>
        </w:rPr>
      </w:pPr>
      <w:r>
        <w:rPr>
          <w:rFonts w:ascii="Arial" w:cs="Arial" w:eastAsia="Arial" w:hAnsi="Arial"/>
          <w:sz w:val="14"/>
          <w:szCs w:val="14"/>
          <w:color w:val="auto"/>
        </w:rPr>
        <w:t>We also performed an analysis of the microbiome using next-generation sequencing technology and microbiological analysis to evaluate long-term changes in the microbiome, including the restoration of bacterial diversity in the colon of patients. These studies demonstrated a rapid increase in bacterial diversity and a restructuring of the microbiome towards a healthy state. Upon introduction, SER-109 appears to engraft its bacterial species into the microbiome, with some of these species persisting in the patient’s gastrointestinal tract for at least 24 weeks after dosing. In addition, in some patients we noted the repopulation of organisms that were not in SER-109 and had not been detected in the patient prior to treatment. We believe this phenomenon, which we refer to as augmentation, is an important element for restoration of bacterial diversity and repair of dysbiosis. Engraftment and augmentation, as well as the clinical resolution of CDI, were not dependent on the dose of SER-109 administered.</w:t>
      </w:r>
    </w:p>
    <w:p>
      <w:pPr>
        <w:spacing w:after="0" w:line="146" w:lineRule="exact"/>
        <w:rPr>
          <w:sz w:val="20"/>
          <w:szCs w:val="20"/>
          <w:color w:val="auto"/>
        </w:rPr>
      </w:pPr>
    </w:p>
    <w:p>
      <w:pPr>
        <w:ind w:right="60" w:firstLine="520"/>
        <w:spacing w:after="0" w:line="332" w:lineRule="auto"/>
        <w:rPr>
          <w:sz w:val="20"/>
          <w:szCs w:val="20"/>
          <w:color w:val="auto"/>
        </w:rPr>
      </w:pPr>
      <w:r>
        <w:rPr>
          <w:rFonts w:ascii="Arial" w:cs="Arial" w:eastAsia="Arial" w:hAnsi="Arial"/>
          <w:sz w:val="12"/>
          <w:szCs w:val="12"/>
          <w:color w:val="auto"/>
        </w:rPr>
        <w:t xml:space="preserve">We believe the engraftment and augmentation observed with SER-109 could have important medical implications for treating other infectious agents. For example, in the Phase 1b/2 clinical study, we observed that some patients were not only infected with </w:t>
      </w:r>
      <w:r>
        <w:rPr>
          <w:rFonts w:ascii="Arial" w:cs="Arial" w:eastAsia="Arial" w:hAnsi="Arial"/>
          <w:sz w:val="12"/>
          <w:szCs w:val="12"/>
          <w:i w:val="1"/>
          <w:iCs w:val="1"/>
          <w:color w:val="auto"/>
        </w:rPr>
        <w:t>C. difficile</w:t>
      </w:r>
      <w:r>
        <w:rPr>
          <w:rFonts w:ascii="Arial" w:cs="Arial" w:eastAsia="Arial" w:hAnsi="Arial"/>
          <w:sz w:val="12"/>
          <w:szCs w:val="12"/>
          <w:color w:val="auto"/>
        </w:rPr>
        <w:t>, but were also colonized with other harmful organisms at high levels. Importantly, after SER-109 treatment, levels of these organisms declined by as much as 100,000-fold. For example, we identified multiple patients in the trial with high levels of VRE, which are drug-resistant bacteria that colonize the gastrointestinal tract and can cause serious bloodstream infections. In patients identified with VRE, the VRE was reduced below the limit of detection of our assays after treatment.</w:t>
      </w:r>
    </w:p>
    <w:p>
      <w:pPr>
        <w:spacing w:after="0" w:line="112"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i w:val="1"/>
          <w:iCs w:val="1"/>
          <w:color w:val="auto"/>
        </w:rPr>
        <w:t xml:space="preserve">Safety. </w:t>
      </w:r>
      <w:r>
        <w:rPr>
          <w:rFonts w:ascii="Arial" w:cs="Arial" w:eastAsia="Arial" w:hAnsi="Arial"/>
          <w:sz w:val="15"/>
          <w:szCs w:val="15"/>
          <w:color w:val="auto"/>
        </w:rPr>
        <w:t>In Part 1 of the study, 80% of the patients experienced at least one adverse event, all of which were treatment emergent adverse events, or TEAEs. A TEAE was defined as an</w:t>
      </w:r>
      <w:r>
        <w:rPr>
          <w:rFonts w:ascii="Arial" w:cs="Arial" w:eastAsia="Arial" w:hAnsi="Arial"/>
          <w:sz w:val="15"/>
          <w:szCs w:val="15"/>
          <w:i w:val="1"/>
          <w:iCs w:val="1"/>
          <w:color w:val="auto"/>
        </w:rPr>
        <w:t xml:space="preserve"> </w:t>
      </w:r>
      <w:r>
        <w:rPr>
          <w:rFonts w:ascii="Arial" w:cs="Arial" w:eastAsia="Arial" w:hAnsi="Arial"/>
          <w:sz w:val="15"/>
          <w:szCs w:val="15"/>
          <w:color w:val="auto"/>
        </w:rPr>
        <w:t>adverse event that started or worsened at or during the time of or after the date of the first dose of SER-109 through the final follow-up visit. Five, or 33%, of the patients were judged by the investigator to have a TEAE attributable to SER-109 and all were mild or moderate. In Part 2, 100% of the patients experienced at least one adverse event, all of which were TEAEs. Nine, or 60%, of the patients were judged by the investigator to have a TEAE attributable to SER-109 and all were mild or moderate. The most common adverse events were gastrointestinal disorders and diarrhea. The majority of TEAEs were mild in severity and consistent with post-antibiotic recovery from CDI. One patient in Part 2 had a severe adverse event of chest pain, which was not considered related to SER-109. Two patients each in Part 1 and Part 2 had more than one serious adverse event, none of which was considered related to SER-109. There were no deaths in Part 1 or Part 2.</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479"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i w:val="1"/>
          <w:iCs w:val="1"/>
          <w:color w:val="auto"/>
        </w:rPr>
        <w:t>Clinical development plan</w:t>
      </w:r>
    </w:p>
    <w:p>
      <w:pPr>
        <w:spacing w:after="0" w:line="90" w:lineRule="exact"/>
        <w:rPr>
          <w:sz w:val="20"/>
          <w:szCs w:val="20"/>
          <w:color w:val="auto"/>
        </w:rPr>
      </w:pPr>
    </w:p>
    <w:p>
      <w:pPr>
        <w:jc w:val="both"/>
        <w:ind w:right="220" w:firstLine="520"/>
        <w:spacing w:after="0" w:line="346" w:lineRule="auto"/>
        <w:rPr>
          <w:sz w:val="20"/>
          <w:szCs w:val="20"/>
          <w:color w:val="auto"/>
        </w:rPr>
      </w:pPr>
      <w:r>
        <w:rPr>
          <w:rFonts w:ascii="Arial" w:cs="Arial" w:eastAsia="Arial" w:hAnsi="Arial"/>
          <w:sz w:val="12"/>
          <w:szCs w:val="12"/>
          <w:color w:val="auto"/>
        </w:rPr>
        <w:t>In May 2015, we initiated a SER-109 Phase 2 clinical study. We expect initial clinical study results in the middle of 2016. Following the analysis of the data to come from our Phase 2 clinical study, we plan to meet with the FDA to present Phase 2 safety and efficacy results and a proposed protocol for the Phase 3 clinical trial. We are conducting pre-validation studies of our manufacturing process for SER-109, and we expect to obtain sufficient data from these studies for a Phase 3 clinical trial. We plan to initiate the Phase 3 clinical trial in the second half of 2016.</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FDA has indicated that we do not need to conduct further pre-clinical studies of SER-109. We believe this conclusion is the result of several factors, including the following:</w:t>
      </w:r>
    </w:p>
    <w:p>
      <w:pPr>
        <w:spacing w:after="0" w:line="102" w:lineRule="exact"/>
        <w:rPr>
          <w:sz w:val="20"/>
          <w:szCs w:val="20"/>
          <w:color w:val="auto"/>
        </w:rPr>
      </w:pPr>
    </w:p>
    <w:p>
      <w:pPr>
        <w:ind w:left="1040" w:hanging="518"/>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gastrointestinal bacteria are host-specific and animal data would not be more representative than our human clinical data;</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SER-109’s favorable safety profile in patients in the Phase 1b/2 clinical study;</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ecobiotic microbiome therapeutics are unlikely to result in systemic exposure because they are not absorbed outside of the gastrointestinal tract;</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engraftment of spores is not dependent on dose based on the range of doses evaluated in our Phase 1b/2 study; and</w:t>
      </w:r>
    </w:p>
    <w:p>
      <w:pPr>
        <w:spacing w:after="0" w:line="90" w:lineRule="exact"/>
        <w:rPr>
          <w:rFonts w:ascii="Arial" w:cs="Arial" w:eastAsia="Arial" w:hAnsi="Arial"/>
          <w:sz w:val="15"/>
          <w:szCs w:val="15"/>
          <w:color w:val="auto"/>
        </w:rPr>
      </w:pPr>
    </w:p>
    <w:p>
      <w:pPr>
        <w:ind w:left="1040" w:right="660" w:hanging="518"/>
        <w:spacing w:after="0" w:line="262" w:lineRule="auto"/>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SER-109 comprises spores from microbes found in a healthy human gastrointestinal tract. Taken together, we believe these parameters allow for rapid and inexpensive development relative to typical drug discovery and development.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2 clinical study design</w:t>
      </w:r>
    </w:p>
    <w:p>
      <w:pPr>
        <w:spacing w:after="0" w:line="90" w:lineRule="exact"/>
        <w:rPr>
          <w:sz w:val="20"/>
          <w:szCs w:val="20"/>
          <w:color w:val="auto"/>
        </w:rPr>
      </w:pPr>
    </w:p>
    <w:p>
      <w:pPr>
        <w:ind w:right="60" w:firstLine="520"/>
        <w:spacing w:after="0" w:line="247" w:lineRule="auto"/>
        <w:rPr>
          <w:sz w:val="20"/>
          <w:szCs w:val="20"/>
          <w:color w:val="auto"/>
        </w:rPr>
      </w:pPr>
      <w:r>
        <w:rPr>
          <w:rFonts w:ascii="Arial" w:cs="Arial" w:eastAsia="Arial" w:hAnsi="Arial"/>
          <w:sz w:val="15"/>
          <w:szCs w:val="15"/>
          <w:color w:val="auto"/>
        </w:rPr>
        <w:t xml:space="preserve">The Phase 2 clinical study is a randomized, double-blinded, placebo-controlled, parallel-group trial with two treatment arms enrolling a total of 87 patients. We plan to enroll eligible patients at approximately 36 sites in the United States. Patients will be randomized 2:1 to receive either a single oral dose of SER-109 in four capsules or a matching placebo in four capsules. Based on the assumptions we have made for the recurrence rate of CDI and assuming we conduct final analyses for a minimum of 78 patients, our Phase 2 clinical study is sufficiently large, with the power of the study over 90%, to demonstrate that SER-109 is superior to placebo. The SER-109 formulation of the inner capsule has been refined to enable production to meet commercial requirements. We believe that the manufacturing and formulation changes have resulted in a more pure form of SER-109 that is comparable in potency to that used in the Phase 1b/2 clinical study based on a pre-clinical mouse </w:t>
      </w:r>
      <w:r>
        <w:rPr>
          <w:rFonts w:ascii="Arial" w:cs="Arial" w:eastAsia="Arial" w:hAnsi="Arial"/>
          <w:sz w:val="15"/>
          <w:szCs w:val="15"/>
          <w:i w:val="1"/>
          <w:iCs w:val="1"/>
          <w:color w:val="auto"/>
        </w:rPr>
        <w:t>C. difficile</w:t>
      </w:r>
      <w:r>
        <w:rPr>
          <w:rFonts w:ascii="Arial" w:cs="Arial" w:eastAsia="Arial" w:hAnsi="Arial"/>
          <w:sz w:val="15"/>
          <w:szCs w:val="15"/>
          <w:color w:val="auto"/>
        </w:rPr>
        <w:t xml:space="preserve"> model.</w:t>
      </w:r>
    </w:p>
    <w:p>
      <w:pPr>
        <w:spacing w:after="0" w:line="160" w:lineRule="exact"/>
        <w:rPr>
          <w:sz w:val="20"/>
          <w:szCs w:val="20"/>
          <w:color w:val="auto"/>
        </w:rPr>
      </w:pPr>
    </w:p>
    <w:p>
      <w:pPr>
        <w:ind w:firstLine="520"/>
        <w:spacing w:after="0" w:line="266" w:lineRule="auto"/>
        <w:rPr>
          <w:sz w:val="20"/>
          <w:szCs w:val="20"/>
          <w:color w:val="auto"/>
        </w:rPr>
      </w:pPr>
      <w:r>
        <w:rPr>
          <w:rFonts w:ascii="Arial" w:cs="Arial" w:eastAsia="Arial" w:hAnsi="Arial"/>
          <w:sz w:val="14"/>
          <w:szCs w:val="14"/>
          <w:color w:val="auto"/>
        </w:rPr>
        <w:t>The Phase 2 clinical study is designed to enroll patients 18 years or older with a documented history of three or more occurrences of CDI in the previous nine months, as compared to 12 months in our Phase 1b/2 clinical study. Additionally, enrolled patients must have been clinically responsive to ten to 21 days of standard of care antibiotics and show no evidence of diarrhea for two or more consecutive days prior to randomization. In contrast, enrolled patients in our Phase 1b/2 clinical study were permitted to be on long-term antibiotic therapy. Inclusion and exclusion criteria for the Phase 2 clinical study are generally similar to our Phase 1b/2 clinical study, but are more restricted in some patient populations. For example, the criteria exclude patients on steroids (≥ 20 mg/d) or on maintenance immunotherapy and those with a history of untreated celiac disease or gluten enteropathy. However, the inclusion and exclusion criteria for the Phase 2 clinical study is less restrictive in other patient populations. For example, the criteria exclude patients with IBS or IBD only if active within the past 24 months, as compared to patients with any history of these diseases in our Phase 1b/2 clinical study, and patients with an absolute neutrophil count, or ANC, less than 500/mm3, as compared to patients with an ANC less than 1000/mm3 in the Phase 1b/2 clinical study.</w:t>
      </w:r>
    </w:p>
    <w:p>
      <w:pPr>
        <w:spacing w:after="0" w:line="148" w:lineRule="exact"/>
        <w:rPr>
          <w:sz w:val="20"/>
          <w:szCs w:val="20"/>
          <w:color w:val="auto"/>
        </w:rPr>
      </w:pPr>
    </w:p>
    <w:p>
      <w:pPr>
        <w:ind w:firstLine="520"/>
        <w:spacing w:after="0" w:line="316" w:lineRule="auto"/>
        <w:rPr>
          <w:sz w:val="20"/>
          <w:szCs w:val="20"/>
          <w:color w:val="auto"/>
        </w:rPr>
      </w:pPr>
      <w:r>
        <w:rPr>
          <w:rFonts w:ascii="Arial" w:cs="Arial" w:eastAsia="Arial" w:hAnsi="Arial"/>
          <w:sz w:val="12"/>
          <w:szCs w:val="12"/>
          <w:color w:val="auto"/>
        </w:rPr>
        <w:t xml:space="preserve">The primary efficacy objective in the Phase 2 clinical study will be to demonstrate the superiority of SER-109 compared to placebo in the prevention of recurrent CDI in adult patients up to eight weeks after treatment. In this study, an episode of recurrent CDI will be defined as three or more unformed stools per day over two days with a positive </w:t>
      </w:r>
      <w:r>
        <w:rPr>
          <w:rFonts w:ascii="Arial" w:cs="Arial" w:eastAsia="Arial" w:hAnsi="Arial"/>
          <w:sz w:val="12"/>
          <w:szCs w:val="12"/>
          <w:i w:val="1"/>
          <w:iCs w:val="1"/>
          <w:color w:val="auto"/>
        </w:rPr>
        <w:t>C. difficile</w:t>
      </w:r>
      <w:r>
        <w:rPr>
          <w:rFonts w:ascii="Arial" w:cs="Arial" w:eastAsia="Arial" w:hAnsi="Arial"/>
          <w:sz w:val="12"/>
          <w:szCs w:val="12"/>
          <w:color w:val="auto"/>
        </w:rPr>
        <w:t xml:space="preserve"> stool test and requiring antibiotic treatment. By comparison, our Phase 1b/2 clinical study defined an episode of recurrent CDI as three unformed stools over one day with a positive </w:t>
      </w:r>
      <w:r>
        <w:rPr>
          <w:rFonts w:ascii="Arial" w:cs="Arial" w:eastAsia="Arial" w:hAnsi="Arial"/>
          <w:sz w:val="12"/>
          <w:szCs w:val="12"/>
          <w:i w:val="1"/>
          <w:iCs w:val="1"/>
          <w:color w:val="auto"/>
        </w:rPr>
        <w:t>C. difficile</w:t>
      </w:r>
      <w:r>
        <w:rPr>
          <w:rFonts w:ascii="Arial" w:cs="Arial" w:eastAsia="Arial" w:hAnsi="Arial"/>
          <w:sz w:val="12"/>
          <w:szCs w:val="12"/>
          <w:color w:val="auto"/>
        </w:rPr>
        <w:t xml:space="preserve"> stool test and did not require antibiotic treatment. The decision to treat with antibiotics will be based on the physician’s clinical assessment of the patient in accordance with the guidelines set forth in our Phase 2 clinical study protocol. The primary safety objective will be to evaluate the safety of SER-109 in these patients up to 24 weeks after treatment as determined by clinical and laboratory safety assessments. During the follow-up period (Weeks 9-12), patients will be contacted by phone weekly and asked about adverse events and diarrheal symptoms. If diarrheal symptoms meeting the definition of recurrent CDI occur during the follow-up period, patients will be asked to return to the clinic for a clinical evaluation and a </w:t>
      </w:r>
      <w:r>
        <w:rPr>
          <w:rFonts w:ascii="Arial" w:cs="Arial" w:eastAsia="Arial" w:hAnsi="Arial"/>
          <w:sz w:val="12"/>
          <w:szCs w:val="12"/>
          <w:i w:val="1"/>
          <w:iCs w:val="1"/>
          <w:color w:val="auto"/>
        </w:rPr>
        <w:t>C. difficile</w:t>
      </w:r>
      <w:r>
        <w:rPr>
          <w:rFonts w:ascii="Arial" w:cs="Arial" w:eastAsia="Arial" w:hAnsi="Arial"/>
          <w:sz w:val="12"/>
          <w:szCs w:val="12"/>
          <w:color w:val="auto"/>
        </w:rPr>
        <w:t xml:space="preserve"> test. In addition, patients will return to the clinic at Week 12 for safety evaluations. Following the Week 12 visit, patients will be contacted by phone at Weeks 16, 20 and 24 and asked about adverse events and diarrheal symptoms.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741" w:right="239" w:bottom="1440" w:gutter="0" w:footer="0" w:header="0"/>
        </w:sectPr>
      </w:pPr>
    </w:p>
    <w:bookmarkStart w:id="18" w:name="page19"/>
    <w:bookmarkEnd w:id="18"/>
    <w:p>
      <w:pPr>
        <w:ind w:right="20" w:firstLine="520"/>
        <w:spacing w:after="0" w:line="249" w:lineRule="auto"/>
        <w:rPr>
          <w:sz w:val="20"/>
          <w:szCs w:val="20"/>
          <w:color w:val="auto"/>
        </w:rPr>
      </w:pPr>
      <w:r>
        <w:rPr>
          <w:rFonts w:ascii="Arial" w:cs="Arial" w:eastAsia="Arial" w:hAnsi="Arial"/>
          <w:sz w:val="15"/>
          <w:szCs w:val="15"/>
          <w:color w:val="auto"/>
        </w:rPr>
        <w:t>We also plan to evaluate secondary objectives including the time to CDI recurrence, if any, in patients who receive SER-109 compared to those who receive placebo, and the proportion of patients experiencing clinical CDI recurrence up to four, 12 and 24 weeks post-treatment in patients who receive SER-109 compared to placebo. In addition, exploratory objectives include comparing the changes in the composition of the gastrointestinal microbiome from baseline to 24 weeks post- treatment using metagenomic analysis and measuring quality of life and health outcomes up to 24 weeks post-treatment.</w:t>
      </w:r>
    </w:p>
    <w:p>
      <w:pPr>
        <w:spacing w:after="0" w:line="159" w:lineRule="exact"/>
        <w:rPr>
          <w:sz w:val="20"/>
          <w:szCs w:val="20"/>
          <w:color w:val="auto"/>
        </w:rPr>
      </w:pPr>
    </w:p>
    <w:p>
      <w:pPr>
        <w:jc w:val="both"/>
        <w:ind w:right="180" w:firstLine="520"/>
        <w:spacing w:after="0" w:line="252" w:lineRule="auto"/>
        <w:rPr>
          <w:sz w:val="20"/>
          <w:szCs w:val="20"/>
          <w:color w:val="auto"/>
        </w:rPr>
      </w:pPr>
      <w:r>
        <w:rPr>
          <w:rFonts w:ascii="Arial" w:cs="Arial" w:eastAsia="Arial" w:hAnsi="Arial"/>
          <w:sz w:val="15"/>
          <w:szCs w:val="15"/>
          <w:color w:val="auto"/>
        </w:rPr>
        <w:t>After all enrolled patients complete the Phase 2 clinical study, which will occur following dosing of each patient, or have discontinued before that time point, an analysis of the efficacy and safety endpoints will be performed. Following the analysis of this data, we plan to meet with the FDA to present Phase 2 safety and efficacy results and a proposed protocol for the Phase 3 clinical trial. We plan to initiate the Phase 3 clinical trial in the second half of 2016.</w:t>
      </w:r>
    </w:p>
    <w:p>
      <w:pPr>
        <w:spacing w:after="0" w:line="157"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i w:val="1"/>
          <w:iCs w:val="1"/>
          <w:color w:val="auto"/>
        </w:rPr>
        <w:t>Open label extension study</w:t>
      </w:r>
      <w:r>
        <w:rPr>
          <w:rFonts w:ascii="Arial" w:cs="Arial" w:eastAsia="Arial" w:hAnsi="Arial"/>
          <w:sz w:val="15"/>
          <w:szCs w:val="15"/>
          <w:color w:val="auto"/>
        </w:rPr>
        <w:t>. Patients in either arm of the Phase 2 clinical study who relapse and experience an episode of recurrent CDI within eight weeks of treatment will be permitted</w:t>
      </w:r>
      <w:r>
        <w:rPr>
          <w:rFonts w:ascii="Arial" w:cs="Arial" w:eastAsia="Arial" w:hAnsi="Arial"/>
          <w:sz w:val="15"/>
          <w:szCs w:val="15"/>
          <w:i w:val="1"/>
          <w:iCs w:val="1"/>
          <w:color w:val="auto"/>
        </w:rPr>
        <w:t xml:space="preserve"> </w:t>
      </w:r>
      <w:r>
        <w:rPr>
          <w:rFonts w:ascii="Arial" w:cs="Arial" w:eastAsia="Arial" w:hAnsi="Arial"/>
          <w:sz w:val="15"/>
          <w:szCs w:val="15"/>
          <w:color w:val="auto"/>
        </w:rPr>
        <w:t>to enroll in an open label extension study in which they will receive a single dose of SER-109. Participation in the open label extension will be conditioned upon the patient’s continued satisfaction of the inclusion and exclusion criteria. We believe that providing the open label extension will assist in facilitating enrollment in the Phase 2 clinical study by providing participants the opportunity to ultimately receive SER-109 if they are initially enrolled in the placebo group. In addition, we believe the open label study will provide additional safety data and may provide us with greater understanding of the impact of a second dose of SER-109.</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Manufacturing</w:t>
      </w:r>
    </w:p>
    <w:p>
      <w:pPr>
        <w:spacing w:after="0" w:line="90" w:lineRule="exact"/>
        <w:rPr>
          <w:sz w:val="20"/>
          <w:szCs w:val="20"/>
          <w:color w:val="auto"/>
        </w:rPr>
      </w:pPr>
    </w:p>
    <w:p>
      <w:pPr>
        <w:ind w:right="320" w:firstLine="520"/>
        <w:spacing w:after="0" w:line="262" w:lineRule="auto"/>
        <w:rPr>
          <w:sz w:val="20"/>
          <w:szCs w:val="20"/>
          <w:color w:val="auto"/>
        </w:rPr>
      </w:pPr>
      <w:r>
        <w:rPr>
          <w:rFonts w:ascii="Arial" w:cs="Arial" w:eastAsia="Arial" w:hAnsi="Arial"/>
          <w:sz w:val="15"/>
          <w:szCs w:val="15"/>
          <w:color w:val="auto"/>
        </w:rPr>
        <w:t>SER-109 is a purified ecology of spores produced through a process of extraction from a natural human stool source, obtained from qualified, highly screened donors. The donor raw material is collected in a controlled setting, under a protocol that ensures that donors meet qualification criteria.</w:t>
      </w:r>
    </w:p>
    <w:p>
      <w:pPr>
        <w:spacing w:after="0" w:line="148" w:lineRule="exact"/>
        <w:rPr>
          <w:sz w:val="20"/>
          <w:szCs w:val="20"/>
          <w:color w:val="auto"/>
        </w:rPr>
      </w:pPr>
    </w:p>
    <w:p>
      <w:pPr>
        <w:ind w:firstLine="520"/>
        <w:spacing w:after="0" w:line="273" w:lineRule="auto"/>
        <w:rPr>
          <w:sz w:val="20"/>
          <w:szCs w:val="20"/>
          <w:color w:val="auto"/>
        </w:rPr>
      </w:pPr>
      <w:r>
        <w:rPr>
          <w:rFonts w:ascii="Arial" w:cs="Arial" w:eastAsia="Arial" w:hAnsi="Arial"/>
          <w:sz w:val="14"/>
          <w:szCs w:val="14"/>
          <w:color w:val="auto"/>
        </w:rPr>
        <w:t>Donors are required to be in good health, and to possess a medical history and a lifestyle that minimizes the risk of exposure to and transmission of an infectious disease. Donors are tested for infectious agents and screened for gastrointestinal and other health factors. After initial qualification, the donor is eligible to donate for a defined period of time. Donors are monitored for health status changes during the donation period. At the end of the donation period, the qualification assessment is repeated to help ensure the donor has maintained their health status. After successful completion of an exit screening the donations are released from quarantine for use in manufacturing.</w:t>
      </w:r>
    </w:p>
    <w:p>
      <w:pPr>
        <w:spacing w:after="0" w:line="143" w:lineRule="exact"/>
        <w:rPr>
          <w:sz w:val="20"/>
          <w:szCs w:val="20"/>
          <w:color w:val="auto"/>
        </w:rPr>
      </w:pPr>
    </w:p>
    <w:p>
      <w:pPr>
        <w:ind w:right="80" w:firstLine="520"/>
        <w:spacing w:after="0" w:line="270" w:lineRule="auto"/>
        <w:rPr>
          <w:sz w:val="20"/>
          <w:szCs w:val="20"/>
          <w:color w:val="auto"/>
        </w:rPr>
      </w:pPr>
      <w:r>
        <w:rPr>
          <w:rFonts w:ascii="Arial" w:cs="Arial" w:eastAsia="Arial" w:hAnsi="Arial"/>
          <w:sz w:val="14"/>
          <w:szCs w:val="14"/>
          <w:color w:val="auto"/>
        </w:rPr>
        <w:t>We initially process the donor material in our Kendall Square, Cambridge manufacturing facility, and then transfer the process intermediate to a Contract Manufacturing Organization, or CMO, to isolate and concentrate SER-109 for finishing to the oral capsule dosage form. The purified, concentrated Drug Substance is tested for identity, potency and purity, and subsequently formulated into Drug Product where it is again tested for identity, potency, and purity. The final Drug Product dosage form is four hard capsules for oral administration. Steps are specifically built into the process to remove and kill non-spore microbes. We have conducted validation studies demonstrating the ability of the process to inactivate and clear hypothetical extraneous pathogens of concern, and we believe we have sufficient data from these studies to support a Phase 3 clinical trial.</w:t>
      </w:r>
    </w:p>
    <w:p>
      <w:pPr>
        <w:spacing w:after="0" w:line="145" w:lineRule="exact"/>
        <w:rPr>
          <w:sz w:val="20"/>
          <w:szCs w:val="20"/>
          <w:color w:val="auto"/>
        </w:rPr>
      </w:pPr>
    </w:p>
    <w:p>
      <w:pPr>
        <w:ind w:right="100" w:firstLine="520"/>
        <w:spacing w:after="0" w:line="249" w:lineRule="auto"/>
        <w:rPr>
          <w:sz w:val="20"/>
          <w:szCs w:val="20"/>
          <w:color w:val="auto"/>
        </w:rPr>
      </w:pPr>
      <w:r>
        <w:rPr>
          <w:rFonts w:ascii="Arial" w:cs="Arial" w:eastAsia="Arial" w:hAnsi="Arial"/>
          <w:sz w:val="15"/>
          <w:szCs w:val="15"/>
          <w:color w:val="auto"/>
        </w:rPr>
        <w:t>Raw materials, intermediates, drug substance and drug product are tested using cGMP assays developed with our know-how to assess the key quality attributes of identity, potency and purity of the natural product. Identity testing has been developed to assure the presence of specific live spore forms in the product. Potency assays assure the dose of spores, and assess stability of the spores and the product form during storage. Proprietary microbiological purity assays have been developed to enable testing for microbial contaminants in the presence of the live spore product.</w:t>
      </w:r>
    </w:p>
    <w:p>
      <w:pPr>
        <w:spacing w:after="0" w:line="159" w:lineRule="exact"/>
        <w:rPr>
          <w:sz w:val="20"/>
          <w:szCs w:val="20"/>
          <w:color w:val="auto"/>
        </w:rPr>
      </w:pPr>
    </w:p>
    <w:p>
      <w:pPr>
        <w:ind w:right="40" w:firstLine="520"/>
        <w:spacing w:after="0" w:line="346" w:lineRule="auto"/>
        <w:rPr>
          <w:sz w:val="20"/>
          <w:szCs w:val="20"/>
          <w:color w:val="auto"/>
        </w:rPr>
      </w:pPr>
      <w:r>
        <w:rPr>
          <w:rFonts w:ascii="Arial" w:cs="Arial" w:eastAsia="Arial" w:hAnsi="Arial"/>
          <w:sz w:val="12"/>
          <w:szCs w:val="12"/>
          <w:color w:val="auto"/>
        </w:rPr>
        <w:t>Once ingested, a single dose of SER-109 spores administered to a patient multiply rapidly within the gastrointestinal tract. Therefore, the dosage required to treat a patient is modest. As a result, we believe we can address market demand with a relatively small- scale manufacturing process. Additionally, the need for donors to address anticipated market supply is also modest. If approved, we anticipate that we will be able to produce a sufficient commercial supply of SER- 109 to meet estimated demand in the U.S. using donations from fewer than 20 human donors.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SER-262</w:t>
      </w:r>
    </w:p>
    <w:p>
      <w:pPr>
        <w:spacing w:after="0" w:line="90" w:lineRule="exact"/>
        <w:rPr>
          <w:sz w:val="20"/>
          <w:szCs w:val="20"/>
          <w:color w:val="auto"/>
        </w:rPr>
      </w:pPr>
    </w:p>
    <w:p>
      <w:pPr>
        <w:ind w:right="20" w:firstLine="520"/>
        <w:spacing w:after="0" w:line="279" w:lineRule="auto"/>
        <w:rPr>
          <w:sz w:val="20"/>
          <w:szCs w:val="20"/>
          <w:color w:val="auto"/>
        </w:rPr>
      </w:pPr>
      <w:r>
        <w:rPr>
          <w:rFonts w:ascii="Arial" w:cs="Arial" w:eastAsia="Arial" w:hAnsi="Arial"/>
          <w:sz w:val="14"/>
          <w:szCs w:val="14"/>
          <w:color w:val="auto"/>
        </w:rPr>
        <w:t>We are developing SER-262, which is a synthetic fermented, multi-strain Ecobiotic microbiome therapeutic intended to be used following antibiotic treatment of primary CDI to prevent an initial recurrence of CDI. We are designing SER-262 to increase and improve diversity in the colonic microbiome after antibiotics following CDI. The results of our Phase 1b/2 clinical study of SER-109 provided multiple insights that employed in designing the spore ecology used in SER-262, which consists of a subset of bacteria found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19" w:name="page20"/>
    <w:bookmarkEnd w:id="19"/>
    <w:p>
      <w:pPr>
        <w:spacing w:after="0"/>
        <w:rPr>
          <w:sz w:val="20"/>
          <w:szCs w:val="20"/>
          <w:color w:val="auto"/>
        </w:rPr>
      </w:pPr>
      <w:r>
        <w:rPr>
          <w:rFonts w:ascii="Arial" w:cs="Arial" w:eastAsia="Arial" w:hAnsi="Arial"/>
          <w:sz w:val="15"/>
          <w:szCs w:val="15"/>
          <w:color w:val="auto"/>
        </w:rPr>
        <w:t>in SER-109. Pre-clinical studies of SER-262 have demonstrated that it is comparable in efficacy to SER-109 in the mouse model of CDI..</w:t>
      </w:r>
    </w:p>
    <w:p>
      <w:pPr>
        <w:spacing w:after="0" w:line="178" w:lineRule="exact"/>
        <w:rPr>
          <w:sz w:val="20"/>
          <w:szCs w:val="20"/>
          <w:color w:val="auto"/>
        </w:rPr>
      </w:pPr>
    </w:p>
    <w:p>
      <w:pPr>
        <w:ind w:right="100" w:firstLine="520"/>
        <w:spacing w:after="0" w:line="252" w:lineRule="auto"/>
        <w:rPr>
          <w:sz w:val="20"/>
          <w:szCs w:val="20"/>
          <w:color w:val="auto"/>
        </w:rPr>
      </w:pPr>
      <w:r>
        <w:rPr>
          <w:rFonts w:ascii="Arial" w:cs="Arial" w:eastAsia="Arial" w:hAnsi="Arial"/>
          <w:sz w:val="15"/>
          <w:szCs w:val="15"/>
          <w:color w:val="auto"/>
        </w:rPr>
        <w:t>As part of our selection of SER-262 we screened multiple candidates for efficacy in animal models using SER-109 as a reference compound. SER-262 provided significant protection against CDI with reduced mortality, minimum weight loss and clinical score measures of efficacy. Strains in SER-262 have met initial bioprocess specifications for spore titer and yield, and each organism has been characterized by whole genome sequencing and a battery of in vitro tests and characterizations.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results of some of these pre-clinical studies are depicted in the diagrams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119380</wp:posOffset>
            </wp:positionV>
            <wp:extent cx="3646805" cy="1986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4680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firstLine="520"/>
        <w:spacing w:after="0" w:line="252" w:lineRule="auto"/>
        <w:rPr>
          <w:sz w:val="20"/>
          <w:szCs w:val="20"/>
          <w:color w:val="auto"/>
        </w:rPr>
      </w:pPr>
      <w:r>
        <w:rPr>
          <w:rFonts w:ascii="Arial" w:cs="Arial" w:eastAsia="Arial" w:hAnsi="Arial"/>
          <w:sz w:val="15"/>
          <w:szCs w:val="15"/>
          <w:color w:val="auto"/>
        </w:rPr>
        <w:t>We have discussed our pre-clinical data and intended Phase 1b study protocol with FDA and intend to initiate a SER-262 clinical study in the middle of 2016. Each of the strains used in our pre-clinical studies were purified from a qualified donor who participated in the SER-109 Phase 1b/2 clinical study. Given our ability to grow the spores in bacterial fermenters, we will not require any additional donations from human donors for purposes of manufacturing SER-262.</w:t>
      </w:r>
    </w:p>
    <w:p>
      <w:pPr>
        <w:spacing w:after="0" w:line="157" w:lineRule="exact"/>
        <w:rPr>
          <w:sz w:val="20"/>
          <w:szCs w:val="20"/>
          <w:color w:val="auto"/>
        </w:rPr>
      </w:pPr>
    </w:p>
    <w:p>
      <w:pPr>
        <w:ind w:right="20" w:firstLine="520"/>
        <w:spacing w:after="0" w:line="321" w:lineRule="auto"/>
        <w:rPr>
          <w:sz w:val="20"/>
          <w:szCs w:val="20"/>
          <w:color w:val="auto"/>
        </w:rPr>
      </w:pPr>
      <w:r>
        <w:rPr>
          <w:rFonts w:ascii="Arial" w:cs="Arial" w:eastAsia="Arial" w:hAnsi="Arial"/>
          <w:sz w:val="12"/>
          <w:szCs w:val="12"/>
          <w:color w:val="auto"/>
        </w:rPr>
        <w:t xml:space="preserve">SER-262 represents the continued evolution of our platform and capabilities, validating our ability to extend our technology to new indications. SER-262, unlike SER-109, is made in bacterial fermenters and in a rational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design similar to a fixed dose combination of small or large molecules. We intend to use this approach going forward for future Ecobiotic microbiome therapeutics, which will eliminate the need for ongoing human donors in the CMC process. There are several advantages to using a synthetic approach to developing microbiome therapeutics. Synthetically derived product candidates can be manufactured in a reliable, reproducible manner, with extremely well-defined characteristics. Based on our metagenomics expertise, vast proprietary bacterial library, and advanced manufacturing capabilities, we are able to specifically design synthetically produced microbiome therapies for specific target indications. Importantly, our unique capabilities provide Seres with a significant competitive advantage in developing synthetically produced microbiome therapies.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Manufacturing</w:t>
      </w:r>
    </w:p>
    <w:p>
      <w:pPr>
        <w:spacing w:after="0" w:line="90" w:lineRule="exact"/>
        <w:rPr>
          <w:sz w:val="20"/>
          <w:szCs w:val="20"/>
          <w:color w:val="auto"/>
        </w:rPr>
      </w:pPr>
    </w:p>
    <w:p>
      <w:pPr>
        <w:ind w:firstLine="520"/>
        <w:spacing w:after="0" w:line="268" w:lineRule="auto"/>
        <w:rPr>
          <w:sz w:val="20"/>
          <w:szCs w:val="20"/>
          <w:color w:val="auto"/>
        </w:rPr>
      </w:pPr>
      <w:r>
        <w:rPr>
          <w:rFonts w:ascii="Arial" w:cs="Arial" w:eastAsia="Arial" w:hAnsi="Arial"/>
          <w:sz w:val="14"/>
          <w:szCs w:val="14"/>
          <w:color w:val="auto"/>
        </w:rPr>
        <w:t>To manufacture SER-262, bacterial components for formulation are fermented and purified as spores. The bacteria originate from cell banks that have been manufactured starting from proprietary research strain banks. Research strain banks have been made by clonal isolation and multiple rounds of streaking for purity, followed by banking and testing for identity and purity. The strains are cultured in controlled fermentations to meet projected initial clinical testing needs. The intended processes have been piloted to demonstrate the Phase 1 production process, and the cGMP campaign for production of supplies has been initiated. cGMP Drug Product processing is similar to SER-109 for initial proof-of-concept clinical trial materials, with the addition of a blending step to combine the individually fermented drug substances. Drug Substance and Drug Product will be tested for identity, purity, and potency Optimization of the fermentation and purification processes, and the dosage form are ongoing to refine manufacturing processes for future needs.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566" w:right="259" w:bottom="1440" w:gutter="0" w:footer="0" w:header="0"/>
        </w:sectPr>
      </w:pPr>
    </w:p>
    <w:bookmarkStart w:id="20" w:name="page21"/>
    <w:bookmarkEnd w:id="20"/>
    <w:p>
      <w:pPr>
        <w:spacing w:after="0"/>
        <w:rPr>
          <w:sz w:val="20"/>
          <w:szCs w:val="20"/>
          <w:color w:val="auto"/>
        </w:rPr>
      </w:pPr>
      <w:r>
        <w:rPr>
          <w:rFonts w:ascii="Arial" w:cs="Arial" w:eastAsia="Arial" w:hAnsi="Arial"/>
          <w:sz w:val="15"/>
          <w:szCs w:val="15"/>
          <w:i w:val="1"/>
          <w:iCs w:val="1"/>
          <w:color w:val="auto"/>
        </w:rPr>
        <w:t>SER-287</w:t>
      </w:r>
    </w:p>
    <w:p>
      <w:pPr>
        <w:spacing w:after="0" w:line="178" w:lineRule="exact"/>
        <w:rPr>
          <w:sz w:val="20"/>
          <w:szCs w:val="20"/>
          <w:color w:val="auto"/>
        </w:rPr>
      </w:pPr>
    </w:p>
    <w:p>
      <w:pPr>
        <w:ind w:right="20" w:firstLine="520"/>
        <w:spacing w:after="0" w:line="332" w:lineRule="auto"/>
        <w:rPr>
          <w:sz w:val="20"/>
          <w:szCs w:val="20"/>
          <w:color w:val="auto"/>
        </w:rPr>
      </w:pPr>
      <w:r>
        <w:rPr>
          <w:rFonts w:ascii="Arial" w:cs="Arial" w:eastAsia="Arial" w:hAnsi="Arial"/>
          <w:sz w:val="12"/>
          <w:szCs w:val="12"/>
          <w:color w:val="auto"/>
        </w:rPr>
        <w:t xml:space="preserve">Recent published third-party research reported changes in the microbiome in a cohort of patients with IBD, including ulcerative colitis, compared to healthy individuals. The changes include higher levels of </w:t>
      </w:r>
      <w:r>
        <w:rPr>
          <w:rFonts w:ascii="Arial" w:cs="Arial" w:eastAsia="Arial" w:hAnsi="Arial"/>
          <w:sz w:val="12"/>
          <w:szCs w:val="12"/>
          <w:i w:val="1"/>
          <w:iCs w:val="1"/>
          <w:color w:val="auto"/>
        </w:rPr>
        <w:t>Enterobacteriaceae</w:t>
      </w:r>
      <w:r>
        <w:rPr>
          <w:rFonts w:ascii="Arial" w:cs="Arial" w:eastAsia="Arial" w:hAnsi="Arial"/>
          <w:sz w:val="12"/>
          <w:szCs w:val="12"/>
          <w:color w:val="auto"/>
        </w:rPr>
        <w:t xml:space="preserve"> and lower levels of </w:t>
      </w:r>
      <w:r>
        <w:rPr>
          <w:rFonts w:ascii="Arial" w:cs="Arial" w:eastAsia="Arial" w:hAnsi="Arial"/>
          <w:sz w:val="12"/>
          <w:szCs w:val="12"/>
          <w:i w:val="1"/>
          <w:iCs w:val="1"/>
          <w:color w:val="auto"/>
        </w:rPr>
        <w:t>Clostridiales</w:t>
      </w:r>
      <w:r>
        <w:rPr>
          <w:rFonts w:ascii="Arial" w:cs="Arial" w:eastAsia="Arial" w:hAnsi="Arial"/>
          <w:sz w:val="12"/>
          <w:szCs w:val="12"/>
          <w:color w:val="auto"/>
        </w:rPr>
        <w:t>. The changes in these organisms are a form of dysbiosis, and we believe that if we can repopulate keystone organisms and functional pathways we could restore the microbiome thereby treating ulcerative colitis. Ulcerative colitis is a serious chronic condition affecting approximately 700,000 individuals in the United States. The disease results in inflammation of the colon and rectum and can result in debilitating symptoms, including abdominal pain, bowel urgency and diarrhea.</w:t>
      </w:r>
    </w:p>
    <w:p>
      <w:pPr>
        <w:spacing w:after="0" w:line="112" w:lineRule="exact"/>
        <w:rPr>
          <w:sz w:val="20"/>
          <w:szCs w:val="20"/>
          <w:color w:val="auto"/>
        </w:rPr>
      </w:pPr>
    </w:p>
    <w:p>
      <w:pPr>
        <w:ind w:right="60" w:firstLine="520"/>
        <w:spacing w:after="0" w:line="252" w:lineRule="auto"/>
        <w:rPr>
          <w:sz w:val="20"/>
          <w:szCs w:val="20"/>
          <w:color w:val="auto"/>
        </w:rPr>
      </w:pPr>
      <w:r>
        <w:rPr>
          <w:rFonts w:ascii="Arial" w:cs="Arial" w:eastAsia="Arial" w:hAnsi="Arial"/>
          <w:sz w:val="15"/>
          <w:szCs w:val="15"/>
          <w:color w:val="auto"/>
        </w:rPr>
        <w:t xml:space="preserve">Based on this research and our experience with SER-109, we believe that we can use a complex spore ecology to restore the underlying dysbiosis of ulcerative colitis. SER-109 is comprised of organisms in the class of </w:t>
      </w:r>
      <w:r>
        <w:rPr>
          <w:rFonts w:ascii="Arial" w:cs="Arial" w:eastAsia="Arial" w:hAnsi="Arial"/>
          <w:sz w:val="15"/>
          <w:szCs w:val="15"/>
          <w:i w:val="1"/>
          <w:iCs w:val="1"/>
          <w:color w:val="auto"/>
        </w:rPr>
        <w:t>Clostridiales</w:t>
      </w:r>
      <w:r>
        <w:rPr>
          <w:rFonts w:ascii="Arial" w:cs="Arial" w:eastAsia="Arial" w:hAnsi="Arial"/>
          <w:sz w:val="15"/>
          <w:szCs w:val="15"/>
          <w:color w:val="auto"/>
        </w:rPr>
        <w:t xml:space="preserve">, which engraft after treatment with SER-109. SER-109 has also been shown to reduce the colonization of </w:t>
      </w:r>
      <w:r>
        <w:rPr>
          <w:rFonts w:ascii="Arial" w:cs="Arial" w:eastAsia="Arial" w:hAnsi="Arial"/>
          <w:sz w:val="15"/>
          <w:szCs w:val="15"/>
          <w:i w:val="1"/>
          <w:iCs w:val="1"/>
          <w:color w:val="auto"/>
        </w:rPr>
        <w:t>Enterobacteriaceae</w:t>
      </w:r>
      <w:r>
        <w:rPr>
          <w:rFonts w:ascii="Arial" w:cs="Arial" w:eastAsia="Arial" w:hAnsi="Arial"/>
          <w:sz w:val="15"/>
          <w:szCs w:val="15"/>
          <w:color w:val="auto"/>
        </w:rPr>
        <w:t xml:space="preserve"> in CDI patients. We developed SER-287 to treat ulcerative colitis using data generated in our studies of SER-109.</w:t>
      </w:r>
    </w:p>
    <w:p>
      <w:pPr>
        <w:spacing w:after="0" w:line="69" w:lineRule="exact"/>
        <w:rPr>
          <w:sz w:val="20"/>
          <w:szCs w:val="20"/>
          <w:color w:val="auto"/>
        </w:rPr>
      </w:pPr>
    </w:p>
    <w:p>
      <w:pPr>
        <w:jc w:val="both"/>
        <w:ind w:right="100" w:firstLine="520"/>
        <w:spacing w:after="0" w:line="279" w:lineRule="auto"/>
        <w:rPr>
          <w:sz w:val="20"/>
          <w:szCs w:val="20"/>
          <w:color w:val="auto"/>
        </w:rPr>
      </w:pPr>
      <w:r>
        <w:rPr>
          <w:rFonts w:ascii="Arial" w:cs="Arial" w:eastAsia="Arial" w:hAnsi="Arial"/>
          <w:sz w:val="14"/>
          <w:szCs w:val="14"/>
          <w:color w:val="auto"/>
        </w:rPr>
        <w:t>We initiated our Phase 1b study in December 2015 and are enrolling subjects with mild to moderate ulcerative colitis to evaluate the safety and efficacy of SER-287 added to standard of care treatment. The study will examine the safety and tolerability, effect on composition of the intestinal microbiome, the engraftment of SER-287 bacteria into the intestinal microbiome, and the clinical response, complete remission and endoscopic improvement in subjects following treatment with SER-287 compared to placebo.</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1b clinical study design</w:t>
      </w:r>
    </w:p>
    <w:p>
      <w:pPr>
        <w:spacing w:after="0" w:line="178" w:lineRule="exact"/>
        <w:rPr>
          <w:sz w:val="20"/>
          <w:szCs w:val="20"/>
          <w:color w:val="auto"/>
        </w:rPr>
      </w:pPr>
    </w:p>
    <w:p>
      <w:pPr>
        <w:ind w:right="380" w:firstLine="764"/>
        <w:spacing w:after="0" w:line="262" w:lineRule="auto"/>
        <w:rPr>
          <w:sz w:val="20"/>
          <w:szCs w:val="20"/>
          <w:color w:val="auto"/>
        </w:rPr>
      </w:pPr>
      <w:r>
        <w:rPr>
          <w:rFonts w:ascii="Arial" w:cs="Arial" w:eastAsia="Arial" w:hAnsi="Arial"/>
          <w:sz w:val="15"/>
          <w:szCs w:val="15"/>
          <w:color w:val="auto"/>
        </w:rPr>
        <w:t>The broad objectives of the SER-287 Phase 1b clinical study are to determine the safety and tolerability of SER-287, and microbiome dynamics, in patients with active mild-to-moderate ulcerative colitis.</w:t>
      </w:r>
    </w:p>
    <w:p>
      <w:pPr>
        <w:spacing w:after="0" w:line="148" w:lineRule="exact"/>
        <w:rPr>
          <w:sz w:val="20"/>
          <w:szCs w:val="20"/>
          <w:color w:val="auto"/>
        </w:rPr>
      </w:pPr>
    </w:p>
    <w:p>
      <w:pPr>
        <w:ind w:right="40" w:firstLine="764"/>
        <w:spacing w:after="0" w:line="346" w:lineRule="auto"/>
        <w:rPr>
          <w:sz w:val="20"/>
          <w:szCs w:val="20"/>
          <w:color w:val="auto"/>
        </w:rPr>
      </w:pPr>
      <w:r>
        <w:rPr>
          <w:rFonts w:ascii="Arial" w:cs="Arial" w:eastAsia="Arial" w:hAnsi="Arial"/>
          <w:sz w:val="12"/>
          <w:szCs w:val="12"/>
          <w:color w:val="auto"/>
        </w:rPr>
        <w:t>The Phase 1b clinical study is a multicenter, randomized, double-blind, placebo-controlled multiple dose study utilizing weekly or daily dosing with SER-287 conducted in 55 adult subjects with mild-to-moderate ulcerative colitis. We plan to enroll eligible subjects at approximately 20 sites in the United States. The Phase 1b clinical study is designed to enroll adults 18 years of age and older who have mild-to-moderate ulcerative colitis as defined by a total modified Mayo score between 4 and 10, inclusive, with a modified Mayo endoscopic subscore ≥ 1.</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Patients will be randomized to one of four study arms:</w:t>
      </w:r>
    </w:p>
    <w:p>
      <w:pPr>
        <w:spacing w:after="0" w:line="90" w:lineRule="exact"/>
        <w:rPr>
          <w:sz w:val="20"/>
          <w:szCs w:val="20"/>
          <w:color w:val="auto"/>
        </w:rPr>
      </w:pPr>
    </w:p>
    <w:p>
      <w:pPr>
        <w:ind w:left="760" w:hanging="381"/>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Pre-treatment with placebo for 6 days, followed by weekly dosing of SER-287 for 8 weeks</w:t>
      </w:r>
    </w:p>
    <w:p>
      <w:pPr>
        <w:spacing w:after="0" w:line="13" w:lineRule="exact"/>
        <w:rPr>
          <w:rFonts w:ascii="Arial" w:cs="Arial" w:eastAsia="Arial" w:hAnsi="Arial"/>
          <w:sz w:val="15"/>
          <w:szCs w:val="15"/>
          <w:color w:val="auto"/>
        </w:rPr>
      </w:pPr>
    </w:p>
    <w:p>
      <w:pPr>
        <w:ind w:left="760" w:hanging="381"/>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Pre-treatment with placebo for 6 days, followed by daily dosing with placebo for 8 weeks</w:t>
      </w:r>
    </w:p>
    <w:p>
      <w:pPr>
        <w:spacing w:after="0" w:line="2" w:lineRule="exact"/>
        <w:rPr>
          <w:rFonts w:ascii="Arial" w:cs="Arial" w:eastAsia="Arial" w:hAnsi="Arial"/>
          <w:sz w:val="15"/>
          <w:szCs w:val="15"/>
          <w:color w:val="auto"/>
        </w:rPr>
      </w:pPr>
    </w:p>
    <w:p>
      <w:pPr>
        <w:ind w:left="760" w:hanging="381"/>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Pre-treatment with vancomycin for 6 days, followed by daily dosing of SER-287 for 8 weeks</w:t>
      </w:r>
    </w:p>
    <w:p>
      <w:pPr>
        <w:spacing w:after="0" w:line="2" w:lineRule="exact"/>
        <w:rPr>
          <w:rFonts w:ascii="Arial" w:cs="Arial" w:eastAsia="Arial" w:hAnsi="Arial"/>
          <w:sz w:val="15"/>
          <w:szCs w:val="15"/>
          <w:color w:val="auto"/>
        </w:rPr>
      </w:pPr>
    </w:p>
    <w:p>
      <w:pPr>
        <w:ind w:left="760" w:hanging="381"/>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Pre-treatment with vancomycin for 6 days, followed by weekly dosing of SER-287 for 8 weeks</w:t>
      </w:r>
    </w:p>
    <w:p>
      <w:pPr>
        <w:spacing w:after="0" w:line="167" w:lineRule="exact"/>
        <w:rPr>
          <w:sz w:val="20"/>
          <w:szCs w:val="20"/>
          <w:color w:val="auto"/>
        </w:rPr>
      </w:pPr>
    </w:p>
    <w:p>
      <w:pPr>
        <w:ind w:right="300" w:firstLine="381"/>
        <w:spacing w:after="0" w:line="252" w:lineRule="auto"/>
        <w:rPr>
          <w:sz w:val="20"/>
          <w:szCs w:val="20"/>
          <w:color w:val="auto"/>
        </w:rPr>
      </w:pPr>
      <w:r>
        <w:rPr>
          <w:rFonts w:ascii="Arial" w:cs="Arial" w:eastAsia="Arial" w:hAnsi="Arial"/>
          <w:sz w:val="15"/>
          <w:szCs w:val="15"/>
          <w:color w:val="auto"/>
        </w:rPr>
        <w:t>The primary objectives of the study are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157" w:lineRule="exact"/>
        <w:rPr>
          <w:sz w:val="20"/>
          <w:szCs w:val="20"/>
          <w:color w:val="auto"/>
        </w:rPr>
      </w:pPr>
    </w:p>
    <w:p>
      <w:pPr>
        <w:ind w:firstLine="381"/>
        <w:spacing w:after="0" w:line="249" w:lineRule="auto"/>
        <w:rPr>
          <w:sz w:val="20"/>
          <w:szCs w:val="20"/>
          <w:color w:val="auto"/>
        </w:rPr>
      </w:pPr>
      <w:r>
        <w:rPr>
          <w:rFonts w:ascii="Arial" w:cs="Arial" w:eastAsia="Arial" w:hAnsi="Arial"/>
          <w:sz w:val="15"/>
          <w:szCs w:val="15"/>
          <w:color w:val="auto"/>
        </w:rPr>
        <w:t>The secondary objectives of the study are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from stool, urine and blood in each of the treatment arms from baseline throughout treatment; and to compare the changes in exploratory biomarkers from mucosal biopsies, stool and oral swabs in each of the treatment arms from baseline through eight weeks</w:t>
      </w:r>
    </w:p>
    <w:p>
      <w:pPr>
        <w:spacing w:after="0" w:line="159" w:lineRule="exact"/>
        <w:rPr>
          <w:sz w:val="20"/>
          <w:szCs w:val="20"/>
          <w:color w:val="auto"/>
        </w:rPr>
      </w:pPr>
    </w:p>
    <w:p>
      <w:pPr>
        <w:ind w:right="20" w:firstLine="381"/>
        <w:spacing w:after="0" w:line="248" w:lineRule="auto"/>
        <w:rPr>
          <w:sz w:val="20"/>
          <w:szCs w:val="20"/>
          <w:color w:val="auto"/>
        </w:rPr>
      </w:pPr>
      <w:r>
        <w:rPr>
          <w:rFonts w:ascii="Arial" w:cs="Arial" w:eastAsia="Arial" w:hAnsi="Arial"/>
          <w:sz w:val="15"/>
          <w:szCs w:val="15"/>
          <w:color w:val="auto"/>
        </w:rPr>
        <w:t>This study will provide a safety profile of SER-287 compared to placebo for the ulcerative colitis population, describe the changes in the microbiome as a result of treatment with SER-287 and provide potential predictive biomarkers for future studies. Ulcerative colitis is characterized by a decrease in microbial diversity and richness, with a lower prevalence of spore-forming organisms within the phylum Firmicutes. Preliminary data suggest that microbial interventions can affect clinical outcomes in ulcerative colitis, and this study will evaluate whether the ecology of bacterial spores in SER-287 can correct the dysbiosis in ulcerative colitis, increase microbial diversity and safely lead to a clinical response in ulcerative colitis patients with mild-to-moderate disease.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566" w:right="25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i w:val="1"/>
          <w:iCs w:val="1"/>
          <w:color w:val="auto"/>
        </w:rPr>
        <w:t>Other Product Candidates and Products in Discovery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SER-155</w:t>
      </w:r>
    </w:p>
    <w:p>
      <w:pPr>
        <w:spacing w:after="0" w:line="90" w:lineRule="exact"/>
        <w:rPr>
          <w:sz w:val="20"/>
          <w:szCs w:val="20"/>
          <w:color w:val="auto"/>
        </w:rPr>
      </w:pPr>
    </w:p>
    <w:p>
      <w:pPr>
        <w:ind w:right="20" w:firstLine="520"/>
        <w:spacing w:after="0" w:line="268" w:lineRule="auto"/>
        <w:rPr>
          <w:sz w:val="20"/>
          <w:szCs w:val="20"/>
          <w:color w:val="auto"/>
        </w:rPr>
      </w:pPr>
      <w:r>
        <w:rPr>
          <w:rFonts w:ascii="Arial" w:cs="Arial" w:eastAsia="Arial" w:hAnsi="Arial"/>
          <w:sz w:val="14"/>
          <w:szCs w:val="14"/>
          <w:color w:val="auto"/>
        </w:rPr>
        <w:t xml:space="preserve">We have an active pre-clinical program to discover and develop Ecobiotic microbiome therapeutics for other infectious diseases. The Phase 1b/2 clinical study of SER-109 provided initial evidence suggesting that Ecobiotic microbiome therapeutics have the potential to eliminate colonization by potential microbial pathogens, such as VRE and Gram-negative </w:t>
      </w:r>
      <w:r>
        <w:rPr>
          <w:rFonts w:ascii="Arial" w:cs="Arial" w:eastAsia="Arial" w:hAnsi="Arial"/>
          <w:sz w:val="14"/>
          <w:szCs w:val="14"/>
          <w:i w:val="1"/>
          <w:iCs w:val="1"/>
          <w:color w:val="auto"/>
        </w:rPr>
        <w:t>Enterobacteriaceae.</w:t>
      </w:r>
      <w:r>
        <w:rPr>
          <w:rFonts w:ascii="Arial" w:cs="Arial" w:eastAsia="Arial" w:hAnsi="Arial"/>
          <w:sz w:val="14"/>
          <w:szCs w:val="14"/>
          <w:color w:val="auto"/>
        </w:rPr>
        <w:t xml:space="preserve"> </w:t>
      </w:r>
      <w:r>
        <w:rPr>
          <w:rFonts w:ascii="Arial" w:cs="Arial" w:eastAsia="Arial" w:hAnsi="Arial"/>
          <w:sz w:val="14"/>
          <w:szCs w:val="14"/>
          <w:i w:val="1"/>
          <w:iCs w:val="1"/>
          <w:color w:val="auto"/>
        </w:rPr>
        <w:t>Enterobacteriaceae</w:t>
      </w:r>
      <w:r>
        <w:rPr>
          <w:rFonts w:ascii="Arial" w:cs="Arial" w:eastAsia="Arial" w:hAnsi="Arial"/>
          <w:sz w:val="14"/>
          <w:szCs w:val="14"/>
          <w:color w:val="auto"/>
        </w:rPr>
        <w:t>, such as</w:t>
      </w:r>
      <w:r>
        <w:rPr>
          <w:rFonts w:ascii="Arial" w:cs="Arial" w:eastAsia="Arial" w:hAnsi="Arial"/>
          <w:sz w:val="14"/>
          <w:szCs w:val="14"/>
          <w:i w:val="1"/>
          <w:iCs w:val="1"/>
          <w:color w:val="auto"/>
        </w:rPr>
        <w:t xml:space="preserve"> Klebsiella</w:t>
      </w:r>
      <w:r>
        <w:rPr>
          <w:rFonts w:ascii="Arial" w:cs="Arial" w:eastAsia="Arial" w:hAnsi="Arial"/>
          <w:sz w:val="14"/>
          <w:szCs w:val="14"/>
          <w:color w:val="auto"/>
        </w:rPr>
        <w:t>,</w:t>
      </w:r>
      <w:r>
        <w:rPr>
          <w:rFonts w:ascii="Arial" w:cs="Arial" w:eastAsia="Arial" w:hAnsi="Arial"/>
          <w:sz w:val="14"/>
          <w:szCs w:val="14"/>
          <w:i w:val="1"/>
          <w:iCs w:val="1"/>
          <w:color w:val="auto"/>
        </w:rPr>
        <w:t xml:space="preserve"> Morganella </w:t>
      </w:r>
      <w:r>
        <w:rPr>
          <w:rFonts w:ascii="Arial" w:cs="Arial" w:eastAsia="Arial" w:hAnsi="Arial"/>
          <w:sz w:val="14"/>
          <w:szCs w:val="14"/>
          <w:color w:val="auto"/>
        </w:rPr>
        <w:t>and</w:t>
      </w:r>
      <w:r>
        <w:rPr>
          <w:rFonts w:ascii="Arial" w:cs="Arial" w:eastAsia="Arial" w:hAnsi="Arial"/>
          <w:sz w:val="14"/>
          <w:szCs w:val="14"/>
          <w:i w:val="1"/>
          <w:iCs w:val="1"/>
          <w:color w:val="auto"/>
        </w:rPr>
        <w:t xml:space="preserve"> Proteus</w:t>
      </w:r>
      <w:r>
        <w:rPr>
          <w:rFonts w:ascii="Arial" w:cs="Arial" w:eastAsia="Arial" w:hAnsi="Arial"/>
          <w:sz w:val="14"/>
          <w:szCs w:val="14"/>
          <w:color w:val="auto"/>
        </w:rPr>
        <w:t>. These may be present at low levels in the healthy colon, but like</w:t>
      </w:r>
      <w:r>
        <w:rPr>
          <w:rFonts w:ascii="Arial" w:cs="Arial" w:eastAsia="Arial" w:hAnsi="Arial"/>
          <w:sz w:val="14"/>
          <w:szCs w:val="14"/>
          <w:i w:val="1"/>
          <w:iCs w:val="1"/>
          <w:color w:val="auto"/>
        </w:rPr>
        <w:t xml:space="preserve"> C. difficile</w:t>
      </w:r>
      <w:r>
        <w:rPr>
          <w:rFonts w:ascii="Arial" w:cs="Arial" w:eastAsia="Arial" w:hAnsi="Arial"/>
          <w:sz w:val="14"/>
          <w:szCs w:val="14"/>
          <w:color w:val="auto"/>
        </w:rPr>
        <w:t>, they can overgrow after antibiotic use</w:t>
      </w:r>
      <w:r>
        <w:rPr>
          <w:rFonts w:ascii="Arial" w:cs="Arial" w:eastAsia="Arial" w:hAnsi="Arial"/>
          <w:sz w:val="14"/>
          <w:szCs w:val="14"/>
          <w:i w:val="1"/>
          <w:iCs w:val="1"/>
          <w:color w:val="auto"/>
        </w:rPr>
        <w:t xml:space="preserve">. Enterobacteriaceae </w:t>
      </w:r>
      <w:r>
        <w:rPr>
          <w:rFonts w:ascii="Arial" w:cs="Arial" w:eastAsia="Arial" w:hAnsi="Arial"/>
          <w:sz w:val="14"/>
          <w:szCs w:val="14"/>
          <w:color w:val="auto"/>
        </w:rPr>
        <w:t>can include multidrug resistant organisms, or MDROs, that represent significant public health concerns. For example, carbapenem resistant</w:t>
      </w:r>
      <w:r>
        <w:rPr>
          <w:rFonts w:ascii="Arial" w:cs="Arial" w:eastAsia="Arial" w:hAnsi="Arial"/>
          <w:sz w:val="14"/>
          <w:szCs w:val="14"/>
          <w:i w:val="1"/>
          <w:iCs w:val="1"/>
          <w:color w:val="auto"/>
        </w:rPr>
        <w:t xml:space="preserve"> Enterobacteriaceae</w:t>
      </w:r>
      <w:r>
        <w:rPr>
          <w:rFonts w:ascii="Arial" w:cs="Arial" w:eastAsia="Arial" w:hAnsi="Arial"/>
          <w:sz w:val="14"/>
          <w:szCs w:val="14"/>
          <w:color w:val="auto"/>
        </w:rPr>
        <w:t>, or CRE, is a</w:t>
      </w:r>
      <w:r>
        <w:rPr>
          <w:rFonts w:ascii="Arial" w:cs="Arial" w:eastAsia="Arial" w:hAnsi="Arial"/>
          <w:sz w:val="14"/>
          <w:szCs w:val="14"/>
          <w:i w:val="1"/>
          <w:iCs w:val="1"/>
          <w:color w:val="auto"/>
        </w:rPr>
        <w:t xml:space="preserve"> </w:t>
      </w:r>
      <w:r>
        <w:rPr>
          <w:rFonts w:ascii="Arial" w:cs="Arial" w:eastAsia="Arial" w:hAnsi="Arial"/>
          <w:sz w:val="14"/>
          <w:szCs w:val="14"/>
          <w:color w:val="auto"/>
        </w:rPr>
        <w:t>significant problem in the United States and has been identified as an urgent priority by the Centers for Disease Control. VRE, CRE and other MDROs colonize the gastrointestinal tract after antibiotic use and can spread through contact with patients and healthcare workers both in institutional and in community settings.</w:t>
      </w:r>
    </w:p>
    <w:p>
      <w:pPr>
        <w:spacing w:after="0" w:line="146" w:lineRule="exact"/>
        <w:rPr>
          <w:sz w:val="20"/>
          <w:szCs w:val="20"/>
          <w:color w:val="auto"/>
        </w:rPr>
      </w:pPr>
    </w:p>
    <w:p>
      <w:pPr>
        <w:ind w:right="60" w:firstLine="520"/>
        <w:spacing w:after="0" w:line="332" w:lineRule="auto"/>
        <w:rPr>
          <w:sz w:val="20"/>
          <w:szCs w:val="20"/>
          <w:color w:val="auto"/>
        </w:rPr>
      </w:pPr>
      <w:r>
        <w:rPr>
          <w:rFonts w:ascii="Arial" w:cs="Arial" w:eastAsia="Arial" w:hAnsi="Arial"/>
          <w:sz w:val="12"/>
          <w:szCs w:val="12"/>
          <w:color w:val="auto"/>
        </w:rPr>
        <w:t xml:space="preserve">We are currently designing and developing SER-155, an Ecobiotic microbiome therapeutic that is expected to have activity against Gram-positive and Gram-negative enteric bacterial pathogens. We expect to develop SER-155 for the prevention of transplant-related mortality in recipients of allogeneic hematopoietic stem cell transplant (HSCT) due to invasive infection and graft versus host disease (GvHD). The selection of patient population will be based on pre-clinical data, and the assessment of clinical development plan, regulatory path and market opportunities. We plan to conduct studies in animal models as well as conduct further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characterization of individual strains, in order to define and nominate a composition for clinical development.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Sales and Marketing</w:t>
      </w:r>
    </w:p>
    <w:p>
      <w:pPr>
        <w:spacing w:after="0" w:line="182" w:lineRule="exact"/>
        <w:rPr>
          <w:sz w:val="20"/>
          <w:szCs w:val="20"/>
          <w:color w:val="auto"/>
        </w:rPr>
      </w:pPr>
    </w:p>
    <w:p>
      <w:pPr>
        <w:ind w:right="40" w:firstLine="520"/>
        <w:spacing w:after="0" w:line="249" w:lineRule="auto"/>
        <w:rPr>
          <w:sz w:val="20"/>
          <w:szCs w:val="20"/>
          <w:color w:val="auto"/>
        </w:rPr>
      </w:pPr>
      <w:r>
        <w:rPr>
          <w:rFonts w:ascii="Arial" w:cs="Arial" w:eastAsia="Arial" w:hAnsi="Arial"/>
          <w:sz w:val="15"/>
          <w:szCs w:val="15"/>
          <w:color w:val="auto"/>
        </w:rPr>
        <w:t>In January 2016 we hired Wael Hashad as Chief Commercial Officer and Executive Vice President. In this newly created role, Mr. Hashad will be responsible for all activities related to the anticipated commercialization of our products in development. If SER-109 is approved in the United States, we plan to commercialize it with our own focused specialty sales force. We believe we can effectively commercialize SER-109 with a commercial team of 100 or fewer sales representatives that will target gastrointestinal and infectious disease physicians, which are the two primary groups of physicians who treat multiple recurrent CDI patients.</w:t>
      </w:r>
    </w:p>
    <w:p>
      <w:pPr>
        <w:spacing w:after="0" w:line="159" w:lineRule="exact"/>
        <w:rPr>
          <w:sz w:val="20"/>
          <w:szCs w:val="20"/>
          <w:color w:val="auto"/>
        </w:rPr>
      </w:pPr>
    </w:p>
    <w:p>
      <w:pPr>
        <w:ind w:firstLine="520"/>
        <w:spacing w:after="0" w:line="252" w:lineRule="auto"/>
        <w:rPr>
          <w:sz w:val="20"/>
          <w:szCs w:val="20"/>
          <w:color w:val="auto"/>
        </w:rPr>
      </w:pPr>
      <w:r>
        <w:rPr>
          <w:rFonts w:ascii="Arial" w:cs="Arial" w:eastAsia="Arial" w:hAnsi="Arial"/>
          <w:sz w:val="15"/>
          <w:szCs w:val="15"/>
          <w:color w:val="auto"/>
        </w:rPr>
        <w:t>In January 2016 we entered into an agreement with NHS for the development and commercialization outside of the United States and Canada of our product candidates in development for CDI and IBD, including ulcerative colitis and Crohn’s disease. The agreement will support the development of our portfolio of products for CDI and IBD in markets outside of the United States and Canada and provide financial support for our ongoing research and development.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Manufacturing</w:t>
      </w:r>
    </w:p>
    <w:p>
      <w:pPr>
        <w:spacing w:after="0" w:line="182" w:lineRule="exact"/>
        <w:rPr>
          <w:sz w:val="20"/>
          <w:szCs w:val="20"/>
          <w:color w:val="auto"/>
        </w:rPr>
      </w:pPr>
    </w:p>
    <w:p>
      <w:pPr>
        <w:ind w:right="280" w:firstLine="520"/>
        <w:spacing w:after="0" w:line="325" w:lineRule="auto"/>
        <w:rPr>
          <w:sz w:val="20"/>
          <w:szCs w:val="20"/>
          <w:color w:val="auto"/>
        </w:rPr>
      </w:pPr>
      <w:r>
        <w:rPr>
          <w:rFonts w:ascii="Arial" w:cs="Arial" w:eastAsia="Arial" w:hAnsi="Arial"/>
          <w:sz w:val="12"/>
          <w:szCs w:val="12"/>
          <w:color w:val="auto"/>
        </w:rPr>
        <w:t>The production of live bacterial products is highly specialized. Owing to their hardiness and environmental persistence, production of spore-forming organisms poses unique considerations for product, personnel and facility protection. Manufacturing activities with spores are subject to specialized regulations. We believe that many of the challenges associated with manufacturing bacterial combinations are overcome by the low dose requirements of our product. For example, we expect that a typical commercial fermentation will yield on the order of hundreds or thousands of doses per liter depending on the product and its composition. Additionally, because a given total dose is split between several strains, the per-strain requirements for production may be even lower. As a result, we believe the high productivity relative to the dose level will enable production scales for both clinical and commercial supply to be modest.</w:t>
      </w:r>
    </w:p>
    <w:p>
      <w:pPr>
        <w:spacing w:after="0" w:line="116" w:lineRule="exact"/>
        <w:rPr>
          <w:sz w:val="20"/>
          <w:szCs w:val="20"/>
          <w:color w:val="auto"/>
        </w:rPr>
      </w:pPr>
    </w:p>
    <w:p>
      <w:pPr>
        <w:ind w:right="80" w:firstLine="520"/>
        <w:spacing w:after="0" w:line="380" w:lineRule="auto"/>
        <w:rPr>
          <w:sz w:val="20"/>
          <w:szCs w:val="20"/>
          <w:color w:val="auto"/>
        </w:rPr>
      </w:pPr>
      <w:r>
        <w:rPr>
          <w:rFonts w:ascii="Arial" w:cs="Arial" w:eastAsia="Arial" w:hAnsi="Arial"/>
          <w:sz w:val="12"/>
          <w:szCs w:val="12"/>
          <w:color w:val="auto"/>
        </w:rPr>
        <w:t>We have developed a supply chain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1" w:lineRule="exact"/>
        <w:rPr>
          <w:sz w:val="20"/>
          <w:szCs w:val="20"/>
          <w:color w:val="auto"/>
        </w:rPr>
      </w:pPr>
    </w:p>
    <w:p>
      <w:pPr>
        <w:ind w:left="1040" w:right="160" w:hanging="518"/>
        <w:spacing w:after="0" w:line="268" w:lineRule="auto"/>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Fermentation. </w:t>
      </w:r>
      <w:r>
        <w:rPr>
          <w:rFonts w:ascii="Arial" w:cs="Arial" w:eastAsia="Arial" w:hAnsi="Arial"/>
          <w:sz w:val="14"/>
          <w:szCs w:val="14"/>
          <w:color w:val="auto"/>
        </w:rPr>
        <w:t>We are using that microscale screening to optimize culture of the bacterial strains of interest in our current and foreseeable product candidates. These screens can</w:t>
      </w:r>
      <w:r>
        <w:rPr>
          <w:rFonts w:ascii="Arial" w:cs="Arial" w:eastAsia="Arial" w:hAnsi="Arial"/>
          <w:sz w:val="14"/>
          <w:szCs w:val="14"/>
          <w:i w:val="1"/>
          <w:iCs w:val="1"/>
          <w:color w:val="auto"/>
        </w:rPr>
        <w:t xml:space="preserve"> </w:t>
      </w:r>
      <w:r>
        <w:rPr>
          <w:rFonts w:ascii="Arial" w:cs="Arial" w:eastAsia="Arial" w:hAnsi="Arial"/>
          <w:sz w:val="14"/>
          <w:szCs w:val="14"/>
          <w:color w:val="auto"/>
        </w:rPr>
        <w:t>identify the fermentation platform that is best-suited for optimization and scale- up of the strains. Small-scale fermentation systems (0.1 L to 20 L) enable the optimization of a wide variety of culture conditions and have been demonstrated to be scalable to commercial fermentation processes and enable technology transfer to clinical and final manufacturing scales. We employ platform fermentation processes as starting points for cGMP production processes, and develop strain specific processes as required. To develop master cell banks, working cell banks, and bulk drug substance for commercial product, we are using bacterial strains originating from a unique research cell bank precursor, so we expect the research cell banks and final drug product should be genetically and physiologically similar.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41" w:right="219" w:bottom="1440" w:gutter="0" w:footer="0" w:header="0"/>
        </w:sectPr>
      </w:pPr>
    </w:p>
    <w:bookmarkStart w:id="22" w:name="page23"/>
    <w:bookmarkEnd w:id="22"/>
    <w:p>
      <w:pPr>
        <w:ind w:left="1040" w:right="40" w:hanging="518"/>
        <w:spacing w:after="0" w:line="346" w:lineRule="auto"/>
        <w:tabs>
          <w:tab w:leader="none" w:pos="104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Purification. </w:t>
      </w:r>
      <w:r>
        <w:rPr>
          <w:rFonts w:ascii="Arial" w:cs="Arial" w:eastAsia="Arial" w:hAnsi="Arial"/>
          <w:sz w:val="12"/>
          <w:szCs w:val="12"/>
          <w:color w:val="auto"/>
        </w:rPr>
        <w:t>Similar to fermentation, we believe small-scale purification operations are available for assessing large-scale cGMP manufacturing of live cells, and to quickly</w:t>
      </w:r>
      <w:r>
        <w:rPr>
          <w:rFonts w:ascii="Arial" w:cs="Arial" w:eastAsia="Arial" w:hAnsi="Arial"/>
          <w:sz w:val="12"/>
          <w:szCs w:val="12"/>
          <w:i w:val="1"/>
          <w:iCs w:val="1"/>
          <w:color w:val="auto"/>
        </w:rPr>
        <w:t xml:space="preserve"> </w:t>
      </w:r>
      <w:r>
        <w:rPr>
          <w:rFonts w:ascii="Arial" w:cs="Arial" w:eastAsia="Arial" w:hAnsi="Arial"/>
          <w:sz w:val="12"/>
          <w:szCs w:val="12"/>
          <w:color w:val="auto"/>
        </w:rPr>
        <w:t>assess downstream process yield, quality and robustness. For our oral products, purification is typically less complex than for parenteral biologics such as monoclonal antibodies that must purify away very similar components from the culturing process. Separation of microbes from soluble fermentation broth components is much simpler.</w:t>
      </w:r>
    </w:p>
    <w:p>
      <w:pPr>
        <w:spacing w:after="0" w:line="15" w:lineRule="exact"/>
        <w:rPr>
          <w:rFonts w:ascii="Arial" w:cs="Arial" w:eastAsia="Arial" w:hAnsi="Arial"/>
          <w:sz w:val="12"/>
          <w:szCs w:val="12"/>
          <w:color w:val="auto"/>
        </w:rPr>
      </w:pPr>
    </w:p>
    <w:p>
      <w:pPr>
        <w:ind w:left="1040" w:hanging="518"/>
        <w:spacing w:after="0" w:line="249" w:lineRule="auto"/>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Formulation. </w:t>
      </w:r>
      <w:r>
        <w:rPr>
          <w:rFonts w:ascii="Arial" w:cs="Arial" w:eastAsia="Arial" w:hAnsi="Arial"/>
          <w:sz w:val="15"/>
          <w:szCs w:val="15"/>
          <w:color w:val="auto"/>
        </w:rPr>
        <w:t>Our Ecobiotic microbiome therapeutics are combinations of live bacteria and can be administered by a number of methods and by different routes. The primary goal</w:t>
      </w:r>
      <w:r>
        <w:rPr>
          <w:rFonts w:ascii="Arial" w:cs="Arial" w:eastAsia="Arial" w:hAnsi="Arial"/>
          <w:sz w:val="15"/>
          <w:szCs w:val="15"/>
          <w:i w:val="1"/>
          <w:iCs w:val="1"/>
          <w:color w:val="auto"/>
        </w:rPr>
        <w:t xml:space="preserve"> </w:t>
      </w:r>
      <w:r>
        <w:rPr>
          <w:rFonts w:ascii="Arial" w:cs="Arial" w:eastAsia="Arial" w:hAnsi="Arial"/>
          <w:sz w:val="15"/>
          <w:szCs w:val="15"/>
          <w:color w:val="auto"/>
        </w:rPr>
        <w:t>in developing formulation is to deliver the bacteria to the intended location in a condition where they are able to replicate and correct dysbiosis. Formulation development generally uses approved excipients and preservatives, and will include screening of liquid, solid, and suspension formulations to maximize the opportunity for extended stability with minimal cold-chain requirements.</w:t>
      </w:r>
    </w:p>
    <w:p>
      <w:pPr>
        <w:spacing w:after="0" w:line="71" w:lineRule="exact"/>
        <w:rPr>
          <w:rFonts w:ascii="Arial" w:cs="Arial" w:eastAsia="Arial" w:hAnsi="Arial"/>
          <w:sz w:val="15"/>
          <w:szCs w:val="15"/>
          <w:color w:val="auto"/>
        </w:rPr>
      </w:pPr>
    </w:p>
    <w:p>
      <w:pPr>
        <w:ind w:left="1040" w:right="80" w:hanging="518"/>
        <w:spacing w:after="0" w:line="332" w:lineRule="auto"/>
        <w:tabs>
          <w:tab w:leader="none" w:pos="104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Analytical. </w:t>
      </w:r>
      <w:r>
        <w:rPr>
          <w:rFonts w:ascii="Arial" w:cs="Arial" w:eastAsia="Arial" w:hAnsi="Arial"/>
          <w:sz w:val="12"/>
          <w:szCs w:val="12"/>
          <w:color w:val="auto"/>
        </w:rPr>
        <w:t>We intend to address quality control requirements for our Ecobiotic microbiome therapeutics using proprietary microbiological and molecular sequence-based testing</w:t>
      </w:r>
      <w:r>
        <w:rPr>
          <w:rFonts w:ascii="Arial" w:cs="Arial" w:eastAsia="Arial" w:hAnsi="Arial"/>
          <w:sz w:val="12"/>
          <w:szCs w:val="12"/>
          <w:i w:val="1"/>
          <w:iCs w:val="1"/>
          <w:color w:val="auto"/>
        </w:rPr>
        <w:t xml:space="preserve"> </w:t>
      </w:r>
      <w:r>
        <w:rPr>
          <w:rFonts w:ascii="Arial" w:cs="Arial" w:eastAsia="Arial" w:hAnsi="Arial"/>
          <w:sz w:val="12"/>
          <w:szCs w:val="12"/>
          <w:color w:val="auto"/>
        </w:rPr>
        <w:t>schemes. We have available and are further developing quality control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high- throughput quantitative analytics to assess the identity, potency and purity of the final product.</w:t>
      </w:r>
    </w:p>
    <w:p>
      <w:pPr>
        <w:spacing w:after="0" w:line="112" w:lineRule="exact"/>
        <w:rPr>
          <w:sz w:val="20"/>
          <w:szCs w:val="20"/>
          <w:color w:val="auto"/>
        </w:rPr>
      </w:pPr>
    </w:p>
    <w:p>
      <w:pPr>
        <w:ind w:right="100" w:firstLine="520"/>
        <w:spacing w:after="0" w:line="332" w:lineRule="auto"/>
        <w:rPr>
          <w:sz w:val="20"/>
          <w:szCs w:val="20"/>
          <w:color w:val="auto"/>
        </w:rPr>
      </w:pPr>
      <w:r>
        <w:rPr>
          <w:rFonts w:ascii="Arial" w:cs="Arial" w:eastAsia="Arial" w:hAnsi="Arial"/>
          <w:sz w:val="12"/>
          <w:szCs w:val="12"/>
          <w:color w:val="auto"/>
        </w:rPr>
        <w:t>We currently have a small scale pilot manufacturing facility at our Cambridge Kendall Square location where we conduct process development, scale-up activities and a portion of the cGMP manufacture of Ecobiotic microbiome therapeutics to support Phase 1 clinical supplies. We are expanding capacity with construction of a larger cGMP manufacturing facility at our new headquarters, with the goal to perform both Drug Substance and Drug Product manufacturing for Phase 1 and 2 clinical development. We intend to establish further manufacturing facilities that will serve late-phase clinical and commercial supply for our product candidates. We may do this by expanding our current and planned facilities, or by purchasing or building additional facilities.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Intellectual Property</w:t>
      </w:r>
    </w:p>
    <w:p>
      <w:pPr>
        <w:spacing w:after="0" w:line="182" w:lineRule="exact"/>
        <w:rPr>
          <w:sz w:val="20"/>
          <w:szCs w:val="20"/>
          <w:color w:val="auto"/>
        </w:rPr>
      </w:pPr>
    </w:p>
    <w:p>
      <w:pPr>
        <w:ind w:right="260" w:firstLine="520"/>
        <w:spacing w:after="0" w:line="252" w:lineRule="auto"/>
        <w:rPr>
          <w:sz w:val="20"/>
          <w:szCs w:val="20"/>
          <w:color w:val="auto"/>
        </w:rPr>
      </w:pPr>
      <w:r>
        <w:rPr>
          <w:rFonts w:ascii="Arial" w:cs="Arial" w:eastAsia="Arial" w:hAnsi="Arial"/>
          <w:sz w:val="15"/>
          <w:szCs w:val="15"/>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57" w:lineRule="exact"/>
        <w:rPr>
          <w:sz w:val="20"/>
          <w:szCs w:val="20"/>
          <w:color w:val="auto"/>
        </w:rPr>
      </w:pPr>
    </w:p>
    <w:p>
      <w:pPr>
        <w:ind w:right="140" w:firstLine="520"/>
        <w:spacing w:after="0" w:line="268" w:lineRule="auto"/>
        <w:rPr>
          <w:sz w:val="20"/>
          <w:szCs w:val="20"/>
          <w:color w:val="auto"/>
        </w:rPr>
      </w:pPr>
      <w:r>
        <w:rPr>
          <w:rFonts w:ascii="Arial" w:cs="Arial" w:eastAsia="Arial" w:hAnsi="Arial"/>
          <w:sz w:val="14"/>
          <w:szCs w:val="14"/>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146"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159" w:lineRule="exact"/>
        <w:rPr>
          <w:sz w:val="20"/>
          <w:szCs w:val="20"/>
          <w:color w:val="auto"/>
        </w:rPr>
      </w:pPr>
    </w:p>
    <w:p>
      <w:pPr>
        <w:ind w:firstLine="520"/>
        <w:spacing w:after="0" w:line="332" w:lineRule="auto"/>
        <w:rPr>
          <w:sz w:val="20"/>
          <w:szCs w:val="20"/>
          <w:color w:val="auto"/>
        </w:rPr>
      </w:pPr>
      <w:r>
        <w:rPr>
          <w:rFonts w:ascii="Arial" w:cs="Arial" w:eastAsia="Arial" w:hAnsi="Arial"/>
          <w:sz w:val="12"/>
          <w:szCs w:val="12"/>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23" w:name="page24"/>
    <w:bookmarkEnd w:id="23"/>
    <w:p>
      <w:pPr>
        <w:jc w:val="both"/>
        <w:ind w:right="140" w:firstLine="520"/>
        <w:spacing w:after="0" w:line="252" w:lineRule="auto"/>
        <w:rPr>
          <w:sz w:val="20"/>
          <w:szCs w:val="20"/>
          <w:color w:val="auto"/>
        </w:rPr>
      </w:pPr>
      <w:r>
        <w:rPr>
          <w:rFonts w:ascii="Arial" w:cs="Arial" w:eastAsia="Arial" w:hAnsi="Arial"/>
          <w:sz w:val="15"/>
          <w:szCs w:val="15"/>
          <w:color w:val="auto"/>
        </w:rPr>
        <w:t>Our patent portfolio includes patent applications in the early stages of prosecution and four issued U.S. patents. For our pending Patent Cooperation, or PCT, applications, we anticipate determining, in advance of the applicable deadlines, whether to pursue these applications and if so will pursue them in the United States and selected ex-U.S. jurisdictions. We believe that issued claims will provide protection for SER-109, SER-262, SER-287 and SER-155.</w:t>
      </w:r>
    </w:p>
    <w:p>
      <w:pPr>
        <w:spacing w:after="0" w:line="157"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Our patent estate leverages both offensive and defensive strategies. As of February 5, 2016, we owned a total of thirteen patent application families that include Patent Cooperation Treaty, or PCT, applications and/or U.S. patent applications and ex-US patent applications. Some of these families are briefly described below. Four of the patent application families that include only U.S. provisional applications that will not themselves be examined and for which the deadline to file PCT applications and/or U.S. non-provisional applications has not yet expired. The pending patent applications as of February 5, 2016 in six of the patent application families in our portfolio are described briefly below. We expect to pursue additional applications in these families over time.</w:t>
      </w:r>
    </w:p>
    <w:p>
      <w:pPr>
        <w:spacing w:after="0" w:line="71" w:lineRule="exact"/>
        <w:rPr>
          <w:sz w:val="20"/>
          <w:szCs w:val="20"/>
          <w:color w:val="auto"/>
        </w:rPr>
      </w:pPr>
    </w:p>
    <w:p>
      <w:pPr>
        <w:ind w:left="1040" w:right="20" w:hanging="518"/>
        <w:spacing w:after="0" w:line="270"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family related to binary combinations of microbes that includes the following issued and pending applications: (i) an issued U.S. patent, which claims therapeutic compositions that include selected binary combinations of microbes; (ii) an issued U.S. patent, which claims methods of using such compositions to treat or prevent CDI; (iii) a continuation U.S. patent application and (iv) national stage applications based on the PCT application in 14 ex-U.S. jurisdictions. Patents issuing from or based on these applications, if any, are expected to expire in 2033, assuming all required maintenance fees are paid and absent any applicable patent term extension or patent term adjustment. We expect this patent application family to provide patent protection for SER-109, SER-262, SER-287 and SER-155.</w:t>
      </w:r>
    </w:p>
    <w:p>
      <w:pPr>
        <w:spacing w:after="0" w:line="57" w:lineRule="exact"/>
        <w:rPr>
          <w:rFonts w:ascii="Arial" w:cs="Arial" w:eastAsia="Arial" w:hAnsi="Arial"/>
          <w:sz w:val="14"/>
          <w:szCs w:val="14"/>
          <w:color w:val="auto"/>
        </w:rPr>
      </w:pPr>
    </w:p>
    <w:p>
      <w:pPr>
        <w:ind w:left="1040" w:hanging="518"/>
        <w:spacing w:after="0" w:line="270"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family related to combinations of bacterial spores that includes the following issued and pending applications: (i) two issued U.S. patents and one U.S. application that claim certain methods of treatment of gastrointestinal diseases, including Crohn’s disease and colitis, using combinations of bacterial spores and (ii) national stage applications based on the PCT application in 12 ex-U.S. jurisdictions claiming similar methods, as well as related compositions. Patents issuing from or based on these applications, if any, are expected to expire in 2034, assuming all required maintenance fees are paid and absent any applicable patent term extension or patent term adjustment. We expect this patent application family to provide patent protection for SER-109, SER-262, SER-287 and SER-155.</w:t>
      </w:r>
    </w:p>
    <w:p>
      <w:pPr>
        <w:spacing w:after="0" w:line="57" w:lineRule="exact"/>
        <w:rPr>
          <w:rFonts w:ascii="Arial" w:cs="Arial" w:eastAsia="Arial" w:hAnsi="Arial"/>
          <w:sz w:val="14"/>
          <w:szCs w:val="14"/>
          <w:color w:val="auto"/>
        </w:rPr>
      </w:pPr>
    </w:p>
    <w:p>
      <w:pPr>
        <w:jc w:val="both"/>
        <w:ind w:left="1040" w:right="40" w:hanging="518"/>
        <w:spacing w:after="0" w:line="252" w:lineRule="auto"/>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family that includes a pending U.S. and a European national stage application based on a PCT application related to compositions of matter and methods for new combinations of microbes for treating gastrointestinal diseases. Patents based on these applications, if granted, are expected to expire in 2034, assuming all required maintenance fees are paid and absent any applicable patent term extension or patent term adjustment.</w:t>
      </w:r>
    </w:p>
    <w:p>
      <w:pPr>
        <w:spacing w:after="0" w:line="69" w:lineRule="exact"/>
        <w:rPr>
          <w:rFonts w:ascii="Arial" w:cs="Arial" w:eastAsia="Arial" w:hAnsi="Arial"/>
          <w:sz w:val="15"/>
          <w:szCs w:val="15"/>
          <w:color w:val="auto"/>
        </w:rPr>
      </w:pPr>
    </w:p>
    <w:p>
      <w:pPr>
        <w:ind w:left="1040" w:right="60" w:hanging="518"/>
        <w:spacing w:after="0" w:line="252" w:lineRule="auto"/>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family that includes pending national stage applications in the U.S. and Europe, related to quality control of Ecobiotic products and characterization methods. Patents based on these applications, if granted, are expected to expire in 2034, assuming all required maintenance fees are paid and absent any applicable patent term extension or patent term adjustment.</w:t>
      </w:r>
    </w:p>
    <w:p>
      <w:pPr>
        <w:spacing w:after="0" w:line="69" w:lineRule="exact"/>
        <w:rPr>
          <w:rFonts w:ascii="Arial" w:cs="Arial" w:eastAsia="Arial" w:hAnsi="Arial"/>
          <w:sz w:val="15"/>
          <w:szCs w:val="15"/>
          <w:color w:val="auto"/>
        </w:rPr>
      </w:pPr>
    </w:p>
    <w:p>
      <w:pPr>
        <w:ind w:left="1040" w:right="440" w:hanging="518"/>
        <w:spacing w:after="0" w:line="279"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family that includes pending national stage applications in the U.S. and 6 ex-U.S. jurisdictions, related to methods of restructuring of a host microbiome using microbial populations identified using our network-based discovery platforms. Patents based on these applications, if granted, are expected to expire in 2034, assuming all required maintenance fees are paid, and absent any applicable patent term extension or patent term adjustment.</w:t>
      </w:r>
    </w:p>
    <w:p>
      <w:pPr>
        <w:spacing w:after="0" w:line="51" w:lineRule="exact"/>
        <w:rPr>
          <w:rFonts w:ascii="Arial" w:cs="Arial" w:eastAsia="Arial" w:hAnsi="Arial"/>
          <w:sz w:val="14"/>
          <w:szCs w:val="14"/>
          <w:color w:val="auto"/>
        </w:rPr>
      </w:pPr>
    </w:p>
    <w:p>
      <w:pPr>
        <w:ind w:left="1040" w:right="120" w:hanging="518"/>
        <w:spacing w:after="0" w:line="270"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family that includes a pending PCT application related to compositions of matter and methods of treating disorders with compositions that include, for example, ternary combinations of microbes. The time period for electing to pursue U.S. and foreign patent protection by filing national stage applications in individual jurisdictions based on this PCT application has not yet expired, and we will need to decide whether and where to pursue U.S. and ex-U.S. protection before expiration of the applicable deadlines. If we do pursue protection in one or more jurisdictions, patents based on this application, if granted, are expected to expire in 2034, assuming all required maintenance fees are paid and absent any applicable patent term extension or patent term adjustment.</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Patent term</w:t>
      </w:r>
    </w:p>
    <w:p>
      <w:pPr>
        <w:spacing w:after="0" w:line="90" w:lineRule="exact"/>
        <w:rPr>
          <w:sz w:val="20"/>
          <w:szCs w:val="20"/>
          <w:color w:val="auto"/>
        </w:rPr>
      </w:pPr>
    </w:p>
    <w:p>
      <w:pPr>
        <w:ind w:right="100" w:firstLine="520"/>
        <w:spacing w:after="0" w:line="252" w:lineRule="auto"/>
        <w:rPr>
          <w:sz w:val="20"/>
          <w:szCs w:val="20"/>
          <w:color w:val="auto"/>
        </w:rPr>
      </w:pPr>
      <w:r>
        <w:rPr>
          <w:rFonts w:ascii="Arial" w:cs="Arial" w:eastAsia="Arial" w:hAnsi="Arial"/>
          <w:sz w:val="15"/>
          <w:szCs w:val="15"/>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157" w:lineRule="exact"/>
        <w:rPr>
          <w:sz w:val="20"/>
          <w:szCs w:val="20"/>
          <w:color w:val="auto"/>
        </w:rPr>
      </w:pPr>
    </w:p>
    <w:p>
      <w:pPr>
        <w:ind w:right="120" w:firstLine="520"/>
        <w:spacing w:after="0" w:line="262" w:lineRule="auto"/>
        <w:rPr>
          <w:sz w:val="20"/>
          <w:szCs w:val="20"/>
          <w:color w:val="auto"/>
        </w:rPr>
      </w:pPr>
      <w:r>
        <w:rPr>
          <w:rFonts w:ascii="Arial" w:cs="Arial" w:eastAsia="Arial" w:hAnsi="Arial"/>
          <w:sz w:val="15"/>
          <w:szCs w:val="15"/>
          <w:color w:val="auto"/>
        </w:rPr>
        <w:t>The term of a U.S. patent may be eligible for patent term extension under the Drug Price Competition and Patent Term Restoration Act of 1984, referred to as the Hatch-Waxman Act, to account for at least some of the time the drug is under development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24" w:name="page25"/>
    <w:bookmarkEnd w:id="24"/>
    <w:p>
      <w:pPr>
        <w:ind w:right="60"/>
        <w:spacing w:after="0" w:line="318" w:lineRule="auto"/>
        <w:rPr>
          <w:sz w:val="20"/>
          <w:szCs w:val="20"/>
          <w:color w:val="auto"/>
        </w:rPr>
      </w:pPr>
      <w:r>
        <w:rPr>
          <w:rFonts w:ascii="Arial" w:cs="Arial" w:eastAsia="Arial" w:hAnsi="Arial"/>
          <w:sz w:val="12"/>
          <w:szCs w:val="12"/>
          <w:color w:val="auto"/>
        </w:rPr>
        <w:t>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 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Trade secrets</w:t>
      </w:r>
    </w:p>
    <w:p>
      <w:pPr>
        <w:spacing w:after="0" w:line="90" w:lineRule="exact"/>
        <w:rPr>
          <w:sz w:val="20"/>
          <w:szCs w:val="20"/>
          <w:color w:val="auto"/>
        </w:rPr>
      </w:pPr>
    </w:p>
    <w:p>
      <w:pPr>
        <w:ind w:right="100" w:firstLine="520"/>
        <w:spacing w:after="0" w:line="268" w:lineRule="auto"/>
        <w:rPr>
          <w:sz w:val="20"/>
          <w:szCs w:val="20"/>
          <w:color w:val="auto"/>
        </w:rPr>
      </w:pPr>
      <w:r>
        <w:rPr>
          <w:rFonts w:ascii="Arial" w:cs="Arial" w:eastAsia="Arial" w:hAnsi="Arial"/>
          <w:sz w:val="14"/>
          <w:szCs w:val="14"/>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Competition</w:t>
      </w:r>
    </w:p>
    <w:p>
      <w:pPr>
        <w:spacing w:after="0" w:line="182" w:lineRule="exact"/>
        <w:rPr>
          <w:sz w:val="20"/>
          <w:szCs w:val="20"/>
          <w:color w:val="auto"/>
        </w:rPr>
      </w:pPr>
    </w:p>
    <w:p>
      <w:pPr>
        <w:ind w:right="20" w:firstLine="520"/>
        <w:spacing w:after="0" w:line="316" w:lineRule="auto"/>
        <w:rPr>
          <w:sz w:val="20"/>
          <w:szCs w:val="20"/>
          <w:color w:val="auto"/>
        </w:rPr>
      </w:pPr>
      <w:r>
        <w:rPr>
          <w:rFonts w:ascii="Arial" w:cs="Arial" w:eastAsia="Arial" w:hAnsi="Arial"/>
          <w:sz w:val="12"/>
          <w:szCs w:val="12"/>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the prevention of CDI, IBD and other disease indications we are targeting. Some of these competitive products and therapies are based on scientific approaches that are similar to our approach, and others may be based on entirely different approaches. For example, FMT is a procedure that is currently used for recurrent CDI and has resulted in high cure rates for recurrent CDI and our competitors and physicians may continue to seek to standardize and implement this procedure.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22" w:lineRule="exact"/>
        <w:rPr>
          <w:sz w:val="20"/>
          <w:szCs w:val="20"/>
          <w:color w:val="auto"/>
        </w:rPr>
      </w:pPr>
    </w:p>
    <w:p>
      <w:pPr>
        <w:ind w:firstLine="520"/>
        <w:spacing w:after="0" w:line="346" w:lineRule="auto"/>
        <w:rPr>
          <w:sz w:val="20"/>
          <w:szCs w:val="20"/>
          <w:color w:val="auto"/>
        </w:rPr>
      </w:pPr>
      <w:r>
        <w:rPr>
          <w:rFonts w:ascii="Arial" w:cs="Arial" w:eastAsia="Arial" w:hAnsi="Arial"/>
          <w:sz w:val="12"/>
          <w:szCs w:val="12"/>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103" w:lineRule="exact"/>
        <w:rPr>
          <w:sz w:val="20"/>
          <w:szCs w:val="20"/>
          <w:color w:val="auto"/>
        </w:rPr>
      </w:pPr>
    </w:p>
    <w:p>
      <w:pPr>
        <w:ind w:right="80" w:firstLine="520"/>
        <w:spacing w:after="0" w:line="262" w:lineRule="auto"/>
        <w:rPr>
          <w:sz w:val="20"/>
          <w:szCs w:val="20"/>
          <w:color w:val="auto"/>
        </w:rPr>
      </w:pPr>
      <w:r>
        <w:rPr>
          <w:rFonts w:ascii="Arial" w:cs="Arial" w:eastAsia="Arial" w:hAnsi="Arial"/>
          <w:sz w:val="15"/>
          <w:szCs w:val="15"/>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148" w:lineRule="exact"/>
        <w:rPr>
          <w:sz w:val="20"/>
          <w:szCs w:val="20"/>
          <w:color w:val="auto"/>
        </w:rPr>
      </w:pPr>
    </w:p>
    <w:p>
      <w:pPr>
        <w:ind w:right="40" w:firstLine="520"/>
        <w:spacing w:after="0" w:line="262" w:lineRule="auto"/>
        <w:rPr>
          <w:sz w:val="20"/>
          <w:szCs w:val="20"/>
          <w:color w:val="auto"/>
        </w:rPr>
      </w:pPr>
      <w:r>
        <w:rPr>
          <w:rFonts w:ascii="Arial" w:cs="Arial" w:eastAsia="Arial" w:hAnsi="Arial"/>
          <w:sz w:val="15"/>
          <w:szCs w:val="15"/>
          <w:color w:val="auto"/>
        </w:rPr>
        <w:t>The key competitive factors affecting the success of SER-109, SER-287 and any other product candidates that we develop, if approved, are likely to be their efficacy, safety, convenience, price, the level of competition and the availability of reimbursement from government and other third-party payors.</w:t>
      </w:r>
    </w:p>
    <w:p>
      <w:pPr>
        <w:spacing w:after="0" w:line="148"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25" w:name="page26"/>
    <w:bookmarkEnd w:id="25"/>
    <w:p>
      <w:pPr>
        <w:spacing w:after="0"/>
        <w:rPr>
          <w:sz w:val="20"/>
          <w:szCs w:val="20"/>
          <w:color w:val="auto"/>
        </w:rPr>
      </w:pPr>
      <w:r>
        <w:rPr>
          <w:rFonts w:ascii="Arial" w:cs="Arial" w:eastAsia="Arial" w:hAnsi="Arial"/>
          <w:sz w:val="15"/>
          <w:szCs w:val="15"/>
          <w:color w:val="auto"/>
        </w:rPr>
        <w:t>In addition, our ability to compete may be affected in many cases by insurers or other third-party payors seeking to encourage the use of lower cost products.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Government Regulation</w:t>
      </w:r>
    </w:p>
    <w:p>
      <w:pPr>
        <w:spacing w:after="0" w:line="182" w:lineRule="exact"/>
        <w:rPr>
          <w:sz w:val="20"/>
          <w:szCs w:val="20"/>
          <w:color w:val="auto"/>
        </w:rPr>
      </w:pPr>
    </w:p>
    <w:p>
      <w:pPr>
        <w:ind w:firstLine="520"/>
        <w:spacing w:after="0" w:line="247" w:lineRule="auto"/>
        <w:rPr>
          <w:sz w:val="20"/>
          <w:szCs w:val="20"/>
          <w:color w:val="auto"/>
        </w:rPr>
      </w:pPr>
      <w:r>
        <w:rPr>
          <w:rFonts w:ascii="Arial" w:cs="Arial" w:eastAsia="Arial" w:hAnsi="Arial"/>
          <w:sz w:val="15"/>
          <w:szCs w:val="15"/>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agencies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160"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biologics license application, or BLA, and approval by the FDA before being marketed in the United States. None of our product candidates has been approved by the FDA for marketing in the United States, and we currently have no BLAs pending. If we fail to comply with applicable FDA or other requirements at any time during product development, clinical testing, the approval process or after approval, we may become subject to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 Any FDA enforcement action could have a material adverse effect on us.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process required by the FDA before our biologic product candidates may be marketed in the United States generally involves the following:</w:t>
      </w:r>
    </w:p>
    <w:p>
      <w:pPr>
        <w:spacing w:after="0" w:line="90" w:lineRule="exact"/>
        <w:rPr>
          <w:sz w:val="20"/>
          <w:szCs w:val="20"/>
          <w:color w:val="auto"/>
        </w:rPr>
      </w:pPr>
    </w:p>
    <w:p>
      <w:pPr>
        <w:ind w:left="1040" w:hanging="518"/>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completion of pre-clinical laboratory tests and animal studies performed in accordance with the FDA’s good laboratory practice, or GLP, regulations;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submission to the FDA of an IND, which must become effective before clinical trials in the United States may begin;</w:t>
      </w:r>
    </w:p>
    <w:p>
      <w:pPr>
        <w:spacing w:after="0" w:line="90" w:lineRule="exact"/>
        <w:rPr>
          <w:rFonts w:ascii="Arial" w:cs="Arial" w:eastAsia="Arial" w:hAnsi="Arial"/>
          <w:sz w:val="15"/>
          <w:szCs w:val="15"/>
          <w:color w:val="auto"/>
        </w:rPr>
      </w:pPr>
    </w:p>
    <w:p>
      <w:pPr>
        <w:ind w:left="1040" w:right="520" w:hanging="518"/>
        <w:spacing w:after="0" w:line="262" w:lineRule="auto"/>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to establish the safety and efficacy of the product candidate for each proposed indication, conducted in accordance with the FDA’s good clinical practice, or GCP, regulations;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submission to the FDA of a BLA;</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satisfactory completion of an FDA inspection of the manufacturing facility or facilities at which the product is produced to assess compliance with cGMP regulations; and</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FDA review and approval of the BLA prior to any commercial marketing, sale or shipment of the product.</w:t>
      </w:r>
    </w:p>
    <w:p>
      <w:pPr>
        <w:spacing w:after="0" w:line="178" w:lineRule="exact"/>
        <w:rPr>
          <w:sz w:val="20"/>
          <w:szCs w:val="20"/>
          <w:color w:val="auto"/>
        </w:rPr>
      </w:pPr>
    </w:p>
    <w:p>
      <w:pPr>
        <w:ind w:right="340" w:firstLine="520"/>
        <w:spacing w:after="0" w:line="262" w:lineRule="auto"/>
        <w:rPr>
          <w:sz w:val="20"/>
          <w:szCs w:val="20"/>
          <w:color w:val="auto"/>
        </w:rPr>
      </w:pPr>
      <w:r>
        <w:rPr>
          <w:rFonts w:ascii="Arial" w:cs="Arial" w:eastAsia="Arial" w:hAnsi="Arial"/>
          <w:sz w:val="15"/>
          <w:szCs w:val="15"/>
          <w:color w:val="auto"/>
        </w:rPr>
        <w:t>The testing and approval process requires substantial time, effort and financial resources, and we cannot be certain that any approvals for our product candidates will be granted on a timely basis, if at all.</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 and Clinical Trials</w:t>
      </w:r>
    </w:p>
    <w:p>
      <w:pPr>
        <w:spacing w:after="0" w:line="90" w:lineRule="exact"/>
        <w:rPr>
          <w:sz w:val="20"/>
          <w:szCs w:val="20"/>
          <w:color w:val="auto"/>
        </w:rPr>
      </w:pPr>
    </w:p>
    <w:p>
      <w:pPr>
        <w:ind w:right="140" w:firstLine="520"/>
        <w:spacing w:after="0" w:line="318" w:lineRule="auto"/>
        <w:rPr>
          <w:sz w:val="20"/>
          <w:szCs w:val="20"/>
          <w:color w:val="auto"/>
        </w:rPr>
      </w:pPr>
      <w:r>
        <w:rPr>
          <w:rFonts w:ascii="Arial" w:cs="Arial" w:eastAsia="Arial" w:hAnsi="Arial"/>
          <w:sz w:val="12"/>
          <w:szCs w:val="12"/>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26" w:name="page27"/>
    <w:bookmarkEnd w:id="26"/>
    <w:p>
      <w:pPr>
        <w:ind w:firstLine="520"/>
        <w:spacing w:after="0" w:line="325" w:lineRule="auto"/>
        <w:rPr>
          <w:sz w:val="20"/>
          <w:szCs w:val="20"/>
          <w:color w:val="auto"/>
        </w:rPr>
      </w:pPr>
      <w:r>
        <w:rPr>
          <w:rFonts w:ascii="Arial" w:cs="Arial" w:eastAsia="Arial" w:hAnsi="Arial"/>
          <w:sz w:val="12"/>
          <w:szCs w:val="12"/>
          <w:color w:val="auto"/>
        </w:rPr>
        <w:t>Clinical trials involve the administration of the product candidate to human subjects under the supervision of qualified investigators. Clinical trials are conducted under protocols detailing, among other things, the objectives of the clinical trial and the parameters and criteria to be used in monitoring safety and evaluating effectiveness. Each protocol must be submitted to the FDA as part of the IND. An independent institutional review board, or IRB, for each investigator site proposing to participate in a clinical trial must also review and approve the clinical trial before it can begin at that site,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requirements for informed consent.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For purposes of BLA approval, clinical trials are typically conducted in three sequential phases, which may overlap or be combined.</w:t>
      </w:r>
    </w:p>
    <w:p>
      <w:pPr>
        <w:spacing w:after="0" w:line="90" w:lineRule="exact"/>
        <w:rPr>
          <w:sz w:val="20"/>
          <w:szCs w:val="20"/>
          <w:color w:val="auto"/>
        </w:rPr>
      </w:pPr>
    </w:p>
    <w:p>
      <w:pPr>
        <w:ind w:left="1040" w:right="20" w:hanging="518"/>
        <w:spacing w:after="0" w:line="252" w:lineRule="auto"/>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Phase 1 </w:t>
      </w:r>
      <w:r>
        <w:rPr>
          <w:rFonts w:ascii="Arial" w:cs="Arial" w:eastAsia="Arial" w:hAnsi="Arial"/>
          <w:sz w:val="15"/>
          <w:szCs w:val="15"/>
          <w:color w:val="auto"/>
        </w:rPr>
        <w:t>— Phase 1 clinical trials involve initial introduction of the investigational product into healthy human subjects or patients with the target disease or condition. These</w:t>
      </w:r>
      <w:r>
        <w:rPr>
          <w:rFonts w:ascii="Arial" w:cs="Arial" w:eastAsia="Arial" w:hAnsi="Arial"/>
          <w:sz w:val="15"/>
          <w:szCs w:val="15"/>
          <w:i w:val="1"/>
          <w:iCs w:val="1"/>
          <w:color w:val="auto"/>
        </w:rPr>
        <w:t xml:space="preserve"> </w:t>
      </w:r>
      <w:r>
        <w:rPr>
          <w:rFonts w:ascii="Arial" w:cs="Arial" w:eastAsia="Arial" w:hAnsi="Arial"/>
          <w:sz w:val="15"/>
          <w:szCs w:val="15"/>
          <w:color w:val="auto"/>
        </w:rPr>
        <w:t>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69" w:lineRule="exact"/>
        <w:rPr>
          <w:rFonts w:ascii="Arial" w:cs="Arial" w:eastAsia="Arial" w:hAnsi="Arial"/>
          <w:sz w:val="15"/>
          <w:szCs w:val="15"/>
          <w:color w:val="auto"/>
        </w:rPr>
      </w:pPr>
    </w:p>
    <w:p>
      <w:pPr>
        <w:ind w:left="1040" w:hanging="518"/>
        <w:spacing w:after="0" w:line="262" w:lineRule="auto"/>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Phase 2 </w:t>
      </w:r>
      <w:r>
        <w:rPr>
          <w:rFonts w:ascii="Arial" w:cs="Arial" w:eastAsia="Arial" w:hAnsi="Arial"/>
          <w:sz w:val="15"/>
          <w:szCs w:val="15"/>
          <w:color w:val="auto"/>
        </w:rPr>
        <w:t>— Phase 2 clinical trials typically involve administration of the investigational product to a limited patient population with a specified disease or condition to evaluate the</w:t>
      </w:r>
      <w:r>
        <w:rPr>
          <w:rFonts w:ascii="Arial" w:cs="Arial" w:eastAsia="Arial" w:hAnsi="Arial"/>
          <w:sz w:val="15"/>
          <w:szCs w:val="15"/>
          <w:i w:val="1"/>
          <w:iCs w:val="1"/>
          <w:color w:val="auto"/>
        </w:rPr>
        <w:t xml:space="preserve"> </w:t>
      </w:r>
      <w:r>
        <w:rPr>
          <w:rFonts w:ascii="Arial" w:cs="Arial" w:eastAsia="Arial" w:hAnsi="Arial"/>
          <w:sz w:val="15"/>
          <w:szCs w:val="15"/>
          <w:color w:val="auto"/>
        </w:rPr>
        <w:t>preliminary efficacy, optimal dosages and dosing schedule and to identify possible adverse side effects and safety risks.</w:t>
      </w:r>
    </w:p>
    <w:p>
      <w:pPr>
        <w:spacing w:after="0" w:line="60" w:lineRule="exact"/>
        <w:rPr>
          <w:rFonts w:ascii="Arial" w:cs="Arial" w:eastAsia="Arial" w:hAnsi="Arial"/>
          <w:sz w:val="15"/>
          <w:szCs w:val="15"/>
          <w:color w:val="auto"/>
        </w:rPr>
      </w:pPr>
    </w:p>
    <w:p>
      <w:pPr>
        <w:ind w:left="1040" w:hanging="518"/>
        <w:spacing w:after="0" w:line="252" w:lineRule="auto"/>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Phase 3 </w:t>
      </w:r>
      <w:r>
        <w:rPr>
          <w:rFonts w:ascii="Arial" w:cs="Arial" w:eastAsia="Arial" w:hAnsi="Arial"/>
          <w:sz w:val="15"/>
          <w:szCs w:val="15"/>
          <w:color w:val="auto"/>
        </w:rPr>
        <w:t>— Phase 3 clinical trials typically involve administration of the investigational product to an expanded patient population to further evaluate dosage,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7" w:lineRule="exact"/>
        <w:rPr>
          <w:sz w:val="20"/>
          <w:szCs w:val="20"/>
          <w:color w:val="auto"/>
        </w:rPr>
      </w:pPr>
    </w:p>
    <w:p>
      <w:pPr>
        <w:ind w:right="300" w:firstLine="520"/>
        <w:spacing w:after="0" w:line="262" w:lineRule="auto"/>
        <w:rPr>
          <w:sz w:val="20"/>
          <w:szCs w:val="20"/>
          <w:color w:val="auto"/>
        </w:rPr>
      </w:pPr>
      <w:r>
        <w:rPr>
          <w:rFonts w:ascii="Arial" w:cs="Arial" w:eastAsia="Arial" w:hAnsi="Arial"/>
          <w:sz w:val="15"/>
          <w:szCs w:val="15"/>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48" w:lineRule="exact"/>
        <w:rPr>
          <w:sz w:val="20"/>
          <w:szCs w:val="20"/>
          <w:color w:val="auto"/>
        </w:rPr>
      </w:pPr>
    </w:p>
    <w:p>
      <w:pPr>
        <w:ind w:right="20" w:firstLine="520"/>
        <w:spacing w:after="0" w:line="316" w:lineRule="auto"/>
        <w:rPr>
          <w:sz w:val="20"/>
          <w:szCs w:val="20"/>
          <w:color w:val="auto"/>
        </w:rPr>
      </w:pPr>
      <w:r>
        <w:rPr>
          <w:rFonts w:ascii="Arial" w:cs="Arial" w:eastAsia="Arial" w:hAnsi="Arial"/>
          <w:sz w:val="12"/>
          <w:szCs w:val="12"/>
          <w:color w:val="auto"/>
        </w:rPr>
        <w:t xml:space="preserve">Although most clinical research performed in the United States in support of a BLA must be authorized in advance by the FDA, under the IND regulations and procedures described above, there are certain circumstances under which clinical trials can be conducted without submission of an IND. For example, a sponsor who wishes to conduct a clinical trial outside the United States may, but need not, obtain FDA authorization to conduct the clinical trial under an IND. Similarly, the FDA may exercise enforcement discretion to permit sponsors to conduct certain types of clinical investigations without an IND. Pursuant to the FDA guidance document “Enforcement Policy Regarding Investigational New Drug Requirements for Use of Fecal Microbiota for Transplantation to Treat </w:t>
      </w:r>
      <w:r>
        <w:rPr>
          <w:rFonts w:ascii="Arial" w:cs="Arial" w:eastAsia="Arial" w:hAnsi="Arial"/>
          <w:sz w:val="12"/>
          <w:szCs w:val="12"/>
          <w:i w:val="1"/>
          <w:iCs w:val="1"/>
          <w:color w:val="auto"/>
        </w:rPr>
        <w:t>Clostridium difficile</w:t>
      </w:r>
      <w:r>
        <w:rPr>
          <w:rFonts w:ascii="Arial" w:cs="Arial" w:eastAsia="Arial" w:hAnsi="Arial"/>
          <w:sz w:val="12"/>
          <w:szCs w:val="12"/>
          <w:color w:val="auto"/>
        </w:rPr>
        <w:t xml:space="preserve"> Infection Not Responsive to Standard Therapies” (July 2013), the FDA currently exercises enforcement discretion regarding the IND requirements for the use of FMT to treat CDI not responsive to standard therapies, provided that the treating physician obtains adequate informed consent from the patient or his or her legally authorized representative for the use of FMT products. The FDA provided confirmation that it intends to exercise enforcement discretion with respect to our Phase 1b/2 clinical study of SER-109,and accordingly, we did not conduct this trial under an IND. However, the guidance document states that the FDA will continue to work with any sponsors who wish to submit INDs for this use of FMT, and we intend to conduct all future clinical studies of SER-109, including our Phase 2 clinical study and our planned Phase 3 clinical trial, under an IND.</w:t>
      </w:r>
    </w:p>
    <w:p>
      <w:pPr>
        <w:spacing w:after="0" w:line="297"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BLA Submission and FDA Review</w:t>
      </w:r>
    </w:p>
    <w:p>
      <w:pPr>
        <w:spacing w:after="0" w:line="90"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submission of a BLA requires payment of a substantial user fee unless a waiver is granted. However, an orphan-designated product, such as our SER-109, is not subject to an application user fee unless the human drug application includes an indication for other than a rare disease or condition. Each BLA submitted to the FDA is reviewed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27" w:name="page28"/>
    <w:bookmarkEnd w:id="27"/>
    <w:p>
      <w:pPr>
        <w:ind w:right="60"/>
        <w:spacing w:after="0" w:line="262" w:lineRule="auto"/>
        <w:rPr>
          <w:sz w:val="20"/>
          <w:szCs w:val="20"/>
          <w:color w:val="auto"/>
        </w:rPr>
      </w:pPr>
      <w:r>
        <w:rPr>
          <w:rFonts w:ascii="Arial" w:cs="Arial" w:eastAsia="Arial" w:hAnsi="Arial"/>
          <w:sz w:val="15"/>
          <w:szCs w:val="15"/>
          <w:color w:val="auto"/>
        </w:rPr>
        <w:t>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w:t>
      </w:r>
    </w:p>
    <w:p>
      <w:pPr>
        <w:spacing w:after="0" w:line="148" w:lineRule="exact"/>
        <w:rPr>
          <w:sz w:val="20"/>
          <w:szCs w:val="20"/>
          <w:color w:val="auto"/>
        </w:rPr>
      </w:pPr>
    </w:p>
    <w:p>
      <w:pPr>
        <w:ind w:firstLine="520"/>
        <w:spacing w:after="0" w:line="317" w:lineRule="auto"/>
        <w:rPr>
          <w:sz w:val="20"/>
          <w:szCs w:val="20"/>
          <w:color w:val="auto"/>
        </w:rPr>
      </w:pPr>
      <w:r>
        <w:rPr>
          <w:rFonts w:ascii="Arial" w:cs="Arial" w:eastAsia="Arial" w:hAnsi="Arial"/>
          <w:sz w:val="12"/>
          <w:szCs w:val="12"/>
          <w:color w:val="auto"/>
        </w:rPr>
        <w:t>Once a BLA has been accepted for filing, by law the FDA has 180 days to review the application and respond to the applicant. However, the review process is often significantly extended by FDA requests for additional information or clarification. Under the Prescription Drug User Fee Act, the FDA has a goal of reviewing BLAs within ten months of the 60-day filing date for standard review or six months for priority review,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refer the application to an advisory committee for review, evaluation and recommendation as to whether the application should be approved. The FDA is not bound by the recommendation of an advisory committee, but it generally follows such recommendations. Before approving a BLA, the FDA will inspect the facility or the facilities at which the biologic product is manufactured, and will not approve the product unless cGMP compliance is satisfactory. The FDA may also inspect the sites at which the clinical trials were conducted to assess their compliance with GCP requirements, and will not approve the biologic unless compliance with such requirements is satisfactory.</w:t>
      </w:r>
    </w:p>
    <w:p>
      <w:pPr>
        <w:spacing w:after="0" w:line="299" w:lineRule="exact"/>
        <w:rPr>
          <w:sz w:val="20"/>
          <w:szCs w:val="20"/>
          <w:color w:val="auto"/>
        </w:rPr>
      </w:pPr>
    </w:p>
    <w:p>
      <w:pPr>
        <w:ind w:right="140" w:firstLine="520"/>
        <w:spacing w:after="0" w:line="266" w:lineRule="auto"/>
        <w:rPr>
          <w:sz w:val="20"/>
          <w:szCs w:val="20"/>
          <w:color w:val="auto"/>
        </w:rPr>
      </w:pPr>
      <w:r>
        <w:rPr>
          <w:rFonts w:ascii="Arial" w:cs="Arial" w:eastAsia="Arial" w:hAnsi="Arial"/>
          <w:sz w:val="14"/>
          <w:szCs w:val="14"/>
          <w:color w:val="auto"/>
        </w:rPr>
        <w:t>The FDA may deny approval of a BLA if the applicable statutory and regulatory criteria are not satisfied, or it may require additional pre-clinical or clinical data. Even if such data are submitted, the FDA may ultimately decide that the BLA does not satisfy the criteria for approval. Data from clinical trials are not always conclusive and the FDA may interpret data differently than sponsors. Once the FDA approves a BLA, such approval defines the indicated uses for which the biologic may be marketed. The FDA may also require implementation of a Risk Evaluation and Mitigation Strategy, or REMS, which can include a medication guide, communication plan, or elements to assure safe use, such as restricted distribution methods, physician training, patient registries and other risk minimization tools. The FDA also may condition approval on, among other things, changes to proposed labeling claims or the development of adequate controls and specifications. Once approved, the FDA may withdraw the product approval if compliance with pre- and post-marketing regulatory standards is not maintained or if problems occur after the product reaches the market. The FDA may require one or more Phase 4 post-market studies and surveillance to further assess and monitor the product’s safety and effectiveness after commercialization, and may limit further marketing based on the results of these post-marketing studies.</w:t>
      </w:r>
    </w:p>
    <w:p>
      <w:pPr>
        <w:spacing w:after="0" w:line="148" w:lineRule="exact"/>
        <w:rPr>
          <w:sz w:val="20"/>
          <w:szCs w:val="20"/>
          <w:color w:val="auto"/>
        </w:rPr>
      </w:pPr>
    </w:p>
    <w:p>
      <w:pPr>
        <w:jc w:val="both"/>
        <w:ind w:right="180" w:firstLine="520"/>
        <w:spacing w:after="0" w:line="310" w:lineRule="auto"/>
        <w:rPr>
          <w:sz w:val="20"/>
          <w:szCs w:val="20"/>
          <w:color w:val="auto"/>
        </w:rPr>
      </w:pPr>
      <w:r>
        <w:rPr>
          <w:rFonts w:ascii="Arial" w:cs="Arial" w:eastAsia="Arial" w:hAnsi="Arial"/>
          <w:sz w:val="12"/>
          <w:szCs w:val="12"/>
          <w:color w:val="auto"/>
        </w:rPr>
        <w:t>The biologic testing and approval processes encompasses significant risk, and requires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or condition, the results may not be satisfactory to the FDA. Pre-clinical and clinical data may be interpreted by the FDA in different ways, which could delay, limit or prevent regulatory approval.</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We may encounter difficulties or unanticipated costs in our efforts to secure necessary governmental approvals which could delay or preclude us from marketing our product candidates. The FDA may limit the indications for use or place other conditions on any approvals that could restrict the commercial application of our products. After approval, certain changes to the approved biologic, such as adding new indications, manufacturing changes or additional labeling claims, are subject to further FDA review and approval. Depending on the nature of the change proposed, a BLA supplement must be filed and approved before the change may be implemented. For many proposed post-approval changes to a BLA, the FDA has up to 180 days to review the application. As with new BLAs, the review process is often significantly extended by the FDA requests for additional information or clarification.</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Expedited Development and Review Programs</w:t>
      </w:r>
    </w:p>
    <w:p>
      <w:pPr>
        <w:spacing w:after="0" w:line="90"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The FDA maintains several programs intended to facilitate and expedite development and review of new drugs and biologics to address unmet medical needs in the treatment of serious or life- threatening diseases or conditions. These programs include Fast Track designation, Breakthrough Therapy designation, Priority Review designation and Accelerated Approval, and the purpose of these programs is to provide important new drugs to patients earlier than under standard FDA review procedures. SER-109 has obtained Breakthrough Therapy, as well as Orphan Drug, designations.</w:t>
      </w:r>
    </w:p>
    <w:p>
      <w:pPr>
        <w:spacing w:after="0" w:line="159" w:lineRule="exact"/>
        <w:rPr>
          <w:sz w:val="20"/>
          <w:szCs w:val="20"/>
          <w:color w:val="auto"/>
        </w:rPr>
      </w:pPr>
    </w:p>
    <w:p>
      <w:pPr>
        <w:ind w:right="20" w:firstLine="520"/>
        <w:spacing w:after="0" w:line="268" w:lineRule="auto"/>
        <w:rPr>
          <w:sz w:val="20"/>
          <w:szCs w:val="20"/>
          <w:color w:val="auto"/>
        </w:rPr>
      </w:pPr>
      <w:r>
        <w:rPr>
          <w:rFonts w:ascii="Arial" w:cs="Arial" w:eastAsia="Arial" w:hAnsi="Arial"/>
          <w:sz w:val="14"/>
          <w:szCs w:val="14"/>
          <w:color w:val="auto"/>
        </w:rPr>
        <w:t>A new drug or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or biologic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28" w:name="page29"/>
    <w:bookmarkEnd w:id="28"/>
    <w:p>
      <w:pPr>
        <w:ind w:right="200"/>
        <w:spacing w:after="0" w:line="387" w:lineRule="auto"/>
        <w:rPr>
          <w:sz w:val="20"/>
          <w:szCs w:val="20"/>
          <w:color w:val="auto"/>
        </w:rPr>
      </w:pPr>
      <w:r>
        <w:rPr>
          <w:rFonts w:ascii="Arial" w:cs="Arial" w:eastAsia="Arial" w:hAnsi="Arial"/>
          <w:sz w:val="12"/>
          <w:szCs w:val="12"/>
          <w:color w:val="auto"/>
        </w:rPr>
        <w:t>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80" w:lineRule="exact"/>
        <w:rPr>
          <w:sz w:val="20"/>
          <w:szCs w:val="20"/>
          <w:color w:val="auto"/>
        </w:rPr>
      </w:pPr>
    </w:p>
    <w:p>
      <w:pPr>
        <w:ind w:firstLine="520"/>
        <w:spacing w:after="0" w:line="314" w:lineRule="auto"/>
        <w:rPr>
          <w:sz w:val="20"/>
          <w:szCs w:val="20"/>
          <w:color w:val="auto"/>
        </w:rPr>
      </w:pPr>
      <w:r>
        <w:rPr>
          <w:rFonts w:ascii="Arial" w:cs="Arial" w:eastAsia="Arial" w:hAnsi="Arial"/>
          <w:sz w:val="12"/>
          <w:szCs w:val="12"/>
          <w:color w:val="auto"/>
        </w:rPr>
        <w:t>Any product submitted to the FDA for approval, including a product with Fast Track or Breakthrough Therapy designation, may also be eligible for additional FDA programs intended to expedite the review process, including Priority Review designation and accelerated approval. A product is eligible for Priority Review if it has the potential to provide a significant improvement in safety or effectiveness in the treatment, diagnosis or prevention of a serious disease or condition. The FDA aims to review applications for new products designated for priority review within six months, compared to ten months under standard review. Additionally, products intended to treat serious or life-threatening diseases or conditions may receive accelerated approval.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In addition, the FDA currently requires, as a condition for accelerated approval, pre-approval of all promotional materials intended for dissemination or publication within 120 days following marketing approval, which could adversely impact the timing of commercial launch of the product.</w:t>
      </w:r>
    </w:p>
    <w:p>
      <w:pPr>
        <w:spacing w:after="0" w:line="125" w:lineRule="exact"/>
        <w:rPr>
          <w:sz w:val="20"/>
          <w:szCs w:val="20"/>
          <w:color w:val="auto"/>
        </w:rPr>
      </w:pPr>
    </w:p>
    <w:p>
      <w:pPr>
        <w:ind w:right="160" w:firstLine="520"/>
        <w:spacing w:after="0" w:line="248" w:lineRule="auto"/>
        <w:rPr>
          <w:sz w:val="20"/>
          <w:szCs w:val="20"/>
          <w:color w:val="auto"/>
        </w:rPr>
      </w:pPr>
      <w:r>
        <w:rPr>
          <w:rFonts w:ascii="Arial" w:cs="Arial" w:eastAsia="Arial" w:hAnsi="Arial"/>
          <w:sz w:val="15"/>
          <w:szCs w:val="15"/>
          <w:color w:val="auto"/>
        </w:rPr>
        <w:t>Fast Track designation, Breakthrough Therapy designation, Priority Review designation and Accelerated Approval do not change the standards for approval but may expedite the development or review process. We have received Breakthrough Therapy designation for SER-109, and we may apply for one or more of the FDA’s expedited programs for our other product candidates. The FDA may disagree that our product candidates satisfy the criteria for such programs, such programs may fail to result in expedited development or review timelines, or the FDA may ultimately refuse to approve our product candidates despite their inclusion in any expedited programs. In addition, if the Breakthrough Therapy designation for SER-109 is no longer supported by subsequent data, FDA may rescind the designation.</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Post-Approval Requirements</w:t>
      </w:r>
    </w:p>
    <w:p>
      <w:pPr>
        <w:spacing w:after="0" w:line="90" w:lineRule="exact"/>
        <w:rPr>
          <w:sz w:val="20"/>
          <w:szCs w:val="20"/>
          <w:color w:val="auto"/>
        </w:rPr>
      </w:pPr>
    </w:p>
    <w:p>
      <w:pPr>
        <w:ind w:right="100" w:firstLine="520"/>
        <w:spacing w:after="0" w:line="346" w:lineRule="auto"/>
        <w:rPr>
          <w:sz w:val="20"/>
          <w:szCs w:val="20"/>
          <w:color w:val="auto"/>
        </w:rPr>
      </w:pPr>
      <w:r>
        <w:rPr>
          <w:rFonts w:ascii="Arial" w:cs="Arial" w:eastAsia="Arial" w:hAnsi="Arial"/>
          <w:sz w:val="12"/>
          <w:szCs w:val="12"/>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and the establishments at which such products are manufactured, as well as new application fees for certain supplemental applications.</w:t>
      </w:r>
    </w:p>
    <w:p>
      <w:pPr>
        <w:spacing w:after="0" w:line="103" w:lineRule="exact"/>
        <w:rPr>
          <w:sz w:val="20"/>
          <w:szCs w:val="20"/>
          <w:color w:val="auto"/>
        </w:rPr>
      </w:pPr>
    </w:p>
    <w:p>
      <w:pPr>
        <w:jc w:val="both"/>
        <w:ind w:right="40" w:firstLine="520"/>
        <w:spacing w:after="0" w:line="318" w:lineRule="auto"/>
        <w:rPr>
          <w:sz w:val="20"/>
          <w:szCs w:val="20"/>
          <w:color w:val="auto"/>
        </w:rPr>
      </w:pPr>
      <w:r>
        <w:rPr>
          <w:rFonts w:ascii="Arial" w:cs="Arial" w:eastAsia="Arial" w:hAnsi="Arial"/>
          <w:sz w:val="12"/>
          <w:szCs w:val="12"/>
          <w:color w:val="auto"/>
        </w:rPr>
        <w:t>Any biologics manufactured or distributed by us or our contract manufactures pursuant to FDA approvals would be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the BLA for that product.</w:t>
      </w:r>
    </w:p>
    <w:p>
      <w:pPr>
        <w:spacing w:after="0" w:line="120" w:lineRule="exact"/>
        <w:rPr>
          <w:sz w:val="20"/>
          <w:szCs w:val="20"/>
          <w:color w:val="auto"/>
        </w:rPr>
      </w:pPr>
    </w:p>
    <w:p>
      <w:pPr>
        <w:jc w:val="both"/>
        <w:ind w:right="160" w:firstLine="520"/>
        <w:spacing w:after="0" w:line="252" w:lineRule="auto"/>
        <w:rPr>
          <w:sz w:val="20"/>
          <w:szCs w:val="20"/>
          <w:color w:val="auto"/>
        </w:rPr>
      </w:pPr>
      <w:r>
        <w:rPr>
          <w:rFonts w:ascii="Arial" w:cs="Arial" w:eastAsia="Arial" w:hAnsi="Arial"/>
          <w:sz w:val="15"/>
          <w:szCs w:val="15"/>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69" w:lineRule="exact"/>
        <w:rPr>
          <w:sz w:val="20"/>
          <w:szCs w:val="20"/>
          <w:color w:val="auto"/>
        </w:rPr>
      </w:pPr>
    </w:p>
    <w:p>
      <w:pPr>
        <w:ind w:left="1040" w:hanging="518"/>
        <w:spacing w:after="0"/>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complete withdrawal of the product from the market or product recalls;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fines, warning letters or holds on post-approval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refusal of the FDA to approve applications or supplements to approved applications, or suspension or revocation of product approvals;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29" w:name="page30"/>
    <w:bookmarkEnd w:id="29"/>
    <w:p>
      <w:pPr>
        <w:ind w:left="1040" w:hanging="518"/>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product seizure or detention, or refusal to permit the import or export of products; or</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178" w:lineRule="exact"/>
        <w:rPr>
          <w:sz w:val="20"/>
          <w:szCs w:val="20"/>
          <w:color w:val="auto"/>
        </w:rPr>
      </w:pPr>
    </w:p>
    <w:p>
      <w:pPr>
        <w:ind w:right="60" w:firstLine="520"/>
        <w:spacing w:after="0" w:line="325" w:lineRule="auto"/>
        <w:rPr>
          <w:sz w:val="20"/>
          <w:szCs w:val="20"/>
          <w:color w:val="auto"/>
        </w:rPr>
      </w:pPr>
      <w:r>
        <w:rPr>
          <w:rFonts w:ascii="Arial" w:cs="Arial" w:eastAsia="Arial" w:hAnsi="Arial"/>
          <w:sz w:val="12"/>
          <w:szCs w:val="12"/>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Biosimilars and Regulatory Exclusivity</w:t>
      </w:r>
    </w:p>
    <w:p>
      <w:pPr>
        <w:spacing w:after="0" w:line="90" w:lineRule="exact"/>
        <w:rPr>
          <w:sz w:val="20"/>
          <w:szCs w:val="20"/>
          <w:color w:val="auto"/>
        </w:rPr>
      </w:pPr>
    </w:p>
    <w:p>
      <w:pPr>
        <w:ind w:firstLine="520"/>
        <w:spacing w:after="0" w:line="312" w:lineRule="auto"/>
        <w:rPr>
          <w:sz w:val="20"/>
          <w:szCs w:val="20"/>
          <w:color w:val="auto"/>
        </w:rPr>
      </w:pPr>
      <w:r>
        <w:rPr>
          <w:rFonts w:ascii="Arial" w:cs="Arial" w:eastAsia="Arial" w:hAnsi="Arial"/>
          <w:sz w:val="12"/>
          <w:szCs w:val="12"/>
          <w:color w:val="auto"/>
        </w:rPr>
        <w:t>We believe that any of our product candidates approved under a BLA should qualify for a 12-year period of exclusivity against biosimilar competition currently permitted by the Biologics Price Competition and Innovation Act, or BPCIA. Specifically, as part of the Patient Protection and Affordable Care Act enacted in 2010, as amended by the Health Care and Education Affordability Reconciliation Act, collectively the Affordable Care Act, the BPCIA established an abbreviated pathway for the approval of biosimilar and interchangeable biological products. The new abbreviated regulatory pathway provides legal authority for the FDA to review and approve biosimilar biologics based on their similarity to an existing brand product, referred to as a reference product, including the possible designation of a biosimilar as interchangeable with a brand product. Under the BPCIA the approval of a biosimilar product may not be made effective by the FDA until 12 years from the date on which the reference product was first licensed. Moreover, the extent to which a biosimilar, once approved, will be substituted for any one of our reference products in a way that is similar to traditional generic substitution for non-biological drug products is not yet clear, and will depend on a number of marketplace and regulatory factors that are still developing. The BPCIA is complex and is only beginning to be interpreted and implemented by the FDA. As a result, its ultimate impact, implementation and meaning is subject to uncertainty. While it is uncertain when any such processes may be fully adopted by the FDA, any such processes that operate to limit the scope or length of exclusivity afforded by the BPCIA could have a material adverse effect on the future commercial prospects for our biological products. In addition, the period of exclusivity provided by the BPCIA only operates against third parties seeking approval via the abbreviated pathway, but would not prevent third parties from pursuing approval via the traditional approval pathway. In addition, foreign regulatory authorities may also provide for exclusivity periods for approved biological products. For example, biological products in the EU may be eligible for at least a ten-year period of exclusivity.</w:t>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Orphan Drug Designation</w:t>
      </w:r>
    </w:p>
    <w:p>
      <w:pPr>
        <w:spacing w:after="0" w:line="90"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59"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Further, if a designated orphan product receives marketing approval for an indication broader than the rare disease or condition for which it received orphan designation, it may not be entitled to orphan exclusivity.</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August 2015, the FDA granted orphan drug designation to SER-109.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30" w:name="page31"/>
    <w:bookmarkEnd w:id="30"/>
    <w:p>
      <w:pPr>
        <w:ind w:right="180" w:firstLine="520"/>
        <w:spacing w:after="0" w:line="252" w:lineRule="auto"/>
        <w:rPr>
          <w:sz w:val="20"/>
          <w:szCs w:val="20"/>
          <w:color w:val="auto"/>
        </w:rPr>
      </w:pPr>
      <w:r>
        <w:rPr>
          <w:rFonts w:ascii="Arial" w:cs="Arial" w:eastAsia="Arial" w:hAnsi="Arial"/>
          <w:sz w:val="15"/>
          <w:szCs w:val="15"/>
          <w:color w:val="auto"/>
        </w:rPr>
        <w:t>We may seek orphan designation for one or more of our product candidates, but the FDA may disagree with our analysis of the prevalence of a disease or condition or other criteria for designation and refuse to grant orphan status. We cannot guarantee that we will obtain designation or approval for any product candidate, or that we will be able to secure orphan product exclusivity if we do obtain approval.</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Regulation Outside of the United States</w:t>
      </w:r>
    </w:p>
    <w:p>
      <w:pPr>
        <w:spacing w:after="0" w:line="178" w:lineRule="exact"/>
        <w:rPr>
          <w:sz w:val="20"/>
          <w:szCs w:val="20"/>
          <w:color w:val="auto"/>
        </w:rPr>
      </w:pPr>
    </w:p>
    <w:p>
      <w:pPr>
        <w:ind w:right="220" w:firstLine="520"/>
        <w:spacing w:after="0" w:line="262" w:lineRule="auto"/>
        <w:rPr>
          <w:sz w:val="20"/>
          <w:szCs w:val="20"/>
          <w:color w:val="auto"/>
        </w:rPr>
      </w:pPr>
      <w:r>
        <w:rPr>
          <w:rFonts w:ascii="Arial" w:cs="Arial" w:eastAsia="Arial" w:hAnsi="Arial"/>
          <w:sz w:val="15"/>
          <w:szCs w:val="15"/>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w:t>
      </w:r>
    </w:p>
    <w:p>
      <w:pPr>
        <w:spacing w:after="0" w:line="148" w:lineRule="exact"/>
        <w:rPr>
          <w:sz w:val="20"/>
          <w:szCs w:val="20"/>
          <w:color w:val="auto"/>
        </w:rPr>
      </w:pPr>
    </w:p>
    <w:p>
      <w:pPr>
        <w:ind w:right="400" w:firstLine="520"/>
        <w:spacing w:after="0" w:line="262" w:lineRule="auto"/>
        <w:rPr>
          <w:sz w:val="20"/>
          <w:szCs w:val="20"/>
          <w:color w:val="auto"/>
        </w:rPr>
      </w:pPr>
      <w:r>
        <w:rPr>
          <w:rFonts w:ascii="Arial" w:cs="Arial" w:eastAsia="Arial" w:hAnsi="Arial"/>
          <w:sz w:val="15"/>
          <w:szCs w:val="15"/>
          <w:color w:val="auto"/>
        </w:rPr>
        <w:t>For instance, in the EEA (comprised of the 28 EU Member States plus Iceland, Liechtenstein and Norway) medicinal products must be authorized for marketing by using either the centralized authorization procedure or national authorization procedures.</w:t>
      </w:r>
    </w:p>
    <w:p>
      <w:pPr>
        <w:spacing w:after="0" w:line="148"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i w:val="1"/>
          <w:iCs w:val="1"/>
          <w:color w:val="auto"/>
        </w:rPr>
        <w:t>Centralized procedure</w:t>
      </w:r>
      <w:r>
        <w:rPr>
          <w:rFonts w:ascii="Arial" w:cs="Arial" w:eastAsia="Arial" w:hAnsi="Arial"/>
          <w:sz w:val="14"/>
          <w:szCs w:val="14"/>
          <w:color w:val="auto"/>
        </w:rPr>
        <w:t>—Under the centralized procedure, following the opining of the EMA’s Committee for Medicinal Products for Human Use, or, CHMP, the European Commission</w:t>
      </w:r>
      <w:r>
        <w:rPr>
          <w:rFonts w:ascii="Arial" w:cs="Arial" w:eastAsia="Arial" w:hAnsi="Arial"/>
          <w:sz w:val="14"/>
          <w:szCs w:val="14"/>
          <w:i w:val="1"/>
          <w:iCs w:val="1"/>
          <w:color w:val="auto"/>
        </w:rPr>
        <w:t xml:space="preserve"> </w:t>
      </w:r>
      <w:r>
        <w:rPr>
          <w:rFonts w:ascii="Arial" w:cs="Arial" w:eastAsia="Arial" w:hAnsi="Arial"/>
          <w:sz w:val="14"/>
          <w:szCs w:val="14"/>
          <w:color w:val="auto"/>
        </w:rPr>
        <w:t>issues a single marketing authorization valid across the EEA. The centralized procedure is compulsory for human medicines derived from biotechnology processes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EEA, is a significant therapeutic, scientific or technical innovation, or if its authorization would be in the interest of public health in the EEA. Under the centralized procedure the maximum timeframe for the evaluation of an MAA by the EMA is 210 days, excluding clock stops, when additional written or oral information is to be provided by the applicant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148" w:lineRule="exact"/>
        <w:rPr>
          <w:sz w:val="20"/>
          <w:szCs w:val="20"/>
          <w:color w:val="auto"/>
        </w:rPr>
      </w:pPr>
    </w:p>
    <w:p>
      <w:pPr>
        <w:ind w:right="240" w:firstLine="520"/>
        <w:spacing w:after="0" w:line="262" w:lineRule="auto"/>
        <w:rPr>
          <w:sz w:val="20"/>
          <w:szCs w:val="20"/>
          <w:color w:val="auto"/>
        </w:rPr>
      </w:pPr>
      <w:r>
        <w:rPr>
          <w:rFonts w:ascii="Arial" w:cs="Arial" w:eastAsia="Arial" w:hAnsi="Arial"/>
          <w:sz w:val="15"/>
          <w:szCs w:val="15"/>
          <w:i w:val="1"/>
          <w:iCs w:val="1"/>
          <w:color w:val="auto"/>
        </w:rPr>
        <w:t>National authorization procedures</w:t>
      </w:r>
      <w:r>
        <w:rPr>
          <w:rFonts w:ascii="Arial" w:cs="Arial" w:eastAsia="Arial" w:hAnsi="Arial"/>
          <w:sz w:val="15"/>
          <w:szCs w:val="15"/>
          <w:color w:val="auto"/>
        </w:rPr>
        <w:t>—There are also two other possible routes to authorize medicinal products in several countries, which are available for products that fall outside the</w:t>
      </w:r>
      <w:r>
        <w:rPr>
          <w:rFonts w:ascii="Arial" w:cs="Arial" w:eastAsia="Arial" w:hAnsi="Arial"/>
          <w:sz w:val="15"/>
          <w:szCs w:val="15"/>
          <w:i w:val="1"/>
          <w:iCs w:val="1"/>
          <w:color w:val="auto"/>
        </w:rPr>
        <w:t xml:space="preserve"> </w:t>
      </w:r>
      <w:r>
        <w:rPr>
          <w:rFonts w:ascii="Arial" w:cs="Arial" w:eastAsia="Arial" w:hAnsi="Arial"/>
          <w:sz w:val="15"/>
          <w:szCs w:val="15"/>
          <w:color w:val="auto"/>
        </w:rPr>
        <w:t>scope of the centralized procedure:</w:t>
      </w:r>
    </w:p>
    <w:p>
      <w:pPr>
        <w:spacing w:after="0" w:line="236" w:lineRule="exact"/>
        <w:rPr>
          <w:sz w:val="20"/>
          <w:szCs w:val="20"/>
          <w:color w:val="auto"/>
        </w:rPr>
      </w:pPr>
    </w:p>
    <w:p>
      <w:pPr>
        <w:ind w:left="1040" w:hanging="518"/>
        <w:spacing w:after="0" w:line="262"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Decentralized procedure</w:t>
      </w:r>
      <w:r>
        <w:rPr>
          <w:rFonts w:ascii="Arial" w:cs="Arial" w:eastAsia="Arial" w:hAnsi="Arial"/>
          <w:sz w:val="15"/>
          <w:szCs w:val="15"/>
          <w:color w:val="auto"/>
        </w:rPr>
        <w:t>. Using the decentralized procedure, an applicant may apply for simultaneous authorization in more than one EU country of medicinal products that have</w:t>
      </w:r>
      <w:r>
        <w:rPr>
          <w:rFonts w:ascii="Arial" w:cs="Arial" w:eastAsia="Arial" w:hAnsi="Arial"/>
          <w:sz w:val="15"/>
          <w:szCs w:val="15"/>
          <w:i w:val="1"/>
          <w:iCs w:val="1"/>
          <w:color w:val="auto"/>
        </w:rPr>
        <w:t xml:space="preserve"> </w:t>
      </w:r>
      <w:r>
        <w:rPr>
          <w:rFonts w:ascii="Arial" w:cs="Arial" w:eastAsia="Arial" w:hAnsi="Arial"/>
          <w:sz w:val="15"/>
          <w:szCs w:val="15"/>
          <w:color w:val="auto"/>
        </w:rPr>
        <w:t>not yet been authorized in any EU country and that do not fall within the mandatory scope of the centralized procedure.</w:t>
      </w:r>
    </w:p>
    <w:p>
      <w:pPr>
        <w:spacing w:after="0" w:line="60" w:lineRule="exact"/>
        <w:rPr>
          <w:rFonts w:ascii="Arial" w:cs="Arial" w:eastAsia="Arial" w:hAnsi="Arial"/>
          <w:sz w:val="15"/>
          <w:szCs w:val="15"/>
          <w:color w:val="auto"/>
        </w:rPr>
      </w:pPr>
    </w:p>
    <w:p>
      <w:pPr>
        <w:jc w:val="both"/>
        <w:ind w:left="1040" w:right="220" w:hanging="518"/>
        <w:spacing w:after="0" w:line="252"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Mutual recognition procedure</w:t>
      </w:r>
      <w:r>
        <w:rPr>
          <w:rFonts w:ascii="Arial" w:cs="Arial" w:eastAsia="Arial" w:hAnsi="Arial"/>
          <w:sz w:val="15"/>
          <w:szCs w:val="15"/>
          <w:color w:val="auto"/>
        </w:rPr>
        <w:t>. In the mutual recognition procedure, a medicine is first authorized in one EU Member State, in accordance with the national procedures of that</w:t>
      </w:r>
      <w:r>
        <w:rPr>
          <w:rFonts w:ascii="Arial" w:cs="Arial" w:eastAsia="Arial" w:hAnsi="Arial"/>
          <w:sz w:val="15"/>
          <w:szCs w:val="15"/>
          <w:i w:val="1"/>
          <w:iCs w:val="1"/>
          <w:color w:val="auto"/>
        </w:rPr>
        <w:t xml:space="preserve"> </w:t>
      </w:r>
      <w:r>
        <w:rPr>
          <w:rFonts w:ascii="Arial" w:cs="Arial" w:eastAsia="Arial" w:hAnsi="Arial"/>
          <w:sz w:val="15"/>
          <w:szCs w:val="15"/>
          <w:color w:val="auto"/>
        </w:rPr>
        <w:t>country. Following this, further marketing authorizations can be sought from other EU countries in a procedure whereby the countries concerned recognize the validity of the original, national marketing authorization.</w:t>
      </w:r>
    </w:p>
    <w:p>
      <w:pPr>
        <w:spacing w:after="0" w:line="157"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color w:val="auto"/>
        </w:rPr>
        <w:t>In the EEA, new products authorized for marketing (</w:t>
      </w:r>
      <w:r>
        <w:rPr>
          <w:rFonts w:ascii="Arial" w:cs="Arial" w:eastAsia="Arial" w:hAnsi="Arial"/>
          <w:sz w:val="15"/>
          <w:szCs w:val="15"/>
          <w:i w:val="1"/>
          <w:iCs w:val="1"/>
          <w:color w:val="auto"/>
        </w:rPr>
        <w:t>i.e.</w:t>
      </w:r>
      <w:r>
        <w:rPr>
          <w:rFonts w:ascii="Arial" w:cs="Arial" w:eastAsia="Arial" w:hAnsi="Arial"/>
          <w:sz w:val="15"/>
          <w:szCs w:val="15"/>
          <w:color w:val="auto"/>
        </w:rPr>
        <w:t>,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654" w:right="279" w:bottom="1440" w:gutter="0" w:footer="0" w:header="0"/>
        </w:sectPr>
      </w:pPr>
    </w:p>
    <w:bookmarkStart w:id="31" w:name="page32"/>
    <w:bookmarkEnd w:id="31"/>
    <w:p>
      <w:pPr>
        <w:ind w:left="520"/>
        <w:spacing w:after="0"/>
        <w:rPr>
          <w:sz w:val="20"/>
          <w:szCs w:val="20"/>
          <w:color w:val="auto"/>
        </w:rPr>
      </w:pPr>
      <w:r>
        <w:rPr>
          <w:rFonts w:ascii="Arial" w:cs="Arial" w:eastAsia="Arial" w:hAnsi="Arial"/>
          <w:sz w:val="12"/>
          <w:szCs w:val="12"/>
          <w:color w:val="auto"/>
        </w:rPr>
        <w:t>The criteria for designating an “orphan medicinal product” in the EEA are similar in principle to those in the United States. In the EEA a medicinal product may be designated as orphan if</w:t>
      </w:r>
    </w:p>
    <w:p>
      <w:pPr>
        <w:spacing w:after="0" w:line="48" w:lineRule="exact"/>
        <w:rPr>
          <w:sz w:val="20"/>
          <w:szCs w:val="20"/>
          <w:color w:val="auto"/>
        </w:rPr>
      </w:pPr>
    </w:p>
    <w:p>
      <w:pPr>
        <w:ind w:firstLine="8"/>
        <w:spacing w:after="0" w:line="263" w:lineRule="auto"/>
        <w:tabs>
          <w:tab w:leader="none" w:pos="20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 year orphan market exclusivity period, no similar medicinal product for the same indication may be placed on the market. An orphan product can also obtain an additional two years of market exclusivity in the EU for pediatric studies. The ten 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Healthcare Laws</w:t>
      </w:r>
    </w:p>
    <w:p>
      <w:pPr>
        <w:spacing w:after="0" w:line="90" w:lineRule="exact"/>
        <w:rPr>
          <w:sz w:val="20"/>
          <w:szCs w:val="20"/>
          <w:color w:val="auto"/>
        </w:rPr>
      </w:pPr>
    </w:p>
    <w:p>
      <w:pPr>
        <w:ind w:right="220" w:firstLine="520"/>
        <w:spacing w:after="0" w:line="252" w:lineRule="auto"/>
        <w:rPr>
          <w:sz w:val="20"/>
          <w:szCs w:val="20"/>
          <w:color w:val="auto"/>
        </w:rPr>
      </w:pPr>
      <w:r>
        <w:rPr>
          <w:rFonts w:ascii="Arial" w:cs="Arial" w:eastAsia="Arial" w:hAnsi="Arial"/>
          <w:sz w:val="15"/>
          <w:szCs w:val="15"/>
          <w:color w:val="auto"/>
        </w:rPr>
        <w:t>Although we currently do not have any products on the market, if our product candidates are approved and we begin commercialization, we will be subject to healthcare regulation and enforcement by the federal government and the states in which we conduct our business. These laws include, without limitation, state and federal anti-kickback, fraud and abuse, false claims, privacy and security and physician sunshine laws and regulations.</w:t>
      </w:r>
    </w:p>
    <w:p>
      <w:pPr>
        <w:spacing w:after="0" w:line="157" w:lineRule="exact"/>
        <w:rPr>
          <w:sz w:val="20"/>
          <w:szCs w:val="20"/>
          <w:color w:val="auto"/>
        </w:rPr>
      </w:pPr>
    </w:p>
    <w:p>
      <w:pPr>
        <w:ind w:right="40" w:firstLine="520"/>
        <w:spacing w:after="0" w:line="268" w:lineRule="auto"/>
        <w:rPr>
          <w:sz w:val="20"/>
          <w:szCs w:val="20"/>
          <w:color w:val="auto"/>
        </w:rPr>
      </w:pPr>
      <w:r>
        <w:rPr>
          <w:rFonts w:ascii="Arial" w:cs="Arial" w:eastAsia="Arial" w:hAnsi="Arial"/>
          <w:sz w:val="14"/>
          <w:szCs w:val="14"/>
          <w:color w:val="auto"/>
        </w:rPr>
        <w:t>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defined to include anything of value, including cash, improper discounts and free or reduced price items and services. The government has enforced the Anti-Kickback Statute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 (discussed below). Many states have similar laws that apply to their state healthcare programs as well as private payors.</w:t>
      </w:r>
    </w:p>
    <w:p>
      <w:pPr>
        <w:spacing w:after="0" w:line="146" w:lineRule="exact"/>
        <w:rPr>
          <w:sz w:val="20"/>
          <w:szCs w:val="20"/>
          <w:color w:val="auto"/>
        </w:rPr>
      </w:pPr>
    </w:p>
    <w:p>
      <w:pPr>
        <w:ind w:right="20" w:firstLine="520"/>
        <w:spacing w:after="0" w:line="265" w:lineRule="auto"/>
        <w:rPr>
          <w:sz w:val="20"/>
          <w:szCs w:val="20"/>
          <w:color w:val="auto"/>
        </w:rPr>
      </w:pPr>
      <w:r>
        <w:rPr>
          <w:rFonts w:ascii="Arial" w:cs="Arial" w:eastAsia="Arial" w:hAnsi="Arial"/>
          <w:sz w:val="14"/>
          <w:szCs w:val="14"/>
          <w:color w:val="auto"/>
        </w:rPr>
        <w:t>The False Claims Act, or FCA, imposes liability on persons who, among other things, present or cause to be presented false or fraudulent claims for payment by a federal health care program.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0" w:lineRule="exact"/>
        <w:rPr>
          <w:sz w:val="20"/>
          <w:szCs w:val="20"/>
          <w:color w:val="auto"/>
        </w:rPr>
      </w:pPr>
    </w:p>
    <w:p>
      <w:pPr>
        <w:ind w:right="100" w:firstLine="520"/>
        <w:spacing w:after="0" w:line="321" w:lineRule="auto"/>
        <w:rPr>
          <w:sz w:val="20"/>
          <w:szCs w:val="20"/>
          <w:color w:val="auto"/>
        </w:rPr>
      </w:pPr>
      <w:r>
        <w:rPr>
          <w:rFonts w:ascii="Arial" w:cs="Arial" w:eastAsia="Arial" w:hAnsi="Arial"/>
          <w:sz w:val="12"/>
          <w:szCs w:val="12"/>
          <w:color w:val="auto"/>
        </w:rPr>
        <w:t>In addition, there has been a recent trend of increased federal and state regulation of payments made to physicians and other healthcare providers. The Affordable Care Act, among other things, imposed new reporting requirements on certain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must submit reports by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41" w:right="219" w:bottom="1440" w:gutter="0" w:footer="0" w:header="0"/>
        </w:sectPr>
      </w:pPr>
    </w:p>
    <w:bookmarkStart w:id="32" w:name="page33"/>
    <w:bookmarkEnd w:id="32"/>
    <w:p>
      <w:pPr>
        <w:ind w:right="120" w:firstLine="520"/>
        <w:spacing w:after="0" w:line="316" w:lineRule="auto"/>
        <w:rPr>
          <w:sz w:val="20"/>
          <w:szCs w:val="20"/>
          <w:color w:val="auto"/>
        </w:rPr>
      </w:pPr>
      <w:r>
        <w:rPr>
          <w:rFonts w:ascii="Arial" w:cs="Arial" w:eastAsia="Arial" w:hAnsi="Arial"/>
          <w:sz w:val="12"/>
          <w:szCs w:val="12"/>
          <w:color w:val="auto"/>
        </w:rPr>
        <w:t>We may also be subject to data privacy and security regulation by both the federal government and the states in which we conduct our business. The federal Health Insurance Portability and Accountability Act of 1996, or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22" w:lineRule="exact"/>
        <w:rPr>
          <w:sz w:val="20"/>
          <w:szCs w:val="20"/>
          <w:color w:val="auto"/>
        </w:rPr>
      </w:pPr>
    </w:p>
    <w:p>
      <w:pPr>
        <w:ind w:firstLine="520"/>
        <w:spacing w:after="0" w:line="332" w:lineRule="auto"/>
        <w:rPr>
          <w:sz w:val="20"/>
          <w:szCs w:val="20"/>
          <w:color w:val="auto"/>
        </w:rPr>
      </w:pPr>
      <w:r>
        <w:rPr>
          <w:rFonts w:ascii="Arial" w:cs="Arial" w:eastAsia="Arial" w:hAnsi="Arial"/>
          <w:sz w:val="12"/>
          <w:szCs w:val="12"/>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Coverage and Reimbursement</w:t>
      </w:r>
    </w:p>
    <w:p>
      <w:pPr>
        <w:spacing w:after="0" w:line="90" w:lineRule="exact"/>
        <w:rPr>
          <w:sz w:val="20"/>
          <w:szCs w:val="20"/>
          <w:color w:val="auto"/>
        </w:rPr>
      </w:pPr>
    </w:p>
    <w:p>
      <w:pPr>
        <w:ind w:right="60" w:firstLine="520"/>
        <w:spacing w:after="0" w:line="318" w:lineRule="auto"/>
        <w:rPr>
          <w:sz w:val="20"/>
          <w:szCs w:val="20"/>
          <w:color w:val="auto"/>
        </w:rPr>
      </w:pPr>
      <w:r>
        <w:rPr>
          <w:rFonts w:ascii="Arial" w:cs="Arial" w:eastAsia="Arial" w:hAnsi="Arial"/>
          <w:sz w:val="12"/>
          <w:szCs w:val="12"/>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120" w:lineRule="exact"/>
        <w:rPr>
          <w:sz w:val="20"/>
          <w:szCs w:val="20"/>
          <w:color w:val="auto"/>
        </w:rPr>
      </w:pPr>
    </w:p>
    <w:p>
      <w:pPr>
        <w:ind w:right="220" w:firstLine="520"/>
        <w:spacing w:after="0" w:line="346" w:lineRule="auto"/>
        <w:rPr>
          <w:sz w:val="20"/>
          <w:szCs w:val="20"/>
          <w:color w:val="auto"/>
        </w:rPr>
      </w:pPr>
      <w:r>
        <w:rPr>
          <w:rFonts w:ascii="Arial" w:cs="Arial" w:eastAsia="Arial" w:hAnsi="Arial"/>
          <w:sz w:val="12"/>
          <w:szCs w:val="12"/>
          <w:color w:val="auto"/>
        </w:rPr>
        <w:t>The containment of healthcare costs also has become a priority of federal and state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03" w:lineRule="exact"/>
        <w:rPr>
          <w:sz w:val="20"/>
          <w:szCs w:val="20"/>
          <w:color w:val="auto"/>
        </w:rPr>
      </w:pPr>
    </w:p>
    <w:p>
      <w:pPr>
        <w:ind w:right="60" w:firstLine="520"/>
        <w:spacing w:after="0" w:line="317" w:lineRule="auto"/>
        <w:rPr>
          <w:sz w:val="20"/>
          <w:szCs w:val="20"/>
          <w:color w:val="auto"/>
        </w:rPr>
      </w:pPr>
      <w:r>
        <w:rPr>
          <w:rFonts w:ascii="Arial" w:cs="Arial" w:eastAsia="Arial" w:hAnsi="Arial"/>
          <w:sz w:val="12"/>
          <w:szCs w:val="12"/>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Reform</w:t>
      </w:r>
    </w:p>
    <w:p>
      <w:pPr>
        <w:spacing w:after="0" w:line="90" w:lineRule="exact"/>
        <w:rPr>
          <w:sz w:val="20"/>
          <w:szCs w:val="20"/>
          <w:color w:val="auto"/>
        </w:rPr>
      </w:pPr>
    </w:p>
    <w:p>
      <w:pPr>
        <w:ind w:firstLine="520"/>
        <w:spacing w:after="0" w:line="387" w:lineRule="auto"/>
        <w:rPr>
          <w:sz w:val="20"/>
          <w:szCs w:val="20"/>
          <w:color w:val="auto"/>
        </w:rPr>
      </w:pPr>
      <w:r>
        <w:rPr>
          <w:rFonts w:ascii="Arial" w:cs="Arial" w:eastAsia="Arial" w:hAnsi="Arial"/>
          <w:sz w:val="12"/>
          <w:szCs w:val="12"/>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33" w:name="page34"/>
    <w:bookmarkEnd w:id="33"/>
    <w:p>
      <w:pPr>
        <w:ind w:right="380"/>
        <w:spacing w:after="0" w:line="262" w:lineRule="auto"/>
        <w:rPr>
          <w:sz w:val="20"/>
          <w:szCs w:val="20"/>
          <w:color w:val="auto"/>
        </w:rPr>
      </w:pPr>
      <w:r>
        <w:rPr>
          <w:rFonts w:ascii="Arial" w:cs="Arial" w:eastAsia="Arial" w:hAnsi="Arial"/>
          <w:sz w:val="15"/>
          <w:szCs w:val="15"/>
          <w:color w:val="auto"/>
        </w:rPr>
        <w:t>response to any healthcare reform proposals or legislation. We cannot predict the effect medical or healthcare reforms may have on our business, and no assurance can be given that any such reforms will not have a material adverse effect.</w:t>
      </w:r>
    </w:p>
    <w:p>
      <w:pPr>
        <w:spacing w:after="0" w:line="148" w:lineRule="exact"/>
        <w:rPr>
          <w:sz w:val="20"/>
          <w:szCs w:val="20"/>
          <w:color w:val="auto"/>
        </w:rPr>
      </w:pPr>
    </w:p>
    <w:p>
      <w:pPr>
        <w:ind w:right="360" w:firstLine="520"/>
        <w:spacing w:after="0" w:line="262" w:lineRule="auto"/>
        <w:rPr>
          <w:sz w:val="20"/>
          <w:szCs w:val="20"/>
          <w:color w:val="auto"/>
        </w:rPr>
      </w:pPr>
      <w:r>
        <w:rPr>
          <w:rFonts w:ascii="Arial" w:cs="Arial" w:eastAsia="Arial" w:hAnsi="Arial"/>
          <w:sz w:val="15"/>
          <w:szCs w:val="15"/>
          <w:color w:val="auto"/>
        </w:rPr>
        <w:t>By way of example, in March 2010, the Affordable Care Act was signed into law, which, among other things, includes changes to the coverage and payment for drug products under government health care programs. Among other things, the Affordable Care Act:</w:t>
      </w:r>
    </w:p>
    <w:p>
      <w:pPr>
        <w:spacing w:after="0" w:line="61" w:lineRule="exact"/>
        <w:rPr>
          <w:sz w:val="20"/>
          <w:szCs w:val="20"/>
          <w:color w:val="auto"/>
        </w:rPr>
      </w:pPr>
    </w:p>
    <w:p>
      <w:pPr>
        <w:ind w:left="1040" w:right="480" w:hanging="518"/>
        <w:spacing w:after="0" w:line="298" w:lineRule="auto"/>
        <w:tabs>
          <w:tab w:leader="none" w:pos="10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37" w:lineRule="exact"/>
        <w:rPr>
          <w:rFonts w:ascii="Arial" w:cs="Arial" w:eastAsia="Arial" w:hAnsi="Arial"/>
          <w:sz w:val="14"/>
          <w:szCs w:val="14"/>
          <w:color w:val="auto"/>
        </w:rPr>
      </w:pPr>
    </w:p>
    <w:p>
      <w:pPr>
        <w:ind w:left="1040" w:right="540" w:hanging="518"/>
        <w:spacing w:after="0" w:line="262" w:lineRule="auto"/>
        <w:tabs>
          <w:tab w:leader="none" w:pos="1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60" w:lineRule="exact"/>
        <w:rPr>
          <w:rFonts w:ascii="Arial" w:cs="Arial" w:eastAsia="Arial" w:hAnsi="Arial"/>
          <w:sz w:val="15"/>
          <w:szCs w:val="15"/>
          <w:color w:val="auto"/>
        </w:rPr>
      </w:pPr>
    </w:p>
    <w:p>
      <w:pPr>
        <w:ind w:left="1040" w:right="140" w:hanging="518"/>
        <w:spacing w:after="0" w:line="249" w:lineRule="auto"/>
        <w:tabs>
          <w:tab w:leader="none" w:pos="1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71" w:lineRule="exact"/>
        <w:rPr>
          <w:rFonts w:ascii="Arial" w:cs="Arial" w:eastAsia="Arial" w:hAnsi="Arial"/>
          <w:sz w:val="15"/>
          <w:szCs w:val="15"/>
          <w:color w:val="auto"/>
        </w:rPr>
      </w:pPr>
    </w:p>
    <w:p>
      <w:pPr>
        <w:ind w:left="1040" w:right="140" w:hanging="518"/>
        <w:spacing w:after="0" w:line="387" w:lineRule="auto"/>
        <w:tabs>
          <w:tab w:leader="none" w:pos="10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80" w:lineRule="exact"/>
        <w:rPr>
          <w:sz w:val="20"/>
          <w:szCs w:val="20"/>
          <w:color w:val="auto"/>
        </w:rPr>
      </w:pPr>
    </w:p>
    <w:p>
      <w:pPr>
        <w:ind w:firstLine="520"/>
        <w:spacing w:after="0" w:line="321" w:lineRule="auto"/>
        <w:rPr>
          <w:sz w:val="20"/>
          <w:szCs w:val="20"/>
          <w:color w:val="auto"/>
        </w:rPr>
      </w:pPr>
      <w:r>
        <w:rPr>
          <w:rFonts w:ascii="Arial" w:cs="Arial" w:eastAsia="Arial" w:hAnsi="Arial"/>
          <w:sz w:val="12"/>
          <w:szCs w:val="12"/>
          <w:color w:val="auto"/>
        </w:rPr>
        <w:t>Other legislative changes have been proposed and adopted in the United States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will remain in effect through 2024 unless additional Congressional action is taken. In January 2013, the American Taxpayer Relief Act of 2012 was signed into law, which, among other things, further reduced Medicare payments to several providers, including hospitals. Adoption of other new legislation at the federal or state level could further limit reimbursement for pharmaceuticals, including our product candidates if approved.</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of December 31, 2015, we had 86 full-time permanent employees. Thirteen employees work in administration and operations and seventy-three work in research and development.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Corporate Information</w:t>
      </w:r>
    </w:p>
    <w:p>
      <w:pPr>
        <w:spacing w:after="0" w:line="182" w:lineRule="exact"/>
        <w:rPr>
          <w:sz w:val="20"/>
          <w:szCs w:val="20"/>
          <w:color w:val="auto"/>
        </w:rPr>
      </w:pPr>
    </w:p>
    <w:p>
      <w:pPr>
        <w:jc w:val="both"/>
        <w:ind w:firstLine="520"/>
        <w:spacing w:after="0" w:line="346" w:lineRule="auto"/>
        <w:rPr>
          <w:sz w:val="20"/>
          <w:szCs w:val="20"/>
          <w:color w:val="auto"/>
        </w:rPr>
      </w:pPr>
      <w:r>
        <w:rPr>
          <w:rFonts w:ascii="Arial" w:cs="Arial" w:eastAsia="Arial" w:hAnsi="Arial"/>
          <w:sz w:val="12"/>
          <w:szCs w:val="12"/>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215 First Street, Cambridge, Massachusetts 02142 and our telephone number is (617) 945-9626. Our website address is </w:t>
      </w:r>
      <w:r>
        <w:rPr>
          <w:rFonts w:ascii="Arial" w:cs="Arial" w:eastAsia="Arial" w:hAnsi="Arial"/>
          <w:sz w:val="12"/>
          <w:szCs w:val="12"/>
          <w:i w:val="1"/>
          <w:iCs w:val="1"/>
          <w:color w:val="auto"/>
        </w:rPr>
        <w:t>www.serestherapeutics.com</w:t>
      </w:r>
      <w:r>
        <w:rPr>
          <w:rFonts w:ascii="Arial" w:cs="Arial" w:eastAsia="Arial" w:hAnsi="Arial"/>
          <w:sz w:val="12"/>
          <w:szCs w:val="12"/>
          <w:color w:val="auto"/>
        </w:rPr>
        <w:t>. The information contained in, or accessible through, our website does not constitute a part of this annual report on Form 10-K.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color w:val="auto"/>
        </w:rPr>
        <w:t>Item 1A. Risk Factors</w:t>
      </w:r>
    </w:p>
    <w:p>
      <w:pPr>
        <w:spacing w:after="0" w:line="94" w:lineRule="exact"/>
        <w:rPr>
          <w:sz w:val="20"/>
          <w:szCs w:val="20"/>
          <w:color w:val="auto"/>
        </w:rPr>
      </w:pPr>
    </w:p>
    <w:p>
      <w:pPr>
        <w:ind w:right="100" w:firstLine="520"/>
        <w:spacing w:after="0" w:line="249" w:lineRule="auto"/>
        <w:rPr>
          <w:sz w:val="20"/>
          <w:szCs w:val="20"/>
          <w:color w:val="auto"/>
        </w:rPr>
      </w:pPr>
      <w:r>
        <w:rPr>
          <w:rFonts w:ascii="Arial" w:cs="Arial" w:eastAsia="Arial" w:hAnsi="Arial"/>
          <w:sz w:val="15"/>
          <w:szCs w:val="15"/>
          <w:i w:val="1"/>
          <w:iCs w:val="1"/>
          <w:color w:val="auto"/>
        </w:rPr>
        <w:t>Our business faces significant risks and uncertainties. Accordingly, in evaluating our business, you should carefully consider the risk factors discussed below, as well as the other information in this Annual Report on Form 10-K, including our consolidated financial statements and the related notes and “Management’s Discussion and Analysis of Results of Operations and Financial Condition.”. The occurrence of any of the events or developments described below or elsewhere in this report could harm our business, financial condition, results of operations or growth prospects.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2" w:lineRule="exact"/>
        <w:rPr>
          <w:sz w:val="20"/>
          <w:szCs w:val="20"/>
          <w:color w:val="auto"/>
        </w:rPr>
      </w:pPr>
    </w:p>
    <w:p>
      <w:pPr>
        <w:ind w:right="540"/>
        <w:spacing w:after="0" w:line="262" w:lineRule="auto"/>
        <w:rPr>
          <w:sz w:val="20"/>
          <w:szCs w:val="20"/>
          <w:color w:val="auto"/>
        </w:rPr>
      </w:pPr>
      <w:r>
        <w:rPr>
          <w:rFonts w:ascii="Arial" w:cs="Arial" w:eastAsia="Arial" w:hAnsi="Arial"/>
          <w:sz w:val="15"/>
          <w:szCs w:val="15"/>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1" w:lineRule="exact"/>
        <w:rPr>
          <w:sz w:val="20"/>
          <w:szCs w:val="20"/>
          <w:color w:val="auto"/>
        </w:rPr>
      </w:pPr>
    </w:p>
    <w:p>
      <w:pPr>
        <w:ind w:right="20" w:firstLine="520"/>
        <w:spacing w:after="0" w:line="267" w:lineRule="auto"/>
        <w:rPr>
          <w:sz w:val="20"/>
          <w:szCs w:val="20"/>
          <w:color w:val="auto"/>
        </w:rPr>
      </w:pPr>
      <w:r>
        <w:rPr>
          <w:rFonts w:ascii="Arial" w:cs="Arial" w:eastAsia="Arial" w:hAnsi="Arial"/>
          <w:sz w:val="14"/>
          <w:szCs w:val="14"/>
          <w:color w:val="auto"/>
        </w:rPr>
        <w:t>Since inception, we have incurred significant operating losses. Our net loss was $6.1 million for the year ended December 31, 2013, $16.7 million for the year ended December 31, 2014 and $54.8 million for the year ended December 31, 2015, respectively. As of December 31, 2015, we had an accumulated deficit of $82.6 million. To date, we have financed our operations through the initial public offering of our common stock, private placements of our preferred stock, and the issuance of convertible promissory notes and borrowings under a loan and security agreement with Comerica Bank, or the loan and security agreement. We have devoted substantially all of our financial resources and efforts to developing our microbiome therapeutics platform, identifying potential product candidates and conducting pre-clinical studies and clinical trials. We are in the early stages of development of our product candidates, which we call Ecobiotic microbiome therapeutics, and we have not completed development of any Ecobiotic microbiome therapeutics or other drugs or biologics. We expect to continue to incur significant expenses and operating losses for the foreseeable future. We anticipate that our expenses will increase substantially as we:</w:t>
      </w:r>
    </w:p>
    <w:p>
      <w:pPr>
        <w:spacing w:after="0" w:line="59" w:lineRule="exact"/>
        <w:rPr>
          <w:sz w:val="20"/>
          <w:szCs w:val="20"/>
          <w:color w:val="auto"/>
        </w:rPr>
      </w:pPr>
    </w:p>
    <w:p>
      <w:pPr>
        <w:ind w:left="1040" w:hanging="518"/>
        <w:spacing w:after="0"/>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conduct our Phase 2 clinical study of SER-109, our lead product candidate, and potentially advance to Phase 3 clinical studies;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conduct our Phase 1 clinical study of SER-287;</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continue the research and development of our other product candidates, including completing pre-clinical studies and commencing clinical trials for SER-262 and SER-155;</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seek to enhance our microbiome therapeutics platform and discover and develop additional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90" w:lineRule="exact"/>
        <w:rPr>
          <w:rFonts w:ascii="Arial" w:cs="Arial" w:eastAsia="Arial" w:hAnsi="Arial"/>
          <w:sz w:val="15"/>
          <w:szCs w:val="15"/>
          <w:color w:val="auto"/>
        </w:rPr>
      </w:pPr>
    </w:p>
    <w:p>
      <w:pPr>
        <w:ind w:left="1040" w:right="80" w:hanging="518"/>
        <w:spacing w:after="0" w:line="262" w:lineRule="auto"/>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manufacturing capabilities to commercialize any products for which we may obtain regulatory approval;</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90" w:lineRule="exact"/>
        <w:rPr>
          <w:rFonts w:ascii="Arial" w:cs="Arial" w:eastAsia="Arial" w:hAnsi="Arial"/>
          <w:sz w:val="15"/>
          <w:szCs w:val="15"/>
          <w:color w:val="auto"/>
        </w:rPr>
      </w:pPr>
    </w:p>
    <w:p>
      <w:pPr>
        <w:ind w:left="1040" w:right="200" w:hanging="518"/>
        <w:spacing w:after="0" w:line="262" w:lineRule="auto"/>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operation as a public company; and</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experience any delays or encounter any issues with any of the above, including but not limited to failed studies, complex results, safety issues or other regulatory challenges.</w:t>
      </w:r>
    </w:p>
    <w:p>
      <w:pPr>
        <w:spacing w:after="0" w:line="212" w:lineRule="exact"/>
        <w:rPr>
          <w:sz w:val="20"/>
          <w:szCs w:val="20"/>
          <w:color w:val="auto"/>
        </w:rPr>
      </w:pPr>
    </w:p>
    <w:p>
      <w:pPr>
        <w:ind w:right="40" w:firstLine="520"/>
        <w:spacing w:after="0" w:line="273" w:lineRule="auto"/>
        <w:rPr>
          <w:sz w:val="20"/>
          <w:szCs w:val="20"/>
          <w:color w:val="auto"/>
        </w:rPr>
      </w:pPr>
      <w:r>
        <w:rPr>
          <w:rFonts w:ascii="Arial" w:cs="Arial" w:eastAsia="Arial" w:hAnsi="Arial"/>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 that is significant enough to achieve profitability.</w:t>
      </w:r>
    </w:p>
    <w:p>
      <w:pPr>
        <w:spacing w:after="0" w:line="143"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the European Medicines Agency, or EMA,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5" w:name="page36"/>
    <w:bookmarkEnd w:id="35"/>
    <w:p>
      <w:pPr>
        <w:ind w:right="180" w:firstLine="520"/>
        <w:spacing w:after="0" w:line="387" w:lineRule="auto"/>
        <w:rPr>
          <w:sz w:val="20"/>
          <w:szCs w:val="20"/>
          <w:color w:val="auto"/>
        </w:rPr>
      </w:pPr>
      <w:r>
        <w:rPr>
          <w:rFonts w:ascii="Arial" w:cs="Arial" w:eastAsia="Arial" w:hAnsi="Arial"/>
          <w:sz w:val="12"/>
          <w:szCs w:val="12"/>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68"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61"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We expect our expenses to increase in connection with our ongoing activities, particularly as we conduct our Phase 2 clinical study of SER-109 and our Phase 1 clinical study of SER-287, and continue to research, develop and initiate clinical trials of SER-262 and SER-155 and our other product candidates. In addition, if we obtain regulatory approval for any of our product candidates, we expect to incur significant commercialization expenses related to product manufacturing, marketing, sales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16" w:lineRule="exact"/>
        <w:rPr>
          <w:sz w:val="20"/>
          <w:szCs w:val="20"/>
          <w:color w:val="auto"/>
        </w:rPr>
      </w:pPr>
    </w:p>
    <w:p>
      <w:pPr>
        <w:ind w:right="60" w:firstLine="520"/>
        <w:spacing w:after="0" w:line="252" w:lineRule="auto"/>
        <w:rPr>
          <w:sz w:val="20"/>
          <w:szCs w:val="20"/>
          <w:color w:val="auto"/>
        </w:rPr>
      </w:pPr>
      <w:r>
        <w:rPr>
          <w:rFonts w:ascii="Arial" w:cs="Arial" w:eastAsia="Arial" w:hAnsi="Arial"/>
          <w:sz w:val="15"/>
          <w:szCs w:val="15"/>
          <w:color w:val="auto"/>
        </w:rPr>
        <w:t>We expect that our existing cash, cash equivalents and investments will enable us to fund our operating expenses and capital expenditure requirements well into 2018. We have based this estimate on assumptions that may prove to be wrong, and we could use our capital resources sooner than we currently expect. Our future capital requirements will depend on many factors, including:</w:t>
      </w:r>
    </w:p>
    <w:p>
      <w:pPr>
        <w:spacing w:after="0" w:line="69" w:lineRule="exact"/>
        <w:rPr>
          <w:sz w:val="20"/>
          <w:szCs w:val="20"/>
          <w:color w:val="auto"/>
        </w:rPr>
      </w:pPr>
    </w:p>
    <w:p>
      <w:pPr>
        <w:ind w:left="1040" w:hanging="518"/>
        <w:spacing w:after="0"/>
        <w:tabs>
          <w:tab w:leader="none" w:pos="10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progress and results of our Phase 2 clinical study of SER-109 and our Phase 1b clinical study of SER-287, as well as future clinical studies for these candidates;</w:t>
      </w:r>
    </w:p>
    <w:p>
      <w:pPr>
        <w:spacing w:after="0" w:line="101" w:lineRule="exact"/>
        <w:rPr>
          <w:rFonts w:ascii="Arial" w:cs="Arial" w:eastAsia="Arial" w:hAnsi="Arial"/>
          <w:sz w:val="14"/>
          <w:szCs w:val="14"/>
          <w:color w:val="auto"/>
        </w:rPr>
      </w:pPr>
    </w:p>
    <w:p>
      <w:pPr>
        <w:ind w:left="1040" w:hanging="518"/>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development, laboratory testing and clinical trials for our other product candidates, including SER-262 and SER-155;</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90" w:lineRule="exact"/>
        <w:rPr>
          <w:rFonts w:ascii="Arial" w:cs="Arial" w:eastAsia="Arial" w:hAnsi="Arial"/>
          <w:sz w:val="15"/>
          <w:szCs w:val="15"/>
          <w:color w:val="auto"/>
        </w:rPr>
      </w:pPr>
    </w:p>
    <w:p>
      <w:pPr>
        <w:ind w:left="1040" w:right="240" w:hanging="518"/>
        <w:spacing w:after="0" w:line="262" w:lineRule="auto"/>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90" w:lineRule="exact"/>
        <w:rPr>
          <w:rFonts w:ascii="Arial" w:cs="Arial" w:eastAsia="Arial" w:hAnsi="Arial"/>
          <w:sz w:val="15"/>
          <w:szCs w:val="15"/>
          <w:color w:val="auto"/>
        </w:rPr>
      </w:pPr>
    </w:p>
    <w:p>
      <w:pPr>
        <w:ind w:left="1040" w:right="200" w:hanging="518"/>
        <w:spacing w:after="0" w:line="262" w:lineRule="auto"/>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189" w:lineRule="exact"/>
        <w:rPr>
          <w:sz w:val="20"/>
          <w:szCs w:val="20"/>
          <w:color w:val="auto"/>
        </w:rPr>
      </w:pPr>
    </w:p>
    <w:p>
      <w:pPr>
        <w:ind w:firstLine="520"/>
        <w:spacing w:after="0" w:line="266"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48" w:lineRule="exact"/>
        <w:rPr>
          <w:sz w:val="20"/>
          <w:szCs w:val="20"/>
          <w:color w:val="auto"/>
        </w:rPr>
      </w:pPr>
    </w:p>
    <w:p>
      <w:pPr>
        <w:ind w:right="200" w:firstLine="520"/>
        <w:spacing w:after="0" w:line="252"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90" w:lineRule="exact"/>
        <w:rPr>
          <w:sz w:val="20"/>
          <w:szCs w:val="20"/>
          <w:color w:val="auto"/>
        </w:rPr>
      </w:pPr>
    </w:p>
    <w:p>
      <w:pPr>
        <w:ind w:right="20" w:firstLine="520"/>
        <w:spacing w:after="0" w:line="318" w:lineRule="auto"/>
        <w:rPr>
          <w:sz w:val="20"/>
          <w:szCs w:val="20"/>
          <w:color w:val="auto"/>
        </w:rPr>
      </w:pPr>
      <w:r>
        <w:rPr>
          <w:rFonts w:ascii="Arial" w:cs="Arial" w:eastAsia="Arial" w:hAnsi="Arial"/>
          <w:sz w:val="12"/>
          <w:szCs w:val="12"/>
          <w:color w:val="auto"/>
        </w:rPr>
        <w:t>Since our inception in October 2010, we have devoted substantially all of our resources to developing SER-109 and SER-287, researching SER-262, building our intellectual property portfolio, developing our supply chain, planning our business, raising capital and providing general and administrative support for these operations. All but two of our product candidates, SER-109 and SER-287, are still in pre-clinical development. We have completed our Phase 1b/2 clinical study of SER-109, our lead product candidate, but have not completed any other clinical trials for this or any other product candidate. We have not yet demonstrated our ability to successfully complete any Phase 2 clinical study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you make about our future success or viability may not be as accurate as they could be if we had a longer operating history.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2" w:lineRule="exact"/>
        <w:rPr>
          <w:sz w:val="20"/>
          <w:szCs w:val="20"/>
          <w:color w:val="auto"/>
        </w:rPr>
      </w:pPr>
    </w:p>
    <w:p>
      <w:pPr>
        <w:ind w:right="440"/>
        <w:spacing w:after="0" w:line="262" w:lineRule="auto"/>
        <w:rPr>
          <w:sz w:val="20"/>
          <w:szCs w:val="20"/>
          <w:color w:val="auto"/>
        </w:rPr>
      </w:pPr>
      <w:r>
        <w:rPr>
          <w:rFonts w:ascii="Arial" w:cs="Arial" w:eastAsia="Arial" w:hAnsi="Arial"/>
          <w:sz w:val="15"/>
          <w:szCs w:val="15"/>
          <w:b w:val="1"/>
          <w:bCs w:val="1"/>
          <w:i w:val="1"/>
          <w:iCs w:val="1"/>
          <w:color w:val="auto"/>
        </w:rPr>
        <w:t>We are very early in our development efforts and may not be successful in our efforts to use our microbiome therapeutics platform to build a pipeline of product candidates and develop marketable drugs.</w:t>
      </w:r>
    </w:p>
    <w:p>
      <w:pPr>
        <w:spacing w:after="0" w:line="61" w:lineRule="exact"/>
        <w:rPr>
          <w:sz w:val="20"/>
          <w:szCs w:val="20"/>
          <w:color w:val="auto"/>
        </w:rPr>
      </w:pPr>
    </w:p>
    <w:p>
      <w:pPr>
        <w:ind w:firstLine="520"/>
        <w:spacing w:after="0" w:line="318" w:lineRule="auto"/>
        <w:rPr>
          <w:sz w:val="20"/>
          <w:szCs w:val="20"/>
          <w:color w:val="auto"/>
        </w:rPr>
      </w:pPr>
      <w:r>
        <w:rPr>
          <w:rFonts w:ascii="Arial" w:cs="Arial" w:eastAsia="Arial" w:hAnsi="Arial"/>
          <w:sz w:val="12"/>
          <w:szCs w:val="12"/>
          <w:color w:val="auto"/>
        </w:rPr>
        <w:t>We are using our microbiome therapeutics platform to develop Ecobiotic microbiome therapeutics, with an initial focus on developing SER-109 for the prevention of further recurrences of CDI in patients suffering from recurrent CDI and SER-287 for the treatment of ulcerative colitis. While we believe our pre-clinical and Phase 1b/2 clinical data to date has validated our platform to a degree, we are at an early stage of development and our platform has not yet, and may never lead to, approvable or marketable drugs. We are developing additional product candidates that we intend to be used to prevent non-</w:t>
      </w:r>
      <w:r>
        <w:rPr>
          <w:rFonts w:ascii="Arial" w:cs="Arial" w:eastAsia="Arial" w:hAnsi="Arial"/>
          <w:sz w:val="12"/>
          <w:szCs w:val="12"/>
          <w:i w:val="1"/>
          <w:iCs w:val="1"/>
          <w:color w:val="auto"/>
        </w:rPr>
        <w:t>Clostridium difficile</w:t>
      </w:r>
      <w:r>
        <w:rPr>
          <w:rFonts w:ascii="Arial" w:cs="Arial" w:eastAsia="Arial" w:hAnsi="Arial"/>
          <w:sz w:val="12"/>
          <w:szCs w:val="12"/>
          <w:color w:val="auto"/>
        </w:rPr>
        <w:t xml:space="preserve"> infection and to treat inflammatory and metabolic diseases. We may have problems applying our technologies to these other areas, and our new product candidates may not be as effective in preventing infection and disease as our initial product candidates. Even if we are successful in identifying additional product candidates, they may not be suitable for clinical development, including as a result of their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33" w:lineRule="exact"/>
        <w:rPr>
          <w:sz w:val="20"/>
          <w:szCs w:val="20"/>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making arrangements with third-party manufacturers for, or establishing our own, commercial manufacturing capabilities;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entering into new collaborations throughout the development process as appropriate, from pre- clinical studies through to commercialization;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the medical community and third-party payors;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maintaining a continued acceptable safety profile of the products following approval;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products and technology.</w:t>
      </w:r>
    </w:p>
    <w:p>
      <w:pPr>
        <w:spacing w:after="0" w:line="178" w:lineRule="exact"/>
        <w:rPr>
          <w:sz w:val="20"/>
          <w:szCs w:val="20"/>
          <w:color w:val="auto"/>
        </w:rPr>
      </w:pPr>
    </w:p>
    <w:p>
      <w:pPr>
        <w:ind w:right="240" w:firstLine="520"/>
        <w:spacing w:after="0" w:line="262"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product revenue in future periods, which likely would result in significant harm to our financial position and adversely affect our stock price.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41" w:right="21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Our product candidates are based on microbiome therapeutics, which is an unproven approach to therapeutic intervention.</w:t>
      </w:r>
    </w:p>
    <w:p>
      <w:pPr>
        <w:spacing w:after="0" w:line="90" w:lineRule="exact"/>
        <w:rPr>
          <w:sz w:val="20"/>
          <w:szCs w:val="20"/>
          <w:color w:val="auto"/>
        </w:rPr>
      </w:pPr>
    </w:p>
    <w:p>
      <w:pPr>
        <w:ind w:right="60" w:firstLine="520"/>
        <w:spacing w:after="0" w:line="270" w:lineRule="auto"/>
        <w:rPr>
          <w:sz w:val="20"/>
          <w:szCs w:val="20"/>
          <w:color w:val="auto"/>
        </w:rPr>
      </w:pPr>
      <w:r>
        <w:rPr>
          <w:rFonts w:ascii="Arial" w:cs="Arial" w:eastAsia="Arial" w:hAnsi="Arial"/>
          <w:sz w:val="14"/>
          <w:szCs w:val="14"/>
          <w:color w:val="auto"/>
        </w:rPr>
        <w:t>All of our product candidates are based on microbiome therapy, a therapeutic approach that is designed to treat disease by restoring the function of a dysbiotic microbiome. We have not, nor to our knowledge has any other company, received regulatory approval for a therapeutic based on this approach. We cannot be certain that our approach will lead to the development of approvable or marketable products. In addition, our Ecobiotic microbiome therapeutics may have different effectiveness rates in various indications and in different geographical areas. Finally, the FDA or other regulatory agencies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w:t>
      </w:r>
    </w:p>
    <w:p>
      <w:pPr>
        <w:spacing w:after="0" w:line="145" w:lineRule="exact"/>
        <w:rPr>
          <w:sz w:val="20"/>
          <w:szCs w:val="20"/>
          <w:color w:val="auto"/>
        </w:rPr>
      </w:pPr>
    </w:p>
    <w:p>
      <w:pPr>
        <w:ind w:right="80" w:firstLine="520"/>
        <w:spacing w:after="0" w:line="248" w:lineRule="auto"/>
        <w:rPr>
          <w:sz w:val="20"/>
          <w:szCs w:val="20"/>
          <w:color w:val="auto"/>
        </w:rPr>
      </w:pPr>
      <w:r>
        <w:rPr>
          <w:rFonts w:ascii="Arial" w:cs="Arial" w:eastAsia="Arial" w:hAnsi="Arial"/>
          <w:sz w:val="15"/>
          <w:szCs w:val="15"/>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raw materials or products, which could delay the development or commercialization of our product.</w:t>
      </w:r>
    </w:p>
    <w:p>
      <w:pPr>
        <w:spacing w:after="0" w:line="246" w:lineRule="exact"/>
        <w:rPr>
          <w:sz w:val="20"/>
          <w:szCs w:val="20"/>
          <w:color w:val="auto"/>
        </w:rPr>
      </w:pPr>
    </w:p>
    <w:p>
      <w:pPr>
        <w:ind w:right="340"/>
        <w:spacing w:after="0" w:line="262" w:lineRule="auto"/>
        <w:rPr>
          <w:sz w:val="20"/>
          <w:szCs w:val="20"/>
          <w:color w:val="auto"/>
        </w:rPr>
      </w:pPr>
      <w:r>
        <w:rPr>
          <w:rFonts w:ascii="Arial" w:cs="Arial" w:eastAsia="Arial" w:hAnsi="Arial"/>
          <w:sz w:val="15"/>
          <w:szCs w:val="15"/>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61" w:lineRule="exact"/>
        <w:rPr>
          <w:sz w:val="20"/>
          <w:szCs w:val="20"/>
          <w:color w:val="auto"/>
        </w:rPr>
      </w:pPr>
    </w:p>
    <w:p>
      <w:pPr>
        <w:ind w:firstLine="520"/>
        <w:spacing w:after="0" w:line="314" w:lineRule="auto"/>
        <w:rPr>
          <w:sz w:val="20"/>
          <w:szCs w:val="20"/>
          <w:color w:val="auto"/>
        </w:rPr>
      </w:pPr>
      <w:r>
        <w:rPr>
          <w:rFonts w:ascii="Arial" w:cs="Arial" w:eastAsia="Arial" w:hAnsi="Arial"/>
          <w:sz w:val="12"/>
          <w:szCs w:val="12"/>
          <w:color w:val="auto"/>
        </w:rPr>
        <w:t>We dosed the first patient in a Phase 2 clinical study of our lead product, SER-109, in May 2015. In December 2015, we initiated a Phase 1b clinical trial evaluating SER-287 in mild-to-moderate ulcerative colitis.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failed clinical trial can occur at any stage of testing. The outcome of pre-clinical testing and early clinical trials may not be predictive of the success of later clinical trials, and interim results of a clinical trial do not necessarily predict final results. For example, in anticipation of our Phase 2 clinical study of SER-109, we have refined the formulation of the inner capsule and changed the manufacturing process that we expect to use for commercial production. This formulation has not previously been clinically tested. The Phase 2 clinical study is the first clinical trial using this formulation and we cannot assure you that the results of this new formulation will be consistent with those experienced in the Phase 1b/2 clinical study of SER-109.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300" w:lineRule="exact"/>
        <w:rPr>
          <w:sz w:val="20"/>
          <w:szCs w:val="20"/>
          <w:color w:val="auto"/>
        </w:rPr>
      </w:pPr>
    </w:p>
    <w:p>
      <w:pPr>
        <w:ind w:right="80" w:firstLine="520"/>
        <w:spacing w:after="0" w:line="268" w:lineRule="auto"/>
        <w:rPr>
          <w:sz w:val="20"/>
          <w:szCs w:val="20"/>
          <w:color w:val="auto"/>
        </w:rPr>
      </w:pPr>
      <w:r>
        <w:rPr>
          <w:rFonts w:ascii="Arial" w:cs="Arial" w:eastAsia="Arial" w:hAnsi="Arial"/>
          <w:sz w:val="14"/>
          <w:szCs w:val="14"/>
          <w:color w:val="auto"/>
        </w:rPr>
        <w:t>In addition, we cannot be certain as to what type and how many clinical trials the FDA, or other regulators, will require us to conduct before we may successfully gain approval to market SER-109 or any of our other product candidates.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In the course of our discussions with the FDA, the FDA has indicated that we may be required to conduct more than one Phase 3 clinical trial of SER-109 in order to gain approval. Additional clinical trials could cause us to incur significant development costs, delay or prevent the commercialization of SER-109 or otherwise adversely affect our business.</w:t>
      </w:r>
    </w:p>
    <w:p>
      <w:pPr>
        <w:spacing w:after="0" w:line="146" w:lineRule="exact"/>
        <w:rPr>
          <w:sz w:val="20"/>
          <w:szCs w:val="20"/>
          <w:color w:val="auto"/>
        </w:rPr>
      </w:pPr>
    </w:p>
    <w:p>
      <w:pPr>
        <w:ind w:right="80" w:firstLine="520"/>
        <w:spacing w:after="0" w:line="262"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or commercialize our product candidates, including:</w:t>
      </w:r>
    </w:p>
    <w:p>
      <w:pPr>
        <w:spacing w:after="0" w:line="61" w:lineRule="exact"/>
        <w:rPr>
          <w:sz w:val="20"/>
          <w:szCs w:val="20"/>
          <w:color w:val="auto"/>
        </w:rPr>
      </w:pPr>
    </w:p>
    <w:p>
      <w:pPr>
        <w:ind w:left="1040" w:hanging="518"/>
        <w:spacing w:after="0"/>
        <w:tabs>
          <w:tab w:leader="none" w:pos="10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regulators or institutional review boards may not authorize us or our investigators to commence a clinical trial or conduct a clinical trial at a prospective trial site;</w:t>
      </w:r>
    </w:p>
    <w:p>
      <w:pPr>
        <w:spacing w:after="0" w:line="101" w:lineRule="exact"/>
        <w:rPr>
          <w:rFonts w:ascii="Arial" w:cs="Arial" w:eastAsia="Arial" w:hAnsi="Arial"/>
          <w:sz w:val="14"/>
          <w:szCs w:val="14"/>
          <w:color w:val="auto"/>
        </w:rPr>
      </w:pPr>
    </w:p>
    <w:p>
      <w:pPr>
        <w:ind w:left="1040" w:hanging="518"/>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clinical trial contracts or clinical trial protocols with prospective trial sites;</w:t>
      </w:r>
    </w:p>
    <w:p>
      <w:pPr>
        <w:spacing w:after="0" w:line="90" w:lineRule="exact"/>
        <w:rPr>
          <w:rFonts w:ascii="Arial" w:cs="Arial" w:eastAsia="Arial" w:hAnsi="Arial"/>
          <w:sz w:val="15"/>
          <w:szCs w:val="15"/>
          <w:color w:val="auto"/>
        </w:rPr>
      </w:pPr>
    </w:p>
    <w:p>
      <w:pPr>
        <w:ind w:left="1040" w:right="60" w:hanging="518"/>
        <w:spacing w:after="0" w:line="262"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41" w:right="219" w:bottom="1440" w:gutter="0" w:footer="0" w:header="0"/>
        </w:sectPr>
      </w:pPr>
    </w:p>
    <w:bookmarkStart w:id="38" w:name="page39"/>
    <w:bookmarkEnd w:id="38"/>
    <w:p>
      <w:pPr>
        <w:ind w:left="1040" w:right="20" w:hanging="518"/>
        <w:spacing w:after="0" w:line="262" w:lineRule="auto"/>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90" w:lineRule="exact"/>
        <w:rPr>
          <w:rFonts w:ascii="Arial" w:cs="Arial" w:eastAsia="Arial" w:hAnsi="Arial"/>
          <w:sz w:val="15"/>
          <w:szCs w:val="15"/>
          <w:color w:val="auto"/>
        </w:rPr>
      </w:pPr>
    </w:p>
    <w:p>
      <w:pPr>
        <w:ind w:left="1040" w:right="380" w:hanging="518"/>
        <w:spacing w:after="0" w:line="262" w:lineRule="auto"/>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60" w:lineRule="exact"/>
        <w:rPr>
          <w:rFonts w:ascii="Arial" w:cs="Arial" w:eastAsia="Arial" w:hAnsi="Arial"/>
          <w:sz w:val="15"/>
          <w:szCs w:val="15"/>
          <w:color w:val="auto"/>
        </w:rPr>
      </w:pPr>
    </w:p>
    <w:p>
      <w:pPr>
        <w:ind w:left="1040" w:right="500" w:hanging="518"/>
        <w:spacing w:after="0" w:line="262" w:lineRule="auto"/>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anticipate;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w:t>
      </w:r>
    </w:p>
    <w:p>
      <w:pPr>
        <w:spacing w:after="0" w:line="101" w:lineRule="exact"/>
        <w:rPr>
          <w:rFonts w:ascii="Arial" w:cs="Arial" w:eastAsia="Arial" w:hAnsi="Arial"/>
          <w:sz w:val="14"/>
          <w:szCs w:val="14"/>
          <w:color w:val="auto"/>
        </w:rPr>
      </w:pPr>
    </w:p>
    <w:p>
      <w:pPr>
        <w:ind w:left="1040" w:hanging="518"/>
        <w:spacing w:after="0"/>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anticipate; and</w:t>
      </w:r>
    </w:p>
    <w:p>
      <w:pPr>
        <w:spacing w:after="0" w:line="90" w:lineRule="exact"/>
        <w:rPr>
          <w:rFonts w:ascii="Arial" w:cs="Arial" w:eastAsia="Arial" w:hAnsi="Arial"/>
          <w:sz w:val="15"/>
          <w:szCs w:val="15"/>
          <w:color w:val="auto"/>
        </w:rPr>
      </w:pPr>
    </w:p>
    <w:p>
      <w:pPr>
        <w:ind w:left="1040" w:right="260" w:hanging="518"/>
        <w:spacing w:after="0" w:line="262" w:lineRule="auto"/>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regarding trials managed by any future collaborators, our collaborators may face any of the above issues, and may conduct clinical trials in ways they view as advantageous to them but potentially suboptimal for us.</w:t>
      </w:r>
    </w:p>
    <w:p>
      <w:pPr>
        <w:spacing w:after="0" w:line="148" w:lineRule="exact"/>
        <w:rPr>
          <w:sz w:val="20"/>
          <w:szCs w:val="20"/>
          <w:color w:val="auto"/>
        </w:rPr>
      </w:pPr>
    </w:p>
    <w:p>
      <w:pPr>
        <w:ind w:right="320" w:firstLine="520"/>
        <w:spacing w:after="0" w:line="380" w:lineRule="auto"/>
        <w:rPr>
          <w:sz w:val="20"/>
          <w:szCs w:val="20"/>
          <w:color w:val="auto"/>
        </w:rPr>
      </w:pPr>
      <w:r>
        <w:rPr>
          <w:rFonts w:ascii="Arial" w:cs="Arial" w:eastAsia="Arial" w:hAnsi="Arial"/>
          <w:sz w:val="12"/>
          <w:szCs w:val="12"/>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 w:lineRule="exact"/>
        <w:rPr>
          <w:sz w:val="20"/>
          <w:szCs w:val="20"/>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lose the support of current or any future collaborators, requiring us to bear more of the burden of development of certain compounds;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we intend or desire;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be subject to increased pricing pressure ; or</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have the product removed from the market after obtaining marketing approval.</w:t>
      </w:r>
    </w:p>
    <w:p>
      <w:pPr>
        <w:spacing w:after="0" w:line="178"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We completed our Phase 1b/2 clinical study of SER-109 in 2014 and dosed the first patient in a Phase 2 clinical study for this product candidate in May 2015. Although most clinical research performed in the United States must be authorized in advance by the FDA under its investigational new drug application, or IND, regulations, we did not conduct our Phase 1b/2 clinical study under an IND pursuant to the FDA’s exercise of enforcement discretion with regard to IND requirements for use of fecal microbiota for transplantation to treat CDI not responsive to standard therapies. Although the FDA provided confirmation that it intends to exercise enforcement discretion with respect to our Phase 1b/2 clinical study of SER-109, it stated that continued clinical evaluation of SER-109 will require an IND. In April 2015, the FDA authorized the conduct of our Phase 2 clinical study of SER-109 under an IND. We intend to conduct all future clinical studies of SER-109 under this IND. Unlike with SER-109, we expect that the FDA will require an IND before we initiate clinical testing of our other product candidates and may also require us to conduct more extensive pre-clinical tests prior to the start of clinical trials than were required for SER-109.</w:t>
      </w:r>
    </w:p>
    <w:p>
      <w:pPr>
        <w:spacing w:after="0" w:line="146"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Our product development costs will increase if we experience delays in clinical testing or marketing approvals. We do not know whether any of our pre-clinical studies or clinical trials will begin as planned, will need to be restructured or will be completed on schedule, or at all. Significant pre- 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i w:val="1"/>
          <w:iCs w:val="1"/>
          <w:color w:val="auto"/>
        </w:rPr>
        <w:t>If we experience delays or difficulties in the enrollment of patients in clinical trials, our receipt of necessary regulatory approvals could be delayed or prevented.</w:t>
      </w:r>
    </w:p>
    <w:p>
      <w:pPr>
        <w:spacing w:after="0" w:line="90"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are developing our lead product candidate, SER-109, to prevent further recurrences of CDI in patients suffering from recurrent CDI. We estimate the addressable population of patients with recurrent CDI to be between 85,000 and 110,000 patients per year in the United States, and accordingly, there is a limited number of patients from which to draw for clinical studies.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Patient enrollment is also affected by other factors including:</w:t>
      </w:r>
    </w:p>
    <w:p>
      <w:pPr>
        <w:spacing w:after="0" w:line="90" w:lineRule="exact"/>
        <w:rPr>
          <w:sz w:val="20"/>
          <w:szCs w:val="20"/>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efforts to facilitate timely enrollment in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payments for conducting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burden, or perceived burden, of the clinical study;</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78" w:lineRule="exact"/>
        <w:rPr>
          <w:sz w:val="20"/>
          <w:szCs w:val="20"/>
          <w:color w:val="auto"/>
        </w:rPr>
      </w:pPr>
    </w:p>
    <w:p>
      <w:pPr>
        <w:ind w:right="60" w:firstLine="520"/>
        <w:spacing w:after="0" w:line="252"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244"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w:t>
      </w:r>
    </w:p>
    <w:p>
      <w:pPr>
        <w:spacing w:after="0" w:line="61" w:lineRule="exact"/>
        <w:rPr>
          <w:sz w:val="20"/>
          <w:szCs w:val="20"/>
          <w:color w:val="auto"/>
        </w:rPr>
      </w:pPr>
    </w:p>
    <w:p>
      <w:pPr>
        <w:ind w:right="20" w:firstLine="520"/>
        <w:spacing w:after="0" w:line="265"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in any jurisdiction will prevent us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50" w:lineRule="exact"/>
        <w:rPr>
          <w:sz w:val="20"/>
          <w:szCs w:val="20"/>
          <w:color w:val="auto"/>
        </w:rPr>
      </w:pPr>
    </w:p>
    <w:p>
      <w:pPr>
        <w:ind w:right="20" w:firstLine="520"/>
        <w:spacing w:after="0" w:line="268" w:lineRule="auto"/>
        <w:rPr>
          <w:sz w:val="20"/>
          <w:szCs w:val="20"/>
          <w:color w:val="auto"/>
        </w:rPr>
      </w:pPr>
      <w:r>
        <w:rPr>
          <w:rFonts w:ascii="Arial" w:cs="Arial" w:eastAsia="Arial" w:hAnsi="Arial"/>
          <w:sz w:val="14"/>
          <w:szCs w:val="14"/>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Ecobiotic microbiome therapeutics.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agency’s requirement that we conduct additional pre-clinical studies and clinical trials; changes in marketing approval policies during the development period;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41" w:right="219" w:bottom="1440" w:gutter="0" w:footer="0" w:header="0"/>
        </w:sectPr>
      </w:pPr>
    </w:p>
    <w:bookmarkStart w:id="40" w:name="page41"/>
    <w:bookmarkEnd w:id="40"/>
    <w:p>
      <w:pPr>
        <w:ind w:right="40"/>
        <w:spacing w:after="0" w:line="325" w:lineRule="auto"/>
        <w:rPr>
          <w:sz w:val="20"/>
          <w:szCs w:val="20"/>
          <w:color w:val="auto"/>
        </w:rPr>
      </w:pPr>
      <w:r>
        <w:rPr>
          <w:rFonts w:ascii="Arial" w:cs="Arial" w:eastAsia="Arial" w:hAnsi="Arial"/>
          <w:sz w:val="12"/>
          <w:szCs w:val="12"/>
          <w:color w:val="auto"/>
        </w:rPr>
        <w:t>changes in or the enactment of additional statutes or regulations, or changes in regulatory review process for each submitted product application; or the regulatory authority’s failure to approve the manufacturing processes or third-party manufacturers with which we contract. Regulatory authorities have substantial discretion in the approval process and may refuse to accept a marketing application as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116" w:lineRule="exact"/>
        <w:rPr>
          <w:sz w:val="20"/>
          <w:szCs w:val="20"/>
          <w:color w:val="auto"/>
        </w:rPr>
      </w:pPr>
    </w:p>
    <w:p>
      <w:pPr>
        <w:ind w:right="80" w:firstLine="520"/>
        <w:spacing w:after="0" w:line="332" w:lineRule="auto"/>
        <w:rPr>
          <w:sz w:val="20"/>
          <w:szCs w:val="20"/>
          <w:color w:val="auto"/>
        </w:rPr>
      </w:pPr>
      <w:r>
        <w:rPr>
          <w:rFonts w:ascii="Arial" w:cs="Arial" w:eastAsia="Arial" w:hAnsi="Arial"/>
          <w:sz w:val="12"/>
          <w:szCs w:val="12"/>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agency approval for their products. The FDA or foreign regulatory authorities may disagree with our trial design and our interpretation of data from nonclinical and clinical studies. Upon the FDA’s review of data from any pivotal trial, it may request that the sponsor conduct additional analyses of the data and, if it believes the data are not satisfactory, could advise the sponsor to delay filing a marketing application.</w:t>
      </w:r>
    </w:p>
    <w:p>
      <w:pPr>
        <w:spacing w:after="0" w:line="112" w:lineRule="exact"/>
        <w:rPr>
          <w:sz w:val="20"/>
          <w:szCs w:val="20"/>
          <w:color w:val="auto"/>
        </w:rPr>
      </w:pPr>
    </w:p>
    <w:p>
      <w:pPr>
        <w:ind w:right="140" w:firstLine="520"/>
        <w:spacing w:after="0" w:line="247" w:lineRule="auto"/>
        <w:rPr>
          <w:sz w:val="20"/>
          <w:szCs w:val="20"/>
          <w:color w:val="auto"/>
        </w:rPr>
      </w:pPr>
      <w:r>
        <w:rPr>
          <w:rFonts w:ascii="Arial" w:cs="Arial" w:eastAsia="Arial" w:hAnsi="Arial"/>
          <w:sz w:val="15"/>
          <w:szCs w:val="15"/>
          <w:color w:val="auto"/>
        </w:rPr>
        <w:t>Even if we eventually complete clinical testing and receive approval of a biologics license application, or BLA, or foreign marketing authorization for one of our product candidates, the FDA or the applicable foreign regulatory agency may grant approval contingent on the performance of costly additional clinical trials which may be required after approval. The FDA or the applicable foreign regulatory agency may also approve our therapeutic candidates for a more limited indication and/or a narrower patient population than we originally request, and the FDA, or applicable foreign regulatory agency, may not approve the labeling that we believe is necessary or desirable for the successful commercialization of our therapeutic candidates. Any delay in obtaining, or inability to obtain, applicable regulatory approval would delay or prevent commercialization of our therapeutic candidates and would materially adversely impact our business and prospects.</w:t>
      </w:r>
    </w:p>
    <w:p>
      <w:pPr>
        <w:spacing w:after="0" w:line="160" w:lineRule="exact"/>
        <w:rPr>
          <w:sz w:val="20"/>
          <w:szCs w:val="20"/>
          <w:color w:val="auto"/>
        </w:rPr>
      </w:pPr>
    </w:p>
    <w:p>
      <w:pPr>
        <w:ind w:right="140" w:firstLine="520"/>
        <w:spacing w:after="0" w:line="298" w:lineRule="auto"/>
        <w:rPr>
          <w:sz w:val="20"/>
          <w:szCs w:val="20"/>
          <w:color w:val="auto"/>
        </w:rPr>
      </w:pPr>
      <w:r>
        <w:rPr>
          <w:rFonts w:ascii="Arial" w:cs="Arial" w:eastAsia="Arial" w:hAnsi="Arial"/>
          <w:sz w:val="14"/>
          <w:szCs w:val="14"/>
          <w:color w:val="auto"/>
        </w:rPr>
        <w:t>The development of therapeutic products targeting the underlying biology of the human microbiome is an emerging field, and it is possible that the FDA and other regulatory authorities could issue regulations or new policies in the future affecting our Ecobiotic microbiome therapeutics that could adversely affect our product candidates.</w:t>
      </w:r>
    </w:p>
    <w:p>
      <w:pPr>
        <w:spacing w:after="0" w:line="125" w:lineRule="exact"/>
        <w:rPr>
          <w:sz w:val="20"/>
          <w:szCs w:val="20"/>
          <w:color w:val="auto"/>
        </w:rPr>
      </w:pPr>
    </w:p>
    <w:p>
      <w:pPr>
        <w:ind w:right="360" w:firstLine="520"/>
        <w:spacing w:after="0" w:line="262"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Fast Track designation by the FDA may not actually lead to a faster development or regulatory review or approval process.</w:t>
      </w:r>
    </w:p>
    <w:p>
      <w:pPr>
        <w:spacing w:after="0" w:line="90" w:lineRule="exact"/>
        <w:rPr>
          <w:sz w:val="20"/>
          <w:szCs w:val="20"/>
          <w:color w:val="auto"/>
        </w:rPr>
      </w:pPr>
    </w:p>
    <w:p>
      <w:pPr>
        <w:ind w:right="80" w:firstLine="520"/>
        <w:spacing w:after="0" w:line="246" w:lineRule="auto"/>
        <w:rPr>
          <w:sz w:val="20"/>
          <w:szCs w:val="20"/>
          <w:color w:val="auto"/>
        </w:rPr>
      </w:pPr>
      <w:r>
        <w:rPr>
          <w:rFonts w:ascii="Arial" w:cs="Arial" w:eastAsia="Arial" w:hAnsi="Arial"/>
          <w:sz w:val="15"/>
          <w:szCs w:val="15"/>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250" w:lineRule="exact"/>
        <w:rPr>
          <w:sz w:val="20"/>
          <w:szCs w:val="20"/>
          <w:color w:val="auto"/>
        </w:rPr>
      </w:pPr>
    </w:p>
    <w:p>
      <w:pPr>
        <w:ind w:right="540"/>
        <w:spacing w:after="0" w:line="262" w:lineRule="auto"/>
        <w:rPr>
          <w:sz w:val="20"/>
          <w:szCs w:val="20"/>
          <w:color w:val="auto"/>
        </w:rPr>
      </w:pPr>
      <w:r>
        <w:rPr>
          <w:rFonts w:ascii="Arial" w:cs="Arial" w:eastAsia="Arial" w:hAnsi="Arial"/>
          <w:sz w:val="15"/>
          <w:szCs w:val="15"/>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61" w:lineRule="exact"/>
        <w:rPr>
          <w:sz w:val="20"/>
          <w:szCs w:val="20"/>
          <w:color w:val="auto"/>
        </w:rPr>
      </w:pPr>
    </w:p>
    <w:p>
      <w:pPr>
        <w:ind w:firstLine="520"/>
        <w:spacing w:after="0" w:line="268" w:lineRule="auto"/>
        <w:rPr>
          <w:sz w:val="20"/>
          <w:szCs w:val="20"/>
          <w:color w:val="auto"/>
        </w:rPr>
      </w:pPr>
      <w:r>
        <w:rPr>
          <w:rFonts w:ascii="Arial" w:cs="Arial" w:eastAsia="Arial" w:hAnsi="Arial"/>
          <w:sz w:val="14"/>
          <w:szCs w:val="14"/>
          <w:color w:val="auto"/>
        </w:rPr>
        <w:t>We have received Breakthrough Therapy designation for SER-109,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 meaning that the agency may review portions of the marketing application before the sponsor submits the complete application, as well as priority review, where the agency aims to act on the application within eight months.</w:t>
      </w:r>
    </w:p>
    <w:p>
      <w:pPr>
        <w:spacing w:after="0" w:line="146" w:lineRule="exact"/>
        <w:rPr>
          <w:sz w:val="20"/>
          <w:szCs w:val="20"/>
          <w:color w:val="auto"/>
        </w:rPr>
      </w:pPr>
    </w:p>
    <w:p>
      <w:pPr>
        <w:ind w:right="600" w:firstLine="520"/>
        <w:spacing w:after="0" w:line="262"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41" w:name="page42"/>
    <w:bookmarkEnd w:id="41"/>
    <w:p>
      <w:pPr>
        <w:ind w:right="40"/>
        <w:spacing w:after="0" w:line="321" w:lineRule="auto"/>
        <w:rPr>
          <w:sz w:val="20"/>
          <w:szCs w:val="20"/>
          <w:color w:val="auto"/>
        </w:rPr>
      </w:pPr>
      <w:r>
        <w:rPr>
          <w:rFonts w:ascii="Arial" w:cs="Arial" w:eastAsia="Arial" w:hAnsi="Arial"/>
          <w:sz w:val="12"/>
          <w:szCs w:val="12"/>
          <w:color w:val="auto"/>
        </w:rPr>
        <w:t>such designation. The availability of Breakthrough Therapy designation was established recently with the passage of the Food and Drug Administration Safety and Innovation Act of 2012, and the FDA has only recently released additional guidance as to the criteria it uses in designating drugs as breakthrough therapies. As a result, we cannot be sure that our evaluation of our product candidates as qualifying for Breakthrough Therapy designation will meet the FDA’s expectations. In any event,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118" w:lineRule="exact"/>
        <w:rPr>
          <w:sz w:val="20"/>
          <w:szCs w:val="20"/>
          <w:color w:val="auto"/>
        </w:rPr>
      </w:pPr>
    </w:p>
    <w:p>
      <w:pPr>
        <w:ind w:right="260" w:firstLine="520"/>
        <w:spacing w:after="0" w:line="332" w:lineRule="auto"/>
        <w:rPr>
          <w:sz w:val="20"/>
          <w:szCs w:val="20"/>
          <w:color w:val="auto"/>
        </w:rPr>
      </w:pPr>
      <w:r>
        <w:rPr>
          <w:rFonts w:ascii="Arial" w:cs="Arial" w:eastAsia="Arial" w:hAnsi="Arial"/>
          <w:sz w:val="12"/>
          <w:szCs w:val="12"/>
          <w:b w:val="1"/>
          <w:bCs w:val="1"/>
          <w:i w:val="1"/>
          <w:iCs w:val="1"/>
          <w:color w:val="auto"/>
        </w:rPr>
        <w:t>We may seek orphan drug designation for some of our product candidates, but may not be able to obtain it.</w:t>
      </w:r>
      <w:r>
        <w:rPr>
          <w:rFonts w:ascii="Arial" w:cs="Arial" w:eastAsia="Arial" w:hAnsi="Arial"/>
          <w:sz w:val="12"/>
          <w:szCs w:val="12"/>
          <w:color w:val="auto"/>
        </w:rPr>
        <w:t>We have obtained orphan drug designation for SER-109 for recurrent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C.</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 xml:space="preserve">difficile </w:t>
      </w:r>
      <w:r>
        <w:rPr>
          <w:rFonts w:ascii="Arial" w:cs="Arial" w:eastAsia="Arial" w:hAnsi="Arial"/>
          <w:sz w:val="12"/>
          <w:szCs w:val="12"/>
          <w:color w:val="auto"/>
        </w:rPr>
        <w:t>infection and may seek orphan drug designation and exclusivity for some of our future product candidates. Regulatory authorities in some jurisdictions, including the United States and</w:t>
      </w:r>
      <w:r>
        <w:rPr>
          <w:rFonts w:ascii="Arial" w:cs="Arial" w:eastAsia="Arial" w:hAnsi="Arial"/>
          <w:sz w:val="12"/>
          <w:szCs w:val="12"/>
          <w:i w:val="1"/>
          <w:iCs w:val="1"/>
          <w:color w:val="auto"/>
        </w:rPr>
        <w:t xml:space="preserve"> </w:t>
      </w:r>
      <w:r>
        <w:rPr>
          <w:rFonts w:ascii="Arial" w:cs="Arial" w:eastAsia="Arial" w:hAnsi="Arial"/>
          <w:sz w:val="12"/>
          <w:szCs w:val="12"/>
          <w:color w:val="auto"/>
        </w:rPr>
        <w:t>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w:t>
      </w:r>
    </w:p>
    <w:p>
      <w:pPr>
        <w:spacing w:after="0" w:line="112"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a sufficient quantity of the drug or biologic to meet the needs of patients with the rare disease or condition.</w:t>
      </w:r>
    </w:p>
    <w:p>
      <w:pPr>
        <w:spacing w:after="0" w:line="116" w:lineRule="exact"/>
        <w:rPr>
          <w:sz w:val="20"/>
          <w:szCs w:val="20"/>
          <w:color w:val="auto"/>
        </w:rPr>
      </w:pPr>
    </w:p>
    <w:p>
      <w:pPr>
        <w:jc w:val="both"/>
        <w:ind w:right="40" w:firstLine="520"/>
        <w:spacing w:after="0" w:line="252" w:lineRule="auto"/>
        <w:rPr>
          <w:sz w:val="20"/>
          <w:szCs w:val="20"/>
          <w:color w:val="auto"/>
        </w:rPr>
      </w:pPr>
      <w:r>
        <w:rPr>
          <w:rFonts w:ascii="Arial" w:cs="Arial" w:eastAsia="Arial" w:hAnsi="Arial"/>
          <w:sz w:val="15"/>
          <w:szCs w:val="15"/>
          <w:color w:val="auto"/>
        </w:rPr>
        <w:t>Orphan drug exclusivity for a product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2" w:lineRule="exact"/>
        <w:rPr>
          <w:sz w:val="20"/>
          <w:szCs w:val="20"/>
          <w:color w:val="auto"/>
        </w:rPr>
      </w:pPr>
    </w:p>
    <w:p>
      <w:pPr>
        <w:ind w:right="240" w:firstLine="520"/>
        <w:spacing w:after="0" w:line="252" w:lineRule="auto"/>
        <w:rPr>
          <w:sz w:val="20"/>
          <w:szCs w:val="20"/>
          <w:color w:val="auto"/>
        </w:rPr>
      </w:pPr>
      <w:r>
        <w:rPr>
          <w:rFonts w:ascii="Arial" w:cs="Arial" w:eastAsia="Arial" w:hAnsi="Arial"/>
          <w:sz w:val="15"/>
          <w:szCs w:val="15"/>
          <w:b w:val="1"/>
          <w:bCs w:val="1"/>
          <w:i w:val="1"/>
          <w:iCs w:val="1"/>
          <w:color w:val="auto"/>
        </w:rPr>
        <w:t>The Collaboration and License Agreement, or the License Agreement, with Nestec Ltd., or NHS, is important to our business. If we or NHS fail to adequately perform under the License Agreement, or if we or NHS terminate the License Agreement, the development and commercialization of our CDI and IBD product candidates, including SER-109 and SER-287, would be delayed or terminated and our business would be adversely affected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License Agreement may be terminated:</w:t>
      </w:r>
    </w:p>
    <w:p>
      <w:pPr>
        <w:spacing w:after="0" w:line="178" w:lineRule="exact"/>
        <w:rPr>
          <w:sz w:val="20"/>
          <w:szCs w:val="20"/>
          <w:color w:val="auto"/>
        </w:rPr>
      </w:pPr>
    </w:p>
    <w:p>
      <w:pPr>
        <w:ind w:left="1280" w:hanging="376"/>
        <w:spacing w:after="0" w:line="251" w:lineRule="auto"/>
        <w:tabs>
          <w:tab w:leader="none" w:pos="1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by NHS in the event of serious safety issues related to SER-109, SER-262, SER-287, SER-301 or other specific products added under the License Agreement, or, collectively, the NHS Collaboration Products;</w:t>
      </w:r>
    </w:p>
    <w:p>
      <w:pPr>
        <w:ind w:left="1280" w:hanging="376"/>
        <w:spacing w:after="0"/>
        <w:tabs>
          <w:tab w:leader="none" w:pos="1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by us if NHS challenges the validity or enforceability of any of our licensed patents; and</w:t>
      </w:r>
    </w:p>
    <w:p>
      <w:pPr>
        <w:spacing w:after="0" w:line="2" w:lineRule="exact"/>
        <w:rPr>
          <w:rFonts w:ascii="Arial" w:cs="Arial" w:eastAsia="Arial" w:hAnsi="Arial"/>
          <w:sz w:val="15"/>
          <w:szCs w:val="15"/>
          <w:color w:val="auto"/>
        </w:rPr>
      </w:pPr>
    </w:p>
    <w:p>
      <w:pPr>
        <w:ind w:left="1280" w:hanging="376"/>
        <w:spacing w:after="0"/>
        <w:tabs>
          <w:tab w:leader="none" w:pos="1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by either NHS or us in the event of the other party’s uncured material breach or insolvency.</w:t>
      </w:r>
    </w:p>
    <w:p>
      <w:pPr>
        <w:spacing w:after="0" w:line="167" w:lineRule="exact"/>
        <w:rPr>
          <w:sz w:val="20"/>
          <w:szCs w:val="20"/>
          <w:color w:val="auto"/>
        </w:rPr>
      </w:pPr>
    </w:p>
    <w:p>
      <w:pPr>
        <w:ind w:right="20" w:firstLine="764"/>
        <w:spacing w:after="0" w:line="268" w:lineRule="auto"/>
        <w:rPr>
          <w:sz w:val="20"/>
          <w:szCs w:val="20"/>
          <w:color w:val="auto"/>
        </w:rPr>
      </w:pPr>
      <w:r>
        <w:rPr>
          <w:rFonts w:ascii="Arial" w:cs="Arial" w:eastAsia="Arial" w:hAnsi="Arial"/>
          <w:sz w:val="14"/>
          <w:szCs w:val="14"/>
          <w:color w:val="auto"/>
        </w:rPr>
        <w:t>Upon termination of the License Agreement, all licenses granted to NHS by us will terminate, and all rights in and to the NHS Collaboration Products held by NHS will revert to us. If we commit a material breach of the License Agreement, NHS may elect not to terminate the License Agreement but instead apply specified adjustments to its payment obligations and other terms and conditions of the License Agreement. If NHS were to make such adjustments, the funding from and benefits of the License Agreement could be diminished, which could adversely affect our financial condition. Unless the License Agreement is terminated by us for NHS’ uncured material breach, upon termination of the License Agreement, NHS will be eligible to receive post-termination royalties from us until NHS has recouped certain development costs related to the NHS Collaboration Products and specified percentages of any milestone payments paid to us under the License Agreement prior to termination, which could have a material adverse effect on our business.</w:t>
      </w:r>
    </w:p>
    <w:p>
      <w:pPr>
        <w:spacing w:after="0" w:line="146" w:lineRule="exact"/>
        <w:rPr>
          <w:sz w:val="20"/>
          <w:szCs w:val="20"/>
          <w:color w:val="auto"/>
        </w:rPr>
      </w:pPr>
    </w:p>
    <w:p>
      <w:pPr>
        <w:ind w:right="100" w:firstLine="764"/>
        <w:spacing w:after="0" w:line="262" w:lineRule="auto"/>
        <w:rPr>
          <w:sz w:val="20"/>
          <w:szCs w:val="20"/>
          <w:color w:val="auto"/>
        </w:rPr>
      </w:pPr>
      <w:r>
        <w:rPr>
          <w:rFonts w:ascii="Arial" w:cs="Arial" w:eastAsia="Arial" w:hAnsi="Arial"/>
          <w:sz w:val="15"/>
          <w:szCs w:val="15"/>
          <w:color w:val="auto"/>
        </w:rPr>
        <w:t>Termination of the License Agreement could cause significant delays in our product development and commercialization efforts that could prevent us from commercializing our CDI and IBD product candidates, including SER-109 and SER-287, outside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42" w:name="page43"/>
    <w:bookmarkEnd w:id="42"/>
    <w:p>
      <w:pPr>
        <w:ind w:right="120"/>
        <w:spacing w:after="0" w:line="249" w:lineRule="auto"/>
        <w:rPr>
          <w:sz w:val="20"/>
          <w:szCs w:val="20"/>
          <w:color w:val="auto"/>
        </w:rPr>
      </w:pPr>
      <w:r>
        <w:rPr>
          <w:rFonts w:ascii="Arial" w:cs="Arial" w:eastAsia="Arial" w:hAnsi="Arial"/>
          <w:sz w:val="15"/>
          <w:szCs w:val="15"/>
          <w:color w:val="auto"/>
        </w:rPr>
        <w:t>the United States and Canada, without first expanding our internal capabilities or entering into another agreement with a third party. Any alternative collaboration or license could also be on less favorable terms to us. In addition, under the License Agreement, NHS agreed to provide funding for certain clinical development activities. If the License Agreement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159" w:lineRule="exact"/>
        <w:rPr>
          <w:sz w:val="20"/>
          <w:szCs w:val="20"/>
          <w:color w:val="auto"/>
        </w:rPr>
      </w:pPr>
    </w:p>
    <w:p>
      <w:pPr>
        <w:ind w:firstLine="764"/>
        <w:spacing w:after="0" w:line="273" w:lineRule="auto"/>
        <w:rPr>
          <w:sz w:val="20"/>
          <w:szCs w:val="20"/>
          <w:color w:val="auto"/>
        </w:rPr>
      </w:pPr>
      <w:r>
        <w:rPr>
          <w:rFonts w:ascii="Arial" w:cs="Arial" w:eastAsia="Arial" w:hAnsi="Arial"/>
          <w:sz w:val="14"/>
          <w:szCs w:val="14"/>
          <w:color w:val="auto"/>
        </w:rPr>
        <w:t>Under the License Agreement, we are dependent upon NHS to successfully commercialize any NHS Collaboration Products, including SER-109 and SER-287, outside of the United States and Canada. We cannot directly control NHS’ commercialization activities or the resources it allocates to our product candidates. Our interests and NHS’ interests may differ or conflict from time to time, or we may disagree with NHS’ level of effort or resource allocation. NHS may internally prioritize our product candidates differently than we do or it may not allocate sufficient resources to effectively or optimally commercialize them. If these events were to occur, our business would be adversely affected.</w:t>
      </w:r>
    </w:p>
    <w:p>
      <w:pPr>
        <w:spacing w:after="0" w:line="143" w:lineRule="exact"/>
        <w:rPr>
          <w:sz w:val="20"/>
          <w:szCs w:val="20"/>
          <w:color w:val="auto"/>
        </w:rPr>
      </w:pPr>
    </w:p>
    <w:p>
      <w:pPr>
        <w:ind w:right="540"/>
        <w:spacing w:after="0" w:line="262"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1" w:lineRule="exact"/>
        <w:rPr>
          <w:sz w:val="20"/>
          <w:szCs w:val="20"/>
          <w:color w:val="auto"/>
        </w:rPr>
      </w:pPr>
    </w:p>
    <w:p>
      <w:pPr>
        <w:ind w:right="60" w:firstLine="520"/>
        <w:spacing w:after="0" w:line="262" w:lineRule="auto"/>
        <w:rPr>
          <w:sz w:val="20"/>
          <w:szCs w:val="20"/>
          <w:color w:val="auto"/>
        </w:rPr>
      </w:pPr>
      <w:r>
        <w:rPr>
          <w:rFonts w:ascii="Arial" w:cs="Arial" w:eastAsia="Arial" w:hAnsi="Arial"/>
          <w:sz w:val="15"/>
          <w:szCs w:val="15"/>
          <w:color w:val="auto"/>
        </w:rPr>
        <w:t>We expect to continue to rely on third parties, such as contract research organizations, or CROs, clinical data management organizations, medical institutions and clinical investigators, to conduct and manage our clinical trials.</w:t>
      </w:r>
    </w:p>
    <w:p>
      <w:pPr>
        <w:spacing w:after="0" w:line="148" w:lineRule="exact"/>
        <w:rPr>
          <w:sz w:val="20"/>
          <w:szCs w:val="20"/>
          <w:color w:val="auto"/>
        </w:rPr>
      </w:pPr>
    </w:p>
    <w:p>
      <w:pPr>
        <w:ind w:firstLine="520"/>
        <w:spacing w:after="0" w:line="268"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46" w:lineRule="exact"/>
        <w:rPr>
          <w:sz w:val="20"/>
          <w:szCs w:val="20"/>
          <w:color w:val="auto"/>
        </w:rPr>
      </w:pPr>
    </w:p>
    <w:p>
      <w:pPr>
        <w:ind w:right="20" w:firstLine="520"/>
        <w:spacing w:after="0" w:line="270" w:lineRule="auto"/>
        <w:rPr>
          <w:sz w:val="20"/>
          <w:szCs w:val="20"/>
          <w:color w:val="auto"/>
        </w:rPr>
      </w:pPr>
      <w:r>
        <w:rPr>
          <w:rFonts w:ascii="Arial" w:cs="Arial" w:eastAsia="Arial" w:hAnsi="Arial"/>
          <w:sz w:val="14"/>
          <w:szCs w:val="14"/>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45" w:lineRule="exact"/>
        <w:rPr>
          <w:sz w:val="20"/>
          <w:szCs w:val="20"/>
          <w:color w:val="auto"/>
        </w:rPr>
      </w:pPr>
    </w:p>
    <w:p>
      <w:pPr>
        <w:ind w:right="560" w:firstLine="520"/>
        <w:spacing w:after="0" w:line="387" w:lineRule="auto"/>
        <w:rPr>
          <w:sz w:val="20"/>
          <w:szCs w:val="20"/>
          <w:color w:val="auto"/>
        </w:rPr>
      </w:pPr>
      <w:r>
        <w:rPr>
          <w:rFonts w:ascii="Arial" w:cs="Arial" w:eastAsia="Arial" w:hAnsi="Arial"/>
          <w:sz w:val="12"/>
          <w:szCs w:val="12"/>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b w:val="1"/>
          <w:bCs w:val="1"/>
          <w:i w:val="1"/>
          <w:iCs w:val="1"/>
          <w:color w:val="auto"/>
        </w:rPr>
        <w:t>We rely on third parties for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69" w:lineRule="exact"/>
        <w:rPr>
          <w:sz w:val="20"/>
          <w:szCs w:val="20"/>
          <w:color w:val="auto"/>
        </w:rPr>
      </w:pPr>
    </w:p>
    <w:p>
      <w:pPr>
        <w:ind w:firstLine="520"/>
        <w:spacing w:after="0" w:line="279" w:lineRule="auto"/>
        <w:rPr>
          <w:sz w:val="20"/>
          <w:szCs w:val="20"/>
          <w:color w:val="auto"/>
        </w:rPr>
      </w:pPr>
      <w:r>
        <w:rPr>
          <w:rFonts w:ascii="Arial" w:cs="Arial" w:eastAsia="Arial" w:hAnsi="Arial"/>
          <w:sz w:val="14"/>
          <w:szCs w:val="14"/>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39" w:lineRule="exact"/>
        <w:rPr>
          <w:sz w:val="20"/>
          <w:szCs w:val="20"/>
          <w:color w:val="auto"/>
        </w:rPr>
      </w:pPr>
    </w:p>
    <w:p>
      <w:pPr>
        <w:ind w:right="220" w:firstLine="520"/>
        <w:spacing w:after="0" w:line="262"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61" w:lineRule="exact"/>
        <w:rPr>
          <w:sz w:val="20"/>
          <w:szCs w:val="20"/>
          <w:color w:val="auto"/>
        </w:rPr>
      </w:pPr>
    </w:p>
    <w:p>
      <w:pPr>
        <w:ind w:left="1040" w:hanging="518"/>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failure of third-party manufacturers to comply with regulatory requirements and maintain quality assurance;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failure to manufacture our product according to our specifications;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43" w:name="page44"/>
    <w:bookmarkEnd w:id="43"/>
    <w:p>
      <w:pPr>
        <w:ind w:left="1040" w:hanging="518"/>
        <w:spacing w:after="0"/>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failure to manufacture our product according to our schedule or at all;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178" w:lineRule="exact"/>
        <w:rPr>
          <w:sz w:val="20"/>
          <w:szCs w:val="20"/>
          <w:color w:val="auto"/>
        </w:rPr>
      </w:pPr>
    </w:p>
    <w:p>
      <w:pPr>
        <w:ind w:right="120" w:firstLine="520"/>
        <w:spacing w:after="0" w:line="316" w:lineRule="auto"/>
        <w:rPr>
          <w:sz w:val="20"/>
          <w:szCs w:val="20"/>
          <w:color w:val="auto"/>
        </w:rPr>
      </w:pPr>
      <w:r>
        <w:rPr>
          <w:rFonts w:ascii="Arial" w:cs="Arial" w:eastAsia="Arial" w:hAnsi="Arial"/>
          <w:sz w:val="12"/>
          <w:szCs w:val="12"/>
          <w:color w:val="auto"/>
        </w:rPr>
        <w:t>Third-party manufacturers may not be able to comply with current good manufacturing processes,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The contract manufacturer we rely on to produce SER-109 and SER-287 has never produced a FDA-approved therapeutic. If our contract manufacturer is unable to comply with cGMP regulation or if the FDA does not approve their facility upon a pre-approval inspection, our therapeutic candidates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22" w:lineRule="exact"/>
        <w:rPr>
          <w:sz w:val="20"/>
          <w:szCs w:val="20"/>
          <w:color w:val="auto"/>
        </w:rPr>
      </w:pPr>
    </w:p>
    <w:p>
      <w:pPr>
        <w:jc w:val="both"/>
        <w:ind w:right="60" w:firstLine="520"/>
        <w:spacing w:after="0" w:line="310" w:lineRule="auto"/>
        <w:rPr>
          <w:sz w:val="20"/>
          <w:szCs w:val="20"/>
          <w:color w:val="auto"/>
        </w:rPr>
      </w:pPr>
      <w:r>
        <w:rPr>
          <w:rFonts w:ascii="Arial" w:cs="Arial" w:eastAsia="Arial" w:hAnsi="Arial"/>
          <w:sz w:val="12"/>
          <w:szCs w:val="12"/>
          <w:color w:val="auto"/>
        </w:rPr>
        <w:t>Any performance failure on the part of our existing or future manufacturers could delay clinical development or marketing approval. Except for a backup facility in California, we do not currently have arrangements in place for redundant supply or a second source for required raw materials used in the manufacture of our product candidates or for the manufacture of finished SER-109 product. If our current contract manufacturers cannot perform as agreed, we may be required to replace such manufacturers and we may be unable to replace them on a timely basis or at all.</w:t>
      </w:r>
    </w:p>
    <w:p>
      <w:pPr>
        <w:spacing w:after="0" w:line="1" w:lineRule="exact"/>
        <w:rPr>
          <w:sz w:val="20"/>
          <w:szCs w:val="20"/>
          <w:color w:val="auto"/>
        </w:rPr>
      </w:pPr>
    </w:p>
    <w:p>
      <w:pPr>
        <w:ind w:right="440"/>
        <w:spacing w:after="0" w:line="247" w:lineRule="auto"/>
        <w:rPr>
          <w:sz w:val="20"/>
          <w:szCs w:val="20"/>
          <w:color w:val="auto"/>
        </w:rPr>
      </w:pPr>
      <w:r>
        <w:rPr>
          <w:rFonts w:ascii="Arial" w:cs="Arial" w:eastAsia="Arial" w:hAnsi="Arial"/>
          <w:sz w:val="15"/>
          <w:szCs w:val="15"/>
          <w:color w:val="auto"/>
        </w:rPr>
        <w:t>Our current and anticipated future dependence upon others for the manufacture of our product candidates or products could delay, prevent or impair our development and commercialization efforts.</w:t>
      </w:r>
    </w:p>
    <w:p>
      <w:pPr>
        <w:spacing w:after="0" w:line="247" w:lineRule="exact"/>
        <w:rPr>
          <w:sz w:val="20"/>
          <w:szCs w:val="20"/>
          <w:color w:val="auto"/>
        </w:rPr>
      </w:pPr>
    </w:p>
    <w:p>
      <w:pPr>
        <w:ind w:right="720"/>
        <w:spacing w:after="0" w:line="380" w:lineRule="auto"/>
        <w:rPr>
          <w:sz w:val="20"/>
          <w:szCs w:val="20"/>
          <w:color w:val="auto"/>
        </w:rPr>
      </w:pPr>
      <w:r>
        <w:rPr>
          <w:rFonts w:ascii="Arial" w:cs="Arial" w:eastAsia="Arial" w:hAnsi="Arial"/>
          <w:sz w:val="12"/>
          <w:szCs w:val="12"/>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 w:lineRule="exact"/>
        <w:rPr>
          <w:sz w:val="20"/>
          <w:szCs w:val="20"/>
          <w:color w:val="auto"/>
        </w:rPr>
      </w:pPr>
    </w:p>
    <w:p>
      <w:pPr>
        <w:ind w:right="200" w:firstLine="520"/>
        <w:spacing w:after="0" w:line="249" w:lineRule="auto"/>
        <w:rPr>
          <w:sz w:val="20"/>
          <w:szCs w:val="20"/>
          <w:color w:val="auto"/>
        </w:rPr>
      </w:pPr>
      <w:r>
        <w:rPr>
          <w:rFonts w:ascii="Arial" w:cs="Arial" w:eastAsia="Arial" w:hAnsi="Arial"/>
          <w:sz w:val="15"/>
          <w:szCs w:val="15"/>
          <w:color w:val="auto"/>
        </w:rPr>
        <w:t>We have a pilot manufacturing facility at our Cambridge location where we conduct process development, scale-up activities and a portion of the manufacture of Ecobiotic microbiome therapeutics. The FDA and other comparable foreign regulatory agencies must, pursuant to inspections that are conducted after submitting a BLA or relevant foreign marketing submission, confirm that the manufacturing processes for the product meet cGMP. We do not have any manufacturing facilities that meet the FDA’s cGMP requirements for the production of any product candidates used in humans.</w:t>
      </w:r>
    </w:p>
    <w:p>
      <w:pPr>
        <w:spacing w:after="0" w:line="159"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We may establish a manufacturing facility for our product candidates for production at a commercial scale. We have no experience in commercial-scale manufacturing of our product candidates. We currently intend to develop our manufacturing capacity in part by expanding our current facility or building additional facilities. We expect our new headquarters in Cambridge, MA to expand our existing clinical supply manufacturing capabilities.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59" w:lineRule="exact"/>
        <w:rPr>
          <w:sz w:val="20"/>
          <w:szCs w:val="20"/>
          <w:color w:val="auto"/>
        </w:rPr>
      </w:pPr>
    </w:p>
    <w:p>
      <w:pPr>
        <w:ind w:right="220" w:firstLine="520"/>
        <w:spacing w:after="0" w:line="298" w:lineRule="auto"/>
        <w:rPr>
          <w:sz w:val="20"/>
          <w:szCs w:val="20"/>
          <w:color w:val="auto"/>
        </w:rPr>
      </w:pPr>
      <w:r>
        <w:rPr>
          <w:rFonts w:ascii="Arial" w:cs="Arial" w:eastAsia="Arial" w:hAnsi="Arial"/>
          <w:sz w:val="14"/>
          <w:szCs w:val="14"/>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Risks Related to Commercialization of Our Product Candidates and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Other Legal Compliance Matters</w:t>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b w:val="1"/>
          <w:bCs w:val="1"/>
          <w:i w:val="1"/>
          <w:iCs w:val="1"/>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1" w:lineRule="exact"/>
        <w:rPr>
          <w:sz w:val="20"/>
          <w:szCs w:val="20"/>
          <w:color w:val="auto"/>
        </w:rPr>
      </w:pPr>
    </w:p>
    <w:p>
      <w:pPr>
        <w:ind w:right="140" w:firstLine="520"/>
        <w:spacing w:after="0" w:line="279" w:lineRule="auto"/>
        <w:rPr>
          <w:sz w:val="20"/>
          <w:szCs w:val="20"/>
          <w:color w:val="auto"/>
        </w:rPr>
      </w:pPr>
      <w:r>
        <w:rPr>
          <w:rFonts w:ascii="Arial" w:cs="Arial" w:eastAsia="Arial" w:hAnsi="Arial"/>
          <w:sz w:val="14"/>
          <w:szCs w:val="14"/>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fecal microbiota transplantation, or FMT, and physicians may continue to rely on these treatments. If our product candidates receive approval but do not achieve an adequate level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44" w:name="page45"/>
    <w:bookmarkEnd w:id="44"/>
    <w:p>
      <w:pPr>
        <w:ind w:right="280"/>
        <w:spacing w:after="0" w:line="262" w:lineRule="auto"/>
        <w:rPr>
          <w:sz w:val="20"/>
          <w:szCs w:val="20"/>
          <w:color w:val="auto"/>
        </w:rPr>
      </w:pPr>
      <w:r>
        <w:rPr>
          <w:rFonts w:ascii="Arial" w:cs="Arial" w:eastAsia="Arial" w:hAnsi="Arial"/>
          <w:sz w:val="15"/>
          <w:szCs w:val="15"/>
          <w:color w:val="auto"/>
        </w:rPr>
        <w:t>acceptance, we may not generate significant product revenue and we may not become profitable. The degree of market acceptance of our approved product candidates, if any, will depend on a number of factors, including:</w:t>
      </w:r>
    </w:p>
    <w:p>
      <w:pPr>
        <w:spacing w:after="0" w:line="61" w:lineRule="exact"/>
        <w:rPr>
          <w:sz w:val="20"/>
          <w:szCs w:val="20"/>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clinical indications for which our products are approved;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restrictions on the use of our products together with other medications;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interactions of our products with other medicines patients are taking;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w:t>
      </w:r>
    </w:p>
    <w:p>
      <w:pPr>
        <w:spacing w:after="0" w:line="265" w:lineRule="exact"/>
        <w:rPr>
          <w:sz w:val="20"/>
          <w:szCs w:val="20"/>
          <w:color w:val="auto"/>
        </w:rPr>
      </w:pPr>
    </w:p>
    <w:p>
      <w:pPr>
        <w:ind w:right="440"/>
        <w:spacing w:after="0" w:line="262" w:lineRule="auto"/>
        <w:rPr>
          <w:sz w:val="20"/>
          <w:szCs w:val="20"/>
          <w:color w:val="auto"/>
        </w:rPr>
      </w:pPr>
      <w:r>
        <w:rPr>
          <w:rFonts w:ascii="Arial" w:cs="Arial" w:eastAsia="Arial" w:hAnsi="Arial"/>
          <w:sz w:val="15"/>
          <w:szCs w:val="15"/>
          <w:b w:val="1"/>
          <w:bCs w:val="1"/>
          <w:i w:val="1"/>
          <w:iCs w:val="1"/>
          <w:color w:val="auto"/>
        </w:rPr>
        <w:t>We currently have a limited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1"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We have limited sales or marketing infrastructure and have no experience in the sale, marketing or distribution of pharmaceutical products. To achieve commercial success for any product for which</w:t>
      </w:r>
    </w:p>
    <w:p>
      <w:pPr>
        <w:spacing w:after="0" w:line="148"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we obtain marketing approval, we will need to establish a sales and marketing organization or make arrangements with third parties to perform sales and marketing functions and we may not be successful in doing so.</w:t>
      </w:r>
    </w:p>
    <w:p>
      <w:pPr>
        <w:spacing w:after="0" w:line="148" w:lineRule="exact"/>
        <w:rPr>
          <w:sz w:val="20"/>
          <w:szCs w:val="20"/>
          <w:color w:val="auto"/>
        </w:rPr>
      </w:pPr>
    </w:p>
    <w:p>
      <w:pPr>
        <w:ind w:right="40" w:firstLine="520"/>
        <w:spacing w:after="0" w:line="248" w:lineRule="auto"/>
        <w:rPr>
          <w:sz w:val="20"/>
          <w:szCs w:val="20"/>
          <w:color w:val="auto"/>
        </w:rPr>
      </w:pPr>
      <w:r>
        <w:rPr>
          <w:rFonts w:ascii="Arial" w:cs="Arial" w:eastAsia="Arial" w:hAnsi="Arial"/>
          <w:sz w:val="15"/>
          <w:szCs w:val="15"/>
          <w:color w:val="auto"/>
        </w:rPr>
        <w:t>In the future, we expect to build a focused sales and marketing infrastructure to market or co- 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Factors that may inhibit our efforts to commercialize our products on our own include:</w:t>
      </w:r>
    </w:p>
    <w:p>
      <w:pPr>
        <w:spacing w:after="0" w:line="90" w:lineRule="exact"/>
        <w:rPr>
          <w:sz w:val="20"/>
          <w:szCs w:val="20"/>
          <w:color w:val="auto"/>
        </w:rPr>
      </w:pPr>
    </w:p>
    <w:p>
      <w:pPr>
        <w:ind w:left="1040" w:hanging="518"/>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sales personnel, which may put us at a competitive disadvantage relative to companies with more extensive product lines;</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w:t>
      </w:r>
    </w:p>
    <w:p>
      <w:pPr>
        <w:spacing w:after="0" w:line="178" w:lineRule="exact"/>
        <w:rPr>
          <w:sz w:val="20"/>
          <w:szCs w:val="20"/>
          <w:color w:val="auto"/>
        </w:rPr>
      </w:pPr>
    </w:p>
    <w:p>
      <w:pPr>
        <w:ind w:right="80" w:firstLine="520"/>
        <w:spacing w:after="0" w:line="270" w:lineRule="auto"/>
        <w:rPr>
          <w:sz w:val="20"/>
          <w:szCs w:val="20"/>
          <w:color w:val="auto"/>
        </w:rPr>
      </w:pPr>
      <w:r>
        <w:rPr>
          <w:rFonts w:ascii="Arial" w:cs="Arial" w:eastAsia="Arial" w:hAnsi="Arial"/>
          <w:sz w:val="14"/>
          <w:szCs w:val="14"/>
          <w:color w:val="auto"/>
        </w:rPr>
        <w:t>Outside the United States, we rely and may increasingly on third parties, including NHS,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competing products before or more successfully than we do.</w:t>
      </w:r>
    </w:p>
    <w:p>
      <w:pPr>
        <w:spacing w:after="0" w:line="102" w:lineRule="exact"/>
        <w:rPr>
          <w:sz w:val="20"/>
          <w:szCs w:val="20"/>
          <w:color w:val="auto"/>
        </w:rPr>
      </w:pPr>
    </w:p>
    <w:p>
      <w:pPr>
        <w:ind w:firstLine="520"/>
        <w:spacing w:after="0" w:line="266" w:lineRule="auto"/>
        <w:rPr>
          <w:sz w:val="20"/>
          <w:szCs w:val="20"/>
          <w:color w:val="auto"/>
        </w:rPr>
      </w:pPr>
      <w:r>
        <w:rPr>
          <w:rFonts w:ascii="Arial" w:cs="Arial" w:eastAsia="Arial" w:hAnsi="Arial"/>
          <w:sz w:val="14"/>
          <w:szCs w:val="14"/>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the prevention of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high cure rates for recurrent CDI and our competitors and physicians may continue to seek to standardize and implement this procedure.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8" w:lineRule="exact"/>
        <w:rPr>
          <w:sz w:val="20"/>
          <w:szCs w:val="20"/>
          <w:color w:val="auto"/>
        </w:rPr>
      </w:pPr>
    </w:p>
    <w:p>
      <w:pPr>
        <w:ind w:right="60" w:firstLine="520"/>
        <w:spacing w:after="0" w:line="346" w:lineRule="auto"/>
        <w:rPr>
          <w:sz w:val="20"/>
          <w:szCs w:val="20"/>
          <w:color w:val="auto"/>
        </w:rPr>
      </w:pPr>
      <w:r>
        <w:rPr>
          <w:rFonts w:ascii="Arial" w:cs="Arial" w:eastAsia="Arial" w:hAnsi="Arial"/>
          <w:sz w:val="12"/>
          <w:szCs w:val="12"/>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103" w:lineRule="exact"/>
        <w:rPr>
          <w:sz w:val="20"/>
          <w:szCs w:val="20"/>
          <w:color w:val="auto"/>
        </w:rPr>
      </w:pPr>
    </w:p>
    <w:p>
      <w:pPr>
        <w:ind w:right="120" w:firstLine="520"/>
        <w:spacing w:after="0" w:line="262"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8" w:lineRule="exact"/>
        <w:rPr>
          <w:sz w:val="20"/>
          <w:szCs w:val="20"/>
          <w:color w:val="auto"/>
        </w:rPr>
      </w:pPr>
    </w:p>
    <w:p>
      <w:pPr>
        <w:ind w:right="40" w:firstLine="520"/>
        <w:spacing w:after="0" w:line="248"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246"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1" w:lineRule="exact"/>
        <w:rPr>
          <w:sz w:val="20"/>
          <w:szCs w:val="20"/>
          <w:color w:val="auto"/>
        </w:rPr>
      </w:pPr>
    </w:p>
    <w:p>
      <w:pPr>
        <w:ind w:firstLine="520"/>
        <w:spacing w:after="0" w:line="252" w:lineRule="auto"/>
        <w:rPr>
          <w:sz w:val="20"/>
          <w:szCs w:val="20"/>
          <w:color w:val="auto"/>
        </w:rPr>
      </w:pPr>
      <w:r>
        <w:rPr>
          <w:rFonts w:ascii="Arial" w:cs="Arial" w:eastAsia="Arial" w:hAnsi="Arial"/>
          <w:sz w:val="15"/>
          <w:szCs w:val="15"/>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57" w:lineRule="exact"/>
        <w:rPr>
          <w:sz w:val="20"/>
          <w:szCs w:val="20"/>
          <w:color w:val="auto"/>
        </w:rPr>
      </w:pPr>
    </w:p>
    <w:p>
      <w:pPr>
        <w:ind w:right="20" w:firstLine="520"/>
        <w:spacing w:after="0" w:line="316" w:lineRule="auto"/>
        <w:rPr>
          <w:sz w:val="20"/>
          <w:szCs w:val="20"/>
          <w:color w:val="auto"/>
        </w:rPr>
      </w:pPr>
      <w:r>
        <w:rPr>
          <w:rFonts w:ascii="Arial" w:cs="Arial" w:eastAsia="Arial" w:hAnsi="Arial"/>
          <w:sz w:val="12"/>
          <w:szCs w:val="12"/>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22" w:lineRule="exact"/>
        <w:rPr>
          <w:sz w:val="20"/>
          <w:szCs w:val="20"/>
          <w:color w:val="auto"/>
        </w:rPr>
      </w:pPr>
    </w:p>
    <w:p>
      <w:pPr>
        <w:ind w:firstLine="520"/>
        <w:spacing w:after="0" w:line="387" w:lineRule="auto"/>
        <w:rPr>
          <w:sz w:val="20"/>
          <w:szCs w:val="20"/>
          <w:color w:val="auto"/>
        </w:rPr>
      </w:pPr>
      <w:r>
        <w:rPr>
          <w:rFonts w:ascii="Arial" w:cs="Arial" w:eastAsia="Arial" w:hAnsi="Arial"/>
          <w:sz w:val="12"/>
          <w:szCs w:val="12"/>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741" w:right="239" w:bottom="1440" w:gutter="0" w:footer="0" w:header="0"/>
        </w:sectPr>
      </w:pPr>
    </w:p>
    <w:bookmarkStart w:id="46" w:name="page47"/>
    <w:bookmarkEnd w:id="46"/>
    <w:p>
      <w:pPr>
        <w:ind w:right="20"/>
        <w:spacing w:after="0" w:line="268" w:lineRule="auto"/>
        <w:rPr>
          <w:sz w:val="20"/>
          <w:szCs w:val="20"/>
          <w:color w:val="auto"/>
        </w:rPr>
      </w:pPr>
      <w:r>
        <w:rPr>
          <w:rFonts w:ascii="Arial" w:cs="Arial" w:eastAsia="Arial" w:hAnsi="Arial"/>
          <w:sz w:val="14"/>
          <w:szCs w:val="14"/>
          <w:color w:val="auto"/>
        </w:rPr>
        <w:t>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46" w:lineRule="exact"/>
        <w:rPr>
          <w:sz w:val="20"/>
          <w:szCs w:val="20"/>
          <w:color w:val="auto"/>
        </w:rPr>
      </w:pPr>
    </w:p>
    <w:p>
      <w:pPr>
        <w:ind w:firstLine="520"/>
        <w:spacing w:after="0" w:line="317" w:lineRule="auto"/>
        <w:rPr>
          <w:sz w:val="20"/>
          <w:szCs w:val="20"/>
          <w:color w:val="auto"/>
        </w:rPr>
      </w:pPr>
      <w:r>
        <w:rPr>
          <w:rFonts w:ascii="Arial" w:cs="Arial" w:eastAsia="Arial" w:hAnsi="Arial"/>
          <w:sz w:val="12"/>
          <w:szCs w:val="12"/>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limit commercialization of any products that we may develop.</w:t>
      </w:r>
    </w:p>
    <w:p>
      <w:pPr>
        <w:spacing w:after="0" w:line="90" w:lineRule="exact"/>
        <w:rPr>
          <w:sz w:val="20"/>
          <w:szCs w:val="20"/>
          <w:color w:val="auto"/>
        </w:rPr>
      </w:pPr>
    </w:p>
    <w:p>
      <w:pPr>
        <w:ind w:right="80" w:firstLine="520"/>
        <w:spacing w:after="0" w:line="252"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9" w:lineRule="exact"/>
        <w:rPr>
          <w:sz w:val="20"/>
          <w:szCs w:val="20"/>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78" w:lineRule="exact"/>
        <w:rPr>
          <w:sz w:val="20"/>
          <w:szCs w:val="20"/>
          <w:color w:val="auto"/>
        </w:rPr>
      </w:pPr>
    </w:p>
    <w:p>
      <w:pPr>
        <w:ind w:firstLine="520"/>
        <w:spacing w:after="0" w:line="279" w:lineRule="auto"/>
        <w:rPr>
          <w:sz w:val="20"/>
          <w:szCs w:val="20"/>
          <w:color w:val="auto"/>
        </w:rPr>
      </w:pPr>
      <w:r>
        <w:rPr>
          <w:rFonts w:ascii="Arial" w:cs="Arial" w:eastAsia="Arial" w:hAnsi="Arial"/>
          <w:sz w:val="14"/>
          <w:szCs w:val="14"/>
          <w:color w:val="auto"/>
        </w:rPr>
        <w:t>We currently hold $3.0 million in product liability insurance coverage in the aggregate, with a per occurrence limit of $3.0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competition from biosimilars, which may have a material adverse impact on the future commercial prospects of our product candidates.</w:t>
      </w:r>
    </w:p>
    <w:p>
      <w:pPr>
        <w:spacing w:after="0" w:line="90" w:lineRule="exact"/>
        <w:rPr>
          <w:sz w:val="20"/>
          <w:szCs w:val="20"/>
          <w:color w:val="auto"/>
        </w:rPr>
      </w:pPr>
    </w:p>
    <w:p>
      <w:pPr>
        <w:jc w:val="both"/>
        <w:ind w:right="280" w:firstLine="520"/>
        <w:spacing w:after="0" w:line="279" w:lineRule="auto"/>
        <w:rPr>
          <w:sz w:val="20"/>
          <w:szCs w:val="20"/>
          <w:color w:val="auto"/>
        </w:rPr>
      </w:pPr>
      <w:r>
        <w:rPr>
          <w:rFonts w:ascii="Arial" w:cs="Arial" w:eastAsia="Arial" w:hAnsi="Arial"/>
          <w:sz w:val="14"/>
          <w:szCs w:val="14"/>
          <w:color w:val="auto"/>
        </w:rPr>
        <w:t>Even if we are successful in achieving regulatory approval to commercialize a product candidate faster than our competitors, we may face competition from biosimilars. In the United States, the Biologics Price Competition and Innovation Act, or BCPIA, enacted in 2010 as part of the Patient Protection and Affordable Care Act, created an abbreviated approval pathway for biological products that are demonstrated to be “highly similar,” or biosimilar, to or “interchangeable” with an FDA-approved biological product. Under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47" w:name="page48"/>
    <w:bookmarkEnd w:id="47"/>
    <w:p>
      <w:pPr>
        <w:spacing w:after="0" w:line="246" w:lineRule="auto"/>
        <w:rPr>
          <w:sz w:val="20"/>
          <w:szCs w:val="20"/>
          <w:color w:val="auto"/>
        </w:rPr>
      </w:pPr>
      <w:r>
        <w:rPr>
          <w:rFonts w:ascii="Arial" w:cs="Arial" w:eastAsia="Arial" w:hAnsi="Arial"/>
          <w:sz w:val="15"/>
          <w:szCs w:val="15"/>
          <w:color w:val="auto"/>
        </w:rPr>
        <w:t>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163" w:lineRule="exact"/>
        <w:rPr>
          <w:sz w:val="20"/>
          <w:szCs w:val="20"/>
          <w:color w:val="auto"/>
        </w:rPr>
      </w:pPr>
    </w:p>
    <w:p>
      <w:pPr>
        <w:ind w:right="320" w:firstLine="520"/>
        <w:spacing w:after="0" w:line="317" w:lineRule="auto"/>
        <w:rPr>
          <w:sz w:val="20"/>
          <w:szCs w:val="20"/>
          <w:color w:val="auto"/>
        </w:rPr>
      </w:pPr>
      <w:r>
        <w:rPr>
          <w:rFonts w:ascii="Arial" w:cs="Arial" w:eastAsia="Arial" w:hAnsi="Arial"/>
          <w:sz w:val="12"/>
          <w:szCs w:val="12"/>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In each of his proposed budgets for fiscal years 2013 through 2015, President Obama has proposed to cut this 12-year period of exclusivity down to seven years. He also proposed to prohibit additional periods of exclusivity due to minor changes in product formulations, a practice often referred to as “evergreening.” It is possible that Congress may take these or other measures to reduce or eliminate periods of exclusivity. The BCPIA is complex and only beginning to be interpreted and implemented by the FDA. As a result, its ultimate impact is subject to uncertainty. The FDA has issued several guidance documents to date discussing the biosimilar pathway, and the FDA approved the first biosimilar under the BCPIA in March 2015. However, several issues still remain unclear with respect to the FDA’s final implementation of the BCPIA, and such FDA implementation could have a material adverse effect on the future commercial prospects for our product candidates.</w:t>
      </w:r>
    </w:p>
    <w:p>
      <w:pPr>
        <w:spacing w:after="0" w:line="299" w:lineRule="exact"/>
        <w:rPr>
          <w:sz w:val="20"/>
          <w:szCs w:val="20"/>
          <w:color w:val="auto"/>
        </w:rPr>
      </w:pPr>
    </w:p>
    <w:p>
      <w:pPr>
        <w:ind w:right="280" w:firstLine="520"/>
        <w:spacing w:after="0" w:line="268" w:lineRule="auto"/>
        <w:rPr>
          <w:sz w:val="20"/>
          <w:szCs w:val="20"/>
          <w:color w:val="auto"/>
        </w:rPr>
      </w:pPr>
      <w:r>
        <w:rPr>
          <w:rFonts w:ascii="Arial" w:cs="Arial" w:eastAsia="Arial" w:hAnsi="Arial"/>
          <w:sz w:val="14"/>
          <w:szCs w:val="14"/>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obtain marketing approval in international jurisdictions would prevent our product candidates from being marketed abroad.</w:t>
      </w:r>
    </w:p>
    <w:p>
      <w:pPr>
        <w:spacing w:after="0" w:line="90" w:lineRule="exact"/>
        <w:rPr>
          <w:sz w:val="20"/>
          <w:szCs w:val="20"/>
          <w:color w:val="auto"/>
        </w:rPr>
      </w:pPr>
    </w:p>
    <w:p>
      <w:pPr>
        <w:ind w:right="40" w:firstLine="520"/>
        <w:spacing w:after="0" w:line="265" w:lineRule="auto"/>
        <w:rPr>
          <w:sz w:val="20"/>
          <w:szCs w:val="20"/>
          <w:color w:val="auto"/>
        </w:rPr>
      </w:pPr>
      <w:r>
        <w:rPr>
          <w:rFonts w:ascii="Arial" w:cs="Arial" w:eastAsia="Arial" w:hAnsi="Arial"/>
          <w:sz w:val="14"/>
          <w:szCs w:val="14"/>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238"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b w:val="1"/>
          <w:bCs w:val="1"/>
          <w:i w:val="1"/>
          <w:iCs w:val="1"/>
          <w:color w:val="auto"/>
        </w:rPr>
        <w:t>Any product candidate for which we obtain marketing approval could be subject to post- marketing restrictions or withdrawal from the market, and we may be subject to penalties if we fail to comply with regulatory requirements or if we experience unanticipated problems with our products, when and if any of them are approved.</w:t>
      </w:r>
    </w:p>
    <w:p>
      <w:pPr>
        <w:spacing w:after="0" w:line="38" w:lineRule="exact"/>
        <w:rPr>
          <w:sz w:val="20"/>
          <w:szCs w:val="20"/>
          <w:color w:val="auto"/>
        </w:rPr>
      </w:pPr>
    </w:p>
    <w:p>
      <w:pPr>
        <w:ind w:right="120" w:firstLine="520"/>
        <w:spacing w:after="0" w:line="248"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48" w:name="page49"/>
    <w:bookmarkEnd w:id="48"/>
    <w:p>
      <w:pPr>
        <w:ind w:right="620"/>
        <w:spacing w:after="0" w:line="262" w:lineRule="auto"/>
        <w:rPr>
          <w:sz w:val="20"/>
          <w:szCs w:val="20"/>
          <w:color w:val="auto"/>
        </w:rPr>
      </w:pPr>
      <w:r>
        <w:rPr>
          <w:rFonts w:ascii="Arial" w:cs="Arial" w:eastAsia="Arial" w:hAnsi="Arial"/>
          <w:sz w:val="15"/>
          <w:szCs w:val="15"/>
          <w:color w:val="auto"/>
        </w:rPr>
        <w:t>compliance with cGMP. Accordingly, we and others with whom we work must continue to expend time, money and effort in all areas of regulatory compliance, including manufacturing, production and quality control.</w:t>
      </w:r>
    </w:p>
    <w:p>
      <w:pPr>
        <w:spacing w:after="0" w:line="148" w:lineRule="exact"/>
        <w:rPr>
          <w:sz w:val="20"/>
          <w:szCs w:val="20"/>
          <w:color w:val="auto"/>
        </w:rPr>
      </w:pPr>
    </w:p>
    <w:p>
      <w:pPr>
        <w:ind w:firstLine="520"/>
        <w:spacing w:after="0" w:line="346" w:lineRule="auto"/>
        <w:rPr>
          <w:sz w:val="20"/>
          <w:szCs w:val="20"/>
          <w:color w:val="auto"/>
        </w:rPr>
      </w:pPr>
      <w:r>
        <w:rPr>
          <w:rFonts w:ascii="Arial" w:cs="Arial" w:eastAsia="Arial" w:hAnsi="Arial"/>
          <w:sz w:val="12"/>
          <w:szCs w:val="12"/>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or REMS,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103" w:lineRule="exact"/>
        <w:rPr>
          <w:sz w:val="20"/>
          <w:szCs w:val="20"/>
          <w:color w:val="auto"/>
        </w:rPr>
      </w:pPr>
    </w:p>
    <w:p>
      <w:pPr>
        <w:ind w:right="180" w:firstLine="520"/>
        <w:spacing w:after="0" w:line="270"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drugs may also lead to investigations alleging violations of federal and state health care fraud and abuse laws, as well as state consumer protection laws.</w:t>
      </w:r>
    </w:p>
    <w:p>
      <w:pPr>
        <w:spacing w:after="0" w:line="145" w:lineRule="exact"/>
        <w:rPr>
          <w:sz w:val="20"/>
          <w:szCs w:val="20"/>
          <w:color w:val="auto"/>
        </w:rPr>
      </w:pPr>
    </w:p>
    <w:p>
      <w:pPr>
        <w:ind w:right="100" w:firstLine="520"/>
        <w:spacing w:after="0" w:line="279"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unanticipated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51" w:lineRule="exact"/>
        <w:rPr>
          <w:sz w:val="20"/>
          <w:szCs w:val="20"/>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damage to relationships with potential collaborators;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78" w:lineRule="exact"/>
        <w:rPr>
          <w:sz w:val="20"/>
          <w:szCs w:val="20"/>
          <w:color w:val="auto"/>
        </w:rPr>
      </w:pPr>
    </w:p>
    <w:p>
      <w:pPr>
        <w:jc w:val="both"/>
        <w:ind w:right="220" w:firstLine="520"/>
        <w:spacing w:after="0" w:line="252" w:lineRule="auto"/>
        <w:rPr>
          <w:sz w:val="20"/>
          <w:szCs w:val="20"/>
          <w:color w:val="auto"/>
        </w:rPr>
      </w:pPr>
      <w:r>
        <w:rPr>
          <w:rFonts w:ascii="Arial" w:cs="Arial" w:eastAsia="Arial" w:hAnsi="Arial"/>
          <w:sz w:val="15"/>
          <w:szCs w:val="15"/>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57" w:lineRule="exact"/>
        <w:rPr>
          <w:sz w:val="20"/>
          <w:szCs w:val="20"/>
          <w:color w:val="auto"/>
        </w:rPr>
      </w:pPr>
    </w:p>
    <w:p>
      <w:pPr>
        <w:ind w:right="320" w:firstLine="520"/>
        <w:spacing w:after="0" w:line="262"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49" w:name="page50"/>
    <w:bookmarkEnd w:id="49"/>
    <w:p>
      <w:pPr>
        <w:ind w:right="20"/>
        <w:spacing w:after="0" w:line="262" w:lineRule="auto"/>
        <w:rPr>
          <w:sz w:val="20"/>
          <w:szCs w:val="20"/>
          <w:color w:val="auto"/>
        </w:rPr>
      </w:pPr>
      <w:r>
        <w:rPr>
          <w:rFonts w:ascii="Arial" w:cs="Arial" w:eastAsia="Arial" w:hAnsi="Arial"/>
          <w:sz w:val="15"/>
          <w:szCs w:val="15"/>
          <w:color w:val="auto"/>
        </w:rPr>
        <w:t>affect our ability to commercialize and generate revenues. If regulatory sanctions are applied or if regulatory approval is withheld or withdrawn, the value of our company and our operating results will be adversely affected.</w:t>
      </w:r>
    </w:p>
    <w:p>
      <w:pPr>
        <w:spacing w:after="0" w:line="236" w:lineRule="exact"/>
        <w:rPr>
          <w:sz w:val="20"/>
          <w:szCs w:val="20"/>
          <w:color w:val="auto"/>
        </w:rPr>
      </w:pPr>
    </w:p>
    <w:p>
      <w:pPr>
        <w:jc w:val="both"/>
        <w:ind w:right="380"/>
        <w:spacing w:after="0" w:line="380" w:lineRule="auto"/>
        <w:rPr>
          <w:sz w:val="20"/>
          <w:szCs w:val="20"/>
          <w:color w:val="auto"/>
        </w:rPr>
      </w:pPr>
      <w:r>
        <w:rPr>
          <w:rFonts w:ascii="Arial" w:cs="Arial" w:eastAsia="Arial" w:hAnsi="Arial"/>
          <w:sz w:val="12"/>
          <w:szCs w:val="12"/>
          <w:b w:val="1"/>
          <w:bCs w:val="1"/>
          <w:i w:val="1"/>
          <w:iCs w:val="1"/>
          <w:color w:val="auto"/>
        </w:rPr>
        <w:t>Our relationships with customers, physicians and third-party payors will be subject to applicable anti-kickback, fraud and abuse and other healthcare laws and regulations, which could expose us to criminal sanctions, civil penalties, exclusion from governmental healthcare programs, contractual damages, reputational harm and diminished profits and future earnings.</w:t>
      </w:r>
    </w:p>
    <w:p>
      <w:pPr>
        <w:spacing w:after="0" w:line="1"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Healthcare providers, physicians and third-party payors will play a primary role in the recommendation and prescription of any product candidates for which we obtain marketing approval. Our future arrangements with third-party payors, physicians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2" w:lineRule="exact"/>
        <w:rPr>
          <w:sz w:val="20"/>
          <w:szCs w:val="20"/>
          <w:color w:val="auto"/>
        </w:rPr>
      </w:pPr>
    </w:p>
    <w:p>
      <w:pPr>
        <w:ind w:left="1040" w:right="60" w:hanging="518"/>
        <w:spacing w:after="0" w:line="270" w:lineRule="auto"/>
        <w:tabs>
          <w:tab w:leader="none" w:pos="10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(described below);</w:t>
      </w:r>
    </w:p>
    <w:p>
      <w:pPr>
        <w:spacing w:after="0" w:line="57" w:lineRule="exact"/>
        <w:rPr>
          <w:rFonts w:ascii="Arial" w:cs="Arial" w:eastAsia="Arial" w:hAnsi="Arial"/>
          <w:sz w:val="14"/>
          <w:szCs w:val="14"/>
          <w:color w:val="auto"/>
        </w:rPr>
      </w:pPr>
    </w:p>
    <w:p>
      <w:pPr>
        <w:ind w:left="1040" w:right="120" w:hanging="518"/>
        <w:spacing w:after="0" w:line="252" w:lineRule="auto"/>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federal False Claims Act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9" w:lineRule="exact"/>
        <w:rPr>
          <w:rFonts w:ascii="Arial" w:cs="Arial" w:eastAsia="Arial" w:hAnsi="Arial"/>
          <w:sz w:val="15"/>
          <w:szCs w:val="15"/>
          <w:color w:val="auto"/>
        </w:rPr>
      </w:pPr>
    </w:p>
    <w:p>
      <w:pPr>
        <w:ind w:left="1040" w:hanging="518"/>
        <w:spacing w:after="0" w:line="252" w:lineRule="auto"/>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69" w:lineRule="exact"/>
        <w:rPr>
          <w:rFonts w:ascii="Arial" w:cs="Arial" w:eastAsia="Arial" w:hAnsi="Arial"/>
          <w:sz w:val="15"/>
          <w:szCs w:val="15"/>
          <w:color w:val="auto"/>
        </w:rPr>
      </w:pPr>
    </w:p>
    <w:p>
      <w:pPr>
        <w:ind w:left="1040" w:right="600" w:hanging="518"/>
        <w:spacing w:after="0" w:line="298" w:lineRule="auto"/>
        <w:tabs>
          <w:tab w:leader="none" w:pos="10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37" w:lineRule="exact"/>
        <w:rPr>
          <w:rFonts w:ascii="Arial" w:cs="Arial" w:eastAsia="Arial" w:hAnsi="Arial"/>
          <w:sz w:val="14"/>
          <w:szCs w:val="14"/>
          <w:color w:val="auto"/>
        </w:rPr>
      </w:pPr>
    </w:p>
    <w:p>
      <w:pPr>
        <w:ind w:left="1040" w:right="40" w:hanging="518"/>
        <w:spacing w:after="0" w:line="252" w:lineRule="auto"/>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federal Physician Payment Sunshine Act requires applicable manufacturers of covered drugs to report payments and other transfers of value to physicians and teaching hospitals, and ownership and investment interests held by physicians and their immediate family members; manufacturers are required to submit reports to the government by the 90th day of each calendar year;</w:t>
      </w:r>
    </w:p>
    <w:p>
      <w:pPr>
        <w:spacing w:after="0" w:line="69" w:lineRule="exact"/>
        <w:rPr>
          <w:rFonts w:ascii="Arial" w:cs="Arial" w:eastAsia="Arial" w:hAnsi="Arial"/>
          <w:sz w:val="15"/>
          <w:szCs w:val="15"/>
          <w:color w:val="auto"/>
        </w:rPr>
      </w:pPr>
    </w:p>
    <w:p>
      <w:pPr>
        <w:ind w:left="1040" w:hanging="518"/>
        <w:spacing w:after="0" w:line="332" w:lineRule="auto"/>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24" w:lineRule="exact"/>
        <w:rPr>
          <w:rFonts w:ascii="Arial" w:cs="Arial" w:eastAsia="Arial" w:hAnsi="Arial"/>
          <w:sz w:val="12"/>
          <w:szCs w:val="12"/>
          <w:color w:val="auto"/>
        </w:rPr>
      </w:pPr>
    </w:p>
    <w:p>
      <w:pPr>
        <w:ind w:left="1040" w:right="160" w:hanging="518"/>
        <w:spacing w:after="0" w:line="262" w:lineRule="auto"/>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48" w:lineRule="exact"/>
        <w:rPr>
          <w:sz w:val="20"/>
          <w:szCs w:val="20"/>
          <w:color w:val="auto"/>
        </w:rPr>
      </w:pPr>
    </w:p>
    <w:p>
      <w:pPr>
        <w:ind w:right="60" w:firstLine="520"/>
        <w:spacing w:after="0" w:line="273" w:lineRule="auto"/>
        <w:rPr>
          <w:sz w:val="20"/>
          <w:szCs w:val="20"/>
          <w:color w:val="auto"/>
        </w:rPr>
      </w:pPr>
      <w:r>
        <w:rPr>
          <w:rFonts w:ascii="Arial" w:cs="Arial" w:eastAsia="Arial" w:hAnsi="Arial"/>
          <w:sz w:val="14"/>
          <w:szCs w:val="14"/>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healthcare company may violate one or more of the requirements.</w:t>
      </w:r>
    </w:p>
    <w:p>
      <w:pPr>
        <w:spacing w:after="0" w:line="143" w:lineRule="exact"/>
        <w:rPr>
          <w:sz w:val="20"/>
          <w:szCs w:val="20"/>
          <w:color w:val="auto"/>
        </w:rPr>
      </w:pPr>
    </w:p>
    <w:p>
      <w:pPr>
        <w:ind w:right="100" w:firstLine="520"/>
        <w:spacing w:after="0" w:line="279" w:lineRule="auto"/>
        <w:rPr>
          <w:sz w:val="20"/>
          <w:szCs w:val="20"/>
          <w:color w:val="auto"/>
        </w:rPr>
      </w:pPr>
      <w:r>
        <w:rPr>
          <w:rFonts w:ascii="Arial" w:cs="Arial" w:eastAsia="Arial" w:hAnsi="Arial"/>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50" w:name="page51"/>
    <w:bookmarkEnd w:id="50"/>
    <w:p>
      <w:pPr>
        <w:ind w:right="480"/>
        <w:spacing w:after="0" w:line="262" w:lineRule="auto"/>
        <w:rPr>
          <w:sz w:val="20"/>
          <w:szCs w:val="20"/>
          <w:color w:val="auto"/>
        </w:rPr>
      </w:pPr>
      <w:r>
        <w:rPr>
          <w:rFonts w:ascii="Arial" w:cs="Arial" w:eastAsia="Arial" w:hAnsi="Arial"/>
          <w:sz w:val="15"/>
          <w:szCs w:val="15"/>
          <w:color w:val="auto"/>
        </w:rPr>
        <w:t>subject to significant civil, criminal and administrative penalties, damages, fines, imprisonment, exclusion of products from government funded healthcare programs, such as Medicare and Medicaid, and the curtailment or restructuring of our operations.</w:t>
      </w:r>
    </w:p>
    <w:p>
      <w:pPr>
        <w:spacing w:after="0" w:line="236" w:lineRule="exact"/>
        <w:rPr>
          <w:sz w:val="20"/>
          <w:szCs w:val="20"/>
          <w:color w:val="auto"/>
        </w:rPr>
      </w:pPr>
    </w:p>
    <w:p>
      <w:pPr>
        <w:ind w:right="240"/>
        <w:spacing w:after="0" w:line="262"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1" w:lineRule="exact"/>
        <w:rPr>
          <w:sz w:val="20"/>
          <w:szCs w:val="20"/>
          <w:color w:val="auto"/>
        </w:rPr>
      </w:pPr>
    </w:p>
    <w:p>
      <w:pPr>
        <w:jc w:val="both"/>
        <w:ind w:right="360" w:firstLine="520"/>
        <w:spacing w:after="0" w:line="252"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57"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in their formularies. The MMA’s cost reduction initiatives and other provisions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Medicare reimbursement may result in a similar reduction in payments from private payors. Similar regulations or reimbursement policies may be enacted in international markets which could similarly impact our business.</w:t>
      </w:r>
    </w:p>
    <w:p>
      <w:pPr>
        <w:spacing w:after="0" w:line="146" w:lineRule="exact"/>
        <w:rPr>
          <w:sz w:val="20"/>
          <w:szCs w:val="20"/>
          <w:color w:val="auto"/>
        </w:rPr>
      </w:pPr>
    </w:p>
    <w:p>
      <w:pPr>
        <w:jc w:val="both"/>
        <w:ind w:right="60" w:firstLine="520"/>
        <w:spacing w:after="0" w:line="346" w:lineRule="auto"/>
        <w:rPr>
          <w:sz w:val="20"/>
          <w:szCs w:val="20"/>
          <w:color w:val="auto"/>
        </w:rPr>
      </w:pPr>
      <w:r>
        <w:rPr>
          <w:rFonts w:ascii="Arial" w:cs="Arial" w:eastAsia="Arial" w:hAnsi="Arial"/>
          <w:sz w:val="12"/>
          <w:szCs w:val="12"/>
          <w:color w:val="auto"/>
        </w:rPr>
        <w:t>More recently, in 2010, President Obama signed into law the Patient Protection and Affordable Care Act, as amended by the Health Care and Education Affordability Reconciliation Act, or collectively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Among the provisions of the Affordable Care Act of importance to our potential product candidates are the following:</w:t>
      </w:r>
    </w:p>
    <w:p>
      <w:pPr>
        <w:spacing w:after="0" w:line="90" w:lineRule="exact"/>
        <w:rPr>
          <w:sz w:val="20"/>
          <w:szCs w:val="20"/>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establishment of a new pathway for approval of lower-cost biosimilars to compete with biologic products, such as those we are developing;</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90" w:lineRule="exact"/>
        <w:rPr>
          <w:rFonts w:ascii="Arial" w:cs="Arial" w:eastAsia="Arial" w:hAnsi="Arial"/>
          <w:sz w:val="15"/>
          <w:szCs w:val="15"/>
          <w:color w:val="auto"/>
        </w:rPr>
      </w:pPr>
    </w:p>
    <w:p>
      <w:pPr>
        <w:ind w:left="1040" w:right="140" w:hanging="518"/>
        <w:spacing w:after="0" w:line="262" w:lineRule="auto"/>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expansion of healthcare fraud and abuse laws, including the False Claims Act and the Anti- Kickback Statute, new government investigative powers and enhanced penalties for noncompliance;</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new Medicare Part D coverage gap discount program, in which manufacturers must agree to offer 50% point-of-sale discounts off negotiated prices;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new requirements to report financial arrangements with physicians and teaching hospitals;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90" w:lineRule="exact"/>
        <w:rPr>
          <w:rFonts w:ascii="Arial" w:cs="Arial" w:eastAsia="Arial" w:hAnsi="Arial"/>
          <w:sz w:val="15"/>
          <w:szCs w:val="15"/>
          <w:color w:val="auto"/>
        </w:rPr>
      </w:pPr>
    </w:p>
    <w:p>
      <w:pPr>
        <w:ind w:left="1040" w:right="460" w:hanging="518"/>
        <w:spacing w:after="0" w:line="262" w:lineRule="auto"/>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new Patient-Centered Outcomes Research Institute to oversee, identify priorities in and conduct comparative clinical effectiveness research, along with funding for such research.</w:t>
      </w:r>
    </w:p>
    <w:p>
      <w:pPr>
        <w:spacing w:after="0" w:line="148" w:lineRule="exact"/>
        <w:rPr>
          <w:sz w:val="20"/>
          <w:szCs w:val="20"/>
          <w:color w:val="auto"/>
        </w:rPr>
      </w:pPr>
    </w:p>
    <w:p>
      <w:pPr>
        <w:ind w:right="60" w:firstLine="520"/>
        <w:spacing w:after="0" w:line="249" w:lineRule="auto"/>
        <w:rPr>
          <w:sz w:val="20"/>
          <w:szCs w:val="20"/>
          <w:color w:val="auto"/>
        </w:rPr>
      </w:pPr>
      <w:r>
        <w:rPr>
          <w:rFonts w:ascii="Arial" w:cs="Arial" w:eastAsia="Arial" w:hAnsi="Arial"/>
          <w:sz w:val="15"/>
          <w:szCs w:val="15"/>
          <w:color w:val="auto"/>
        </w:rPr>
        <w:t>In addition, other legislative changes have been proposed and adopted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654" w:right="259" w:bottom="1440" w:gutter="0" w:footer="0" w:header="0"/>
        </w:sectPr>
      </w:pPr>
    </w:p>
    <w:bookmarkStart w:id="51" w:name="page52"/>
    <w:bookmarkEnd w:id="51"/>
    <w:p>
      <w:pPr>
        <w:ind w:right="60"/>
        <w:spacing w:after="0" w:line="252" w:lineRule="auto"/>
        <w:rPr>
          <w:sz w:val="20"/>
          <w:szCs w:val="20"/>
          <w:color w:val="auto"/>
        </w:rPr>
      </w:pPr>
      <w:r>
        <w:rPr>
          <w:rFonts w:ascii="Arial" w:cs="Arial" w:eastAsia="Arial" w:hAnsi="Arial"/>
          <w:sz w:val="15"/>
          <w:szCs w:val="15"/>
          <w:color w:val="auto"/>
        </w:rPr>
        <w:t>April 1, 2013 and, due to subsequent legislative amendments, will remain in effect through 2025 unless additional Congressional action is taken. On January 2, 2013, President Obama signed into law the American Taxpayer Relief Act of 2012, which, among other things, reduced Medicare payments to several providers, including hospitals. These new laws may result in additional reductions in Medicare and other healthcare funding and otherwise affect the prices we may obtain.</w:t>
      </w:r>
    </w:p>
    <w:p>
      <w:pPr>
        <w:spacing w:after="0" w:line="157" w:lineRule="exact"/>
        <w:rPr>
          <w:sz w:val="20"/>
          <w:szCs w:val="20"/>
          <w:color w:val="auto"/>
        </w:rPr>
      </w:pPr>
    </w:p>
    <w:p>
      <w:pPr>
        <w:ind w:right="300" w:firstLine="520"/>
        <w:spacing w:after="0" w:line="249" w:lineRule="auto"/>
        <w:rPr>
          <w:sz w:val="20"/>
          <w:szCs w:val="20"/>
          <w:color w:val="auto"/>
        </w:rPr>
      </w:pPr>
      <w:r>
        <w:rPr>
          <w:rFonts w:ascii="Arial" w:cs="Arial" w:eastAsia="Arial" w:hAnsi="Arial"/>
          <w:sz w:val="15"/>
          <w:szCs w:val="15"/>
          <w:color w:val="auto"/>
        </w:rPr>
        <w:t>We expect that the Affordable Care Act,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9"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90"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 priced member states, can further reduce prices. To obtain reimbursement or pricing approval in some countries, we may be required to conduct a clinical trial that compares the cost-effectiveness of our product candidate to other available therapies. If coverage and reimbursement of our products are unavailable or limited in scope or amount, or if pricing is set at unsatisfactory levels, our business could be harmed, possibly materially.</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harm our business.</w:t>
      </w:r>
    </w:p>
    <w:p>
      <w:pPr>
        <w:spacing w:after="0" w:line="102" w:lineRule="exact"/>
        <w:rPr>
          <w:sz w:val="20"/>
          <w:szCs w:val="20"/>
          <w:color w:val="auto"/>
        </w:rPr>
      </w:pPr>
    </w:p>
    <w:p>
      <w:pPr>
        <w:ind w:firstLine="520"/>
        <w:spacing w:after="0" w:line="270"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5" w:lineRule="exact"/>
        <w:rPr>
          <w:sz w:val="20"/>
          <w:szCs w:val="20"/>
          <w:color w:val="auto"/>
        </w:rPr>
      </w:pPr>
    </w:p>
    <w:p>
      <w:pPr>
        <w:ind w:right="140" w:firstLine="520"/>
        <w:spacing w:after="0" w:line="252"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7" w:lineRule="exact"/>
        <w:rPr>
          <w:sz w:val="20"/>
          <w:szCs w:val="20"/>
          <w:color w:val="auto"/>
        </w:rPr>
      </w:pPr>
    </w:p>
    <w:p>
      <w:pPr>
        <w:ind w:right="200" w:firstLine="520"/>
        <w:spacing w:after="0" w:line="387"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2"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38" w:lineRule="exact"/>
        <w:rPr>
          <w:sz w:val="20"/>
          <w:szCs w:val="20"/>
          <w:color w:val="auto"/>
        </w:rPr>
      </w:pPr>
    </w:p>
    <w:p>
      <w:pPr>
        <w:jc w:val="both"/>
        <w:ind w:right="540" w:firstLine="520"/>
        <w:spacing w:after="0" w:line="346" w:lineRule="auto"/>
        <w:rPr>
          <w:sz w:val="20"/>
          <w:szCs w:val="20"/>
          <w:color w:val="auto"/>
        </w:rPr>
      </w:pPr>
      <w:r>
        <w:rPr>
          <w:rFonts w:ascii="Arial" w:cs="Arial" w:eastAsia="Arial" w:hAnsi="Arial"/>
          <w:sz w:val="12"/>
          <w:szCs w:val="12"/>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03"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state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150" w:lineRule="exact"/>
        <w:rPr>
          <w:sz w:val="20"/>
          <w:szCs w:val="20"/>
          <w:color w:val="auto"/>
        </w:rPr>
      </w:pPr>
    </w:p>
    <w:p>
      <w:pPr>
        <w:ind w:right="160" w:firstLine="520"/>
        <w:spacing w:after="0" w:line="248" w:lineRule="auto"/>
        <w:rPr>
          <w:sz w:val="20"/>
          <w:szCs w:val="20"/>
          <w:color w:val="auto"/>
        </w:rPr>
      </w:pPr>
      <w:r>
        <w:rPr>
          <w:rFonts w:ascii="Arial" w:cs="Arial" w:eastAsia="Arial" w:hAnsi="Arial"/>
          <w:sz w:val="15"/>
          <w:szCs w:val="15"/>
          <w:color w:val="auto"/>
        </w:rPr>
        <w:t>If, in the future,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59" w:lineRule="exact"/>
        <w:rPr>
          <w:sz w:val="20"/>
          <w:szCs w:val="20"/>
          <w:color w:val="auto"/>
        </w:rPr>
      </w:pPr>
    </w:p>
    <w:p>
      <w:pPr>
        <w:ind w:right="20" w:firstLine="520"/>
        <w:spacing w:after="0" w:line="316" w:lineRule="auto"/>
        <w:rPr>
          <w:sz w:val="20"/>
          <w:szCs w:val="20"/>
          <w:color w:val="auto"/>
        </w:rPr>
      </w:pPr>
      <w:r>
        <w:rPr>
          <w:rFonts w:ascii="Arial" w:cs="Arial" w:eastAsia="Arial" w:hAnsi="Arial"/>
          <w:sz w:val="12"/>
          <w:szCs w:val="12"/>
          <w:color w:val="auto"/>
        </w:rPr>
        <w:t>Our patent portfolio is in the early stages of prosecution. We currently have four issued U.S. patents. Although we have numerous patent applications pending, substantive prosecution has begun in only a small number of those applications.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122"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9" w:lineRule="exact"/>
        <w:rPr>
          <w:sz w:val="20"/>
          <w:szCs w:val="20"/>
          <w:color w:val="auto"/>
        </w:rPr>
      </w:pPr>
    </w:p>
    <w:p>
      <w:pPr>
        <w:ind w:right="40" w:firstLine="520"/>
        <w:spacing w:after="0" w:line="248"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53" w:name="page54"/>
    <w:bookmarkEnd w:id="53"/>
    <w:p>
      <w:pPr>
        <w:ind w:right="120"/>
        <w:spacing w:after="0" w:line="252" w:lineRule="auto"/>
        <w:rPr>
          <w:sz w:val="20"/>
          <w:szCs w:val="20"/>
          <w:color w:val="auto"/>
        </w:rPr>
      </w:pPr>
      <w:r>
        <w:rPr>
          <w:rFonts w:ascii="Arial" w:cs="Arial" w:eastAsia="Arial" w:hAnsi="Arial"/>
          <w:sz w:val="15"/>
          <w:szCs w:val="15"/>
          <w:color w:val="auto"/>
        </w:rPr>
        <w:t>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57" w:lineRule="exact"/>
        <w:rPr>
          <w:sz w:val="20"/>
          <w:szCs w:val="20"/>
          <w:color w:val="auto"/>
        </w:rPr>
      </w:pPr>
    </w:p>
    <w:p>
      <w:pPr>
        <w:ind w:firstLine="520"/>
        <w:spacing w:after="0" w:line="320" w:lineRule="auto"/>
        <w:rPr>
          <w:sz w:val="20"/>
          <w:szCs w:val="20"/>
          <w:color w:val="auto"/>
        </w:rPr>
      </w:pPr>
      <w:r>
        <w:rPr>
          <w:rFonts w:ascii="Arial" w:cs="Arial" w:eastAsia="Arial" w:hAnsi="Arial"/>
          <w:sz w:val="12"/>
          <w:szCs w:val="12"/>
          <w:color w:val="auto"/>
        </w:rPr>
        <w:t>We may be subject to a third-party preissuance submission of prior art to the United States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96" w:lineRule="exact"/>
        <w:rPr>
          <w:sz w:val="20"/>
          <w:szCs w:val="20"/>
          <w:color w:val="auto"/>
        </w:rPr>
      </w:pPr>
    </w:p>
    <w:p>
      <w:pPr>
        <w:ind w:right="60" w:firstLine="520"/>
        <w:spacing w:after="0" w:line="325" w:lineRule="auto"/>
        <w:rPr>
          <w:sz w:val="20"/>
          <w:szCs w:val="20"/>
          <w:color w:val="auto"/>
        </w:rPr>
      </w:pPr>
      <w:r>
        <w:rPr>
          <w:rFonts w:ascii="Arial" w:cs="Arial" w:eastAsia="Arial" w:hAnsi="Arial"/>
          <w:sz w:val="12"/>
          <w:szCs w:val="12"/>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degree of future protection for our proprietary rights is uncertain, and we cannot ensure that:</w:t>
      </w:r>
    </w:p>
    <w:p>
      <w:pPr>
        <w:spacing w:after="0" w:line="90" w:lineRule="exact"/>
        <w:rPr>
          <w:sz w:val="20"/>
          <w:szCs w:val="20"/>
          <w:color w:val="auto"/>
        </w:rPr>
      </w:pPr>
    </w:p>
    <w:p>
      <w:pPr>
        <w:ind w:left="1040" w:hanging="518"/>
        <w:spacing w:after="0"/>
        <w:tabs>
          <w:tab w:leader="none" w:pos="10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any of our pending patent applications, if issued, will include claims having a scope sufficient to protect our product candidates or any other products or product candidates;</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of our pending patent applications will issue as patents at all;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will be able to successfully commercialize our product candidates, if approved, before our relevant patents expire;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were the first to make the inventions covered by any existing patent and pending patent applications;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were the first to file patent applications for these inventions;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others will not develop similar or alternative technologies that do not infringe or design around our patents;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others will not use pre-existing technology to effectively compete against us;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of our patents, if issued, will be found to ultimately be valid and enforceable;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third parties will not compete with us in jurisdictions where we do not pursue and obtain patent protection;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will be able to obtain and/or maintain necessary or useful licenses on reasonable terms or at all;</w:t>
      </w:r>
    </w:p>
    <w:p>
      <w:pPr>
        <w:spacing w:after="0" w:line="90" w:lineRule="exact"/>
        <w:rPr>
          <w:rFonts w:ascii="Arial" w:cs="Arial" w:eastAsia="Arial" w:hAnsi="Arial"/>
          <w:sz w:val="15"/>
          <w:szCs w:val="15"/>
          <w:color w:val="auto"/>
        </w:rPr>
      </w:pPr>
    </w:p>
    <w:p>
      <w:pPr>
        <w:ind w:left="1040" w:right="540" w:hanging="518"/>
        <w:spacing w:after="0" w:line="262" w:lineRule="auto"/>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patents issued to us will provide a basis for an exclusive market for our commercially viable products, will provide us with any competitive advantages or will not be challenged by third parties;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will develop additional proprietary technologies or product candidates that are separately patentable; or</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commercial activities or products will not infringe upon the patents or proprietary rights of others.</w:t>
      </w:r>
    </w:p>
    <w:p>
      <w:pPr>
        <w:spacing w:after="0" w:line="178" w:lineRule="exact"/>
        <w:rPr>
          <w:sz w:val="20"/>
          <w:szCs w:val="20"/>
          <w:color w:val="auto"/>
        </w:rPr>
      </w:pPr>
    </w:p>
    <w:p>
      <w:pPr>
        <w:ind w:right="80" w:firstLine="520"/>
        <w:spacing w:after="0" w:line="268"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54" w:name="page55"/>
    <w:bookmarkEnd w:id="54"/>
    <w:p>
      <w:pPr>
        <w:spacing w:after="0" w:line="387" w:lineRule="auto"/>
        <w:rPr>
          <w:sz w:val="20"/>
          <w:szCs w:val="20"/>
          <w:color w:val="auto"/>
        </w:rPr>
      </w:pPr>
      <w:r>
        <w:rPr>
          <w:rFonts w:ascii="Arial" w:cs="Arial" w:eastAsia="Arial" w:hAnsi="Arial"/>
          <w:sz w:val="12"/>
          <w:szCs w:val="12"/>
          <w:color w:val="auto"/>
        </w:rPr>
        <w:t>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and know-how, our business and competitive position may be harmed.</w:t>
      </w:r>
    </w:p>
    <w:p>
      <w:pPr>
        <w:spacing w:after="0" w:line="90" w:lineRule="exact"/>
        <w:rPr>
          <w:sz w:val="20"/>
          <w:szCs w:val="20"/>
          <w:color w:val="auto"/>
        </w:rPr>
      </w:pPr>
    </w:p>
    <w:p>
      <w:pPr>
        <w:ind w:firstLine="520"/>
        <w:spacing w:after="0" w:line="316" w:lineRule="auto"/>
        <w:rPr>
          <w:sz w:val="20"/>
          <w:szCs w:val="20"/>
          <w:color w:val="auto"/>
        </w:rPr>
      </w:pPr>
      <w:r>
        <w:rPr>
          <w:rFonts w:ascii="Arial" w:cs="Arial" w:eastAsia="Arial" w:hAnsi="Arial"/>
          <w:sz w:val="12"/>
          <w:szCs w:val="12"/>
          <w:color w:val="auto"/>
        </w:rPr>
        <w:t>In addition to seeking patents for some of our technology and product candidates, we also utilize on trade secrets, including unpatented know-how, technology and other proprietary information, to maintain our competitive position. We seek to protect these trade secrets, in part, by entering into non- 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products.</w:t>
      </w:r>
    </w:p>
    <w:p>
      <w:pPr>
        <w:spacing w:after="0" w:line="90" w:lineRule="exact"/>
        <w:rPr>
          <w:sz w:val="20"/>
          <w:szCs w:val="20"/>
          <w:color w:val="auto"/>
        </w:rPr>
      </w:pPr>
    </w:p>
    <w:p>
      <w:pPr>
        <w:ind w:firstLine="520"/>
        <w:spacing w:after="0" w:line="264" w:lineRule="auto"/>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152"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46" w:lineRule="exact"/>
        <w:rPr>
          <w:sz w:val="20"/>
          <w:szCs w:val="20"/>
          <w:color w:val="auto"/>
        </w:rPr>
      </w:pPr>
    </w:p>
    <w:p>
      <w:pPr>
        <w:ind w:right="280" w:firstLine="520"/>
        <w:spacing w:after="0" w:line="252" w:lineRule="auto"/>
        <w:rPr>
          <w:sz w:val="20"/>
          <w:szCs w:val="20"/>
          <w:color w:val="auto"/>
        </w:rPr>
      </w:pPr>
      <w:r>
        <w:rPr>
          <w:rFonts w:ascii="Arial" w:cs="Arial" w:eastAsia="Arial" w:hAnsi="Arial"/>
          <w:sz w:val="15"/>
          <w:szCs w:val="15"/>
          <w:color w:val="auto"/>
        </w:rPr>
        <w:t>In addition, recent United States Supreme Court rulings have narrowed the scope of patent protection available in certain circumstances and weakened the rights of patent owners in certain situations. From time to time, the U.S. Supreme Court, other federal courts, the United States Congress, or the USPTO, may change the standards of patentability and any such changes could have a negative impact on our business.</w:t>
      </w:r>
    </w:p>
    <w:p>
      <w:pPr>
        <w:spacing w:after="0" w:line="157" w:lineRule="exact"/>
        <w:rPr>
          <w:sz w:val="20"/>
          <w:szCs w:val="20"/>
          <w:color w:val="auto"/>
        </w:rPr>
      </w:pPr>
    </w:p>
    <w:p>
      <w:pPr>
        <w:ind w:right="260" w:firstLine="520"/>
        <w:spacing w:after="0" w:line="262" w:lineRule="auto"/>
        <w:rPr>
          <w:sz w:val="20"/>
          <w:szCs w:val="20"/>
          <w:color w:val="auto"/>
        </w:rPr>
      </w:pPr>
      <w:r>
        <w:rPr>
          <w:rFonts w:ascii="Arial" w:cs="Arial" w:eastAsia="Arial" w:hAnsi="Arial"/>
          <w:sz w:val="15"/>
          <w:szCs w:val="15"/>
          <w:color w:val="auto"/>
        </w:rPr>
        <w:t>A number of recent cases decided by the Supreme Court have involved questions of when claims reciting abstract ideas, laws of nature, natural phenomena and/or natural products are eligible for a patent, regardless of whether the claimed subject matter is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55" w:name="page56"/>
    <w:bookmarkEnd w:id="55"/>
    <w:p>
      <w:pPr>
        <w:spacing w:after="0" w:line="252" w:lineRule="auto"/>
        <w:rPr>
          <w:sz w:val="20"/>
          <w:szCs w:val="20"/>
          <w:color w:val="auto"/>
        </w:rPr>
      </w:pPr>
      <w:r>
        <w:rPr>
          <w:rFonts w:ascii="Arial" w:cs="Arial" w:eastAsia="Arial" w:hAnsi="Arial"/>
          <w:sz w:val="15"/>
          <w:szCs w:val="15"/>
          <w:color w:val="auto"/>
        </w:rPr>
        <w:t xml:space="preserve">otherwise novel and inventive. These cases include </w:t>
      </w:r>
      <w:r>
        <w:rPr>
          <w:rFonts w:ascii="Arial" w:cs="Arial" w:eastAsia="Arial" w:hAnsi="Arial"/>
          <w:sz w:val="15"/>
          <w:szCs w:val="15"/>
          <w:i w:val="1"/>
          <w:iCs w:val="1"/>
          <w:color w:val="auto"/>
        </w:rPr>
        <w:t>Association for Molecular Pathology v. Myriad Genetics, Inc.</w:t>
      </w:r>
      <w:r>
        <w:rPr>
          <w:rFonts w:ascii="Arial" w:cs="Arial" w:eastAsia="Arial" w:hAnsi="Arial"/>
          <w:sz w:val="15"/>
          <w:szCs w:val="15"/>
          <w:color w:val="auto"/>
        </w:rPr>
        <w:t xml:space="preserve">, 569 U.S. 12-398 (2013) or Myriad; </w:t>
      </w:r>
      <w:r>
        <w:rPr>
          <w:rFonts w:ascii="Arial" w:cs="Arial" w:eastAsia="Arial" w:hAnsi="Arial"/>
          <w:sz w:val="15"/>
          <w:szCs w:val="15"/>
          <w:i w:val="1"/>
          <w:iCs w:val="1"/>
          <w:color w:val="auto"/>
        </w:rPr>
        <w:t>Alice Corp. v. CLS Bank International</w:t>
      </w:r>
      <w:r>
        <w:rPr>
          <w:rFonts w:ascii="Arial" w:cs="Arial" w:eastAsia="Arial" w:hAnsi="Arial"/>
          <w:sz w:val="15"/>
          <w:szCs w:val="15"/>
          <w:color w:val="auto"/>
        </w:rPr>
        <w:t xml:space="preserve">, 573 U.S. 13-298 (2014); and </w:t>
      </w:r>
      <w:r>
        <w:rPr>
          <w:rFonts w:ascii="Arial" w:cs="Arial" w:eastAsia="Arial" w:hAnsi="Arial"/>
          <w:sz w:val="15"/>
          <w:szCs w:val="15"/>
          <w:i w:val="1"/>
          <w:iCs w:val="1"/>
          <w:color w:val="auto"/>
        </w:rPr>
        <w:t>Mayo Collaborative Services v. Prometheus Laboratories, Inc.</w:t>
      </w:r>
      <w:r>
        <w:rPr>
          <w:rFonts w:ascii="Arial" w:cs="Arial" w:eastAsia="Arial" w:hAnsi="Arial"/>
          <w:sz w:val="15"/>
          <w:szCs w:val="15"/>
          <w:color w:val="auto"/>
        </w:rPr>
        <w:t>, or Prometheus, 566 U.S. 10-1150 (2012). In response to these cases, the USPTO has issued guidance to the examining corps.</w:t>
      </w:r>
    </w:p>
    <w:p>
      <w:pPr>
        <w:spacing w:after="0" w:line="157" w:lineRule="exact"/>
        <w:rPr>
          <w:sz w:val="20"/>
          <w:szCs w:val="20"/>
          <w:color w:val="auto"/>
        </w:rPr>
      </w:pPr>
    </w:p>
    <w:p>
      <w:pPr>
        <w:ind w:firstLine="520"/>
        <w:spacing w:after="0" w:line="316" w:lineRule="auto"/>
        <w:rPr>
          <w:sz w:val="20"/>
          <w:szCs w:val="20"/>
          <w:color w:val="auto"/>
        </w:rPr>
      </w:pPr>
      <w:r>
        <w:rPr>
          <w:rFonts w:ascii="Arial" w:cs="Arial" w:eastAsia="Arial" w:hAnsi="Arial"/>
          <w:sz w:val="12"/>
          <w:szCs w:val="12"/>
          <w:color w:val="auto"/>
        </w:rPr>
        <w:t>The full impact of these decisions is not yet known. The Myriad decision, issued on June 13, 2013, is the most recent Supreme Court decision to address patent eligibility of natural products. Our current product candidates include natural products, therefore, this decision and its interpretation by the courts and the USPTO may impact prosecution, defense and enforcement of our patent portfolio. In Myriad, the Court held that claims to isolated genomic DNA are not patentable, but claims to complementary DNA, or cDNA, molecules, which are not genomic sequences, may be patent eligible because they are not a natural product. The effect of the decision on patents for other isolated natural products is uncertain. However, on March 4, 2014, the USPTO issued a memorandum to patent examiners providing guidance for examining claims that recite laws of nature, natural phenomena or natural products under the Myriad and Prometheus decisions. The guidance did not limit the application of Myriad to DNA but, rather, applied the decision broadly to other natural products, which may include our product candidates. The March 4, 2014 memorandum and the USPTO’s interpretation of the cases and announced examination rubric received widespread criticism from stakeholders during a public comment period and was superseded by interim guidance published on December 15, 2014. Additional guidance was published in July 2015 (July 2015 Update: Subject Matter Eligibility). The USPTO’s interpretation of the case law and new guidelines for examination may influence, possibly adversely, prosecution and defense of certain types of claims in our portfolio.</w:t>
      </w:r>
    </w:p>
    <w:p>
      <w:pPr>
        <w:spacing w:after="0" w:line="297" w:lineRule="exact"/>
        <w:rPr>
          <w:sz w:val="20"/>
          <w:szCs w:val="20"/>
          <w:color w:val="auto"/>
        </w:rPr>
      </w:pPr>
    </w:p>
    <w:p>
      <w:pPr>
        <w:ind w:right="40" w:firstLine="520"/>
        <w:spacing w:after="0" w:line="249" w:lineRule="auto"/>
        <w:rPr>
          <w:sz w:val="20"/>
          <w:szCs w:val="20"/>
          <w:color w:val="auto"/>
        </w:rPr>
      </w:pPr>
      <w:r>
        <w:rPr>
          <w:rFonts w:ascii="Arial" w:cs="Arial" w:eastAsia="Arial" w:hAnsi="Arial"/>
          <w:sz w:val="15"/>
          <w:szCs w:val="15"/>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1" w:lineRule="exact"/>
        <w:rPr>
          <w:sz w:val="20"/>
          <w:szCs w:val="20"/>
          <w:color w:val="auto"/>
        </w:rPr>
      </w:pPr>
    </w:p>
    <w:p>
      <w:pPr>
        <w:ind w:right="40" w:firstLine="520"/>
        <w:spacing w:after="0" w:line="249"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159" w:lineRule="exact"/>
        <w:rPr>
          <w:sz w:val="20"/>
          <w:szCs w:val="20"/>
          <w:color w:val="auto"/>
        </w:rPr>
      </w:pPr>
    </w:p>
    <w:p>
      <w:pPr>
        <w:ind w:firstLine="520"/>
        <w:spacing w:after="0" w:line="313" w:lineRule="auto"/>
        <w:rPr>
          <w:sz w:val="20"/>
          <w:szCs w:val="20"/>
          <w:color w:val="auto"/>
        </w:rPr>
      </w:pPr>
      <w:r>
        <w:rPr>
          <w:rFonts w:ascii="Arial" w:cs="Arial" w:eastAsia="Arial" w:hAnsi="Arial"/>
          <w:sz w:val="12"/>
          <w:szCs w:val="12"/>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a third-party patent family that includes issued and allowed patents, including in the United States, with claims that, if valid and enforceable, could be construed to cover some of our product candidates or their methods of use.</w:t>
      </w:r>
    </w:p>
    <w:p>
      <w:pPr>
        <w:spacing w:after="0" w:line="301"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56" w:name="page57"/>
    <w:bookmarkEnd w:id="56"/>
    <w:p>
      <w:pPr>
        <w:ind w:right="20"/>
        <w:spacing w:after="0" w:line="252" w:lineRule="auto"/>
        <w:rPr>
          <w:sz w:val="20"/>
          <w:szCs w:val="20"/>
          <w:color w:val="auto"/>
        </w:rPr>
      </w:pPr>
      <w:r>
        <w:rPr>
          <w:rFonts w:ascii="Arial" w:cs="Arial" w:eastAsia="Arial" w:hAnsi="Arial"/>
          <w:sz w:val="15"/>
          <w:szCs w:val="15"/>
          <w:color w:val="auto"/>
        </w:rPr>
        <w:t>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57"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46" w:lineRule="exact"/>
        <w:rPr>
          <w:sz w:val="20"/>
          <w:szCs w:val="20"/>
          <w:color w:val="auto"/>
        </w:rPr>
      </w:pPr>
    </w:p>
    <w:p>
      <w:pPr>
        <w:ind w:right="140" w:firstLine="520"/>
        <w:spacing w:after="0" w:line="249" w:lineRule="auto"/>
        <w:rPr>
          <w:sz w:val="20"/>
          <w:szCs w:val="20"/>
          <w:color w:val="auto"/>
        </w:rPr>
      </w:pPr>
      <w:r>
        <w:rPr>
          <w:rFonts w:ascii="Arial" w:cs="Arial" w:eastAsia="Arial" w:hAnsi="Arial"/>
          <w:sz w:val="15"/>
          <w:szCs w:val="15"/>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72" w:lineRule="exact"/>
        <w:rPr>
          <w:sz w:val="20"/>
          <w:szCs w:val="20"/>
          <w:color w:val="auto"/>
        </w:rPr>
      </w:pPr>
    </w:p>
    <w:p>
      <w:pPr>
        <w:ind w:left="1040" w:hanging="518"/>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90" w:lineRule="exact"/>
        <w:rPr>
          <w:rFonts w:ascii="Arial" w:cs="Arial" w:eastAsia="Arial" w:hAnsi="Arial"/>
          <w:sz w:val="15"/>
          <w:szCs w:val="15"/>
          <w:color w:val="auto"/>
        </w:rPr>
      </w:pPr>
    </w:p>
    <w:p>
      <w:pPr>
        <w:ind w:left="1040" w:right="340" w:hanging="518"/>
        <w:spacing w:after="0" w:line="262" w:lineRule="auto"/>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Any of these risks coming to fruition could have a material adverse effect on our business, results of operations, financial condition and prospects.</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or could be interpreted narrowly if challenged in court.</w:t>
      </w:r>
    </w:p>
    <w:p>
      <w:pPr>
        <w:spacing w:after="0" w:line="90" w:lineRule="exact"/>
        <w:rPr>
          <w:sz w:val="20"/>
          <w:szCs w:val="20"/>
          <w:color w:val="auto"/>
        </w:rPr>
      </w:pPr>
    </w:p>
    <w:p>
      <w:pPr>
        <w:ind w:firstLine="520"/>
        <w:spacing w:after="0" w:line="312" w:lineRule="auto"/>
        <w:rPr>
          <w:sz w:val="20"/>
          <w:szCs w:val="20"/>
          <w:color w:val="auto"/>
        </w:rPr>
      </w:pPr>
      <w:r>
        <w:rPr>
          <w:rFonts w:ascii="Arial" w:cs="Arial" w:eastAsia="Arial" w:hAnsi="Arial"/>
          <w:sz w:val="12"/>
          <w:szCs w:val="12"/>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57" w:name="page58"/>
    <w:bookmarkEnd w:id="57"/>
    <w:p>
      <w:pPr>
        <w:spacing w:after="0" w:line="262"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1" w:lineRule="exact"/>
        <w:rPr>
          <w:sz w:val="20"/>
          <w:szCs w:val="20"/>
          <w:color w:val="auto"/>
        </w:rPr>
      </w:pPr>
    </w:p>
    <w:p>
      <w:pPr>
        <w:ind w:right="60" w:firstLine="520"/>
        <w:spacing w:after="0" w:line="246"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90"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59" w:lineRule="exact"/>
        <w:rPr>
          <w:sz w:val="20"/>
          <w:szCs w:val="20"/>
          <w:color w:val="auto"/>
        </w:rPr>
      </w:pPr>
    </w:p>
    <w:p>
      <w:pPr>
        <w:ind w:right="80" w:firstLine="520"/>
        <w:spacing w:after="0" w:line="346" w:lineRule="auto"/>
        <w:rPr>
          <w:sz w:val="20"/>
          <w:szCs w:val="20"/>
          <w:color w:val="auto"/>
        </w:rPr>
      </w:pPr>
      <w:r>
        <w:rPr>
          <w:rFonts w:ascii="Arial" w:cs="Arial" w:eastAsia="Arial" w:hAnsi="Arial"/>
          <w:sz w:val="12"/>
          <w:szCs w:val="12"/>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1" w:lineRule="exact"/>
        <w:rPr>
          <w:sz w:val="20"/>
          <w:szCs w:val="20"/>
          <w:color w:val="auto"/>
        </w:rPr>
      </w:pPr>
    </w:p>
    <w:p>
      <w:pPr>
        <w:ind w:right="580"/>
        <w:spacing w:after="0" w:line="262"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1" w:lineRule="exact"/>
        <w:rPr>
          <w:sz w:val="20"/>
          <w:szCs w:val="20"/>
          <w:color w:val="auto"/>
        </w:rPr>
      </w:pPr>
    </w:p>
    <w:p>
      <w:pPr>
        <w:ind w:right="180" w:firstLine="520"/>
        <w:spacing w:after="0" w:line="325" w:lineRule="auto"/>
        <w:rPr>
          <w:sz w:val="20"/>
          <w:szCs w:val="20"/>
          <w:color w:val="auto"/>
        </w:rPr>
      </w:pPr>
      <w:r>
        <w:rPr>
          <w:rFonts w:ascii="Arial" w:cs="Arial" w:eastAsia="Arial" w:hAnsi="Arial"/>
          <w:sz w:val="12"/>
          <w:szCs w:val="12"/>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16"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63" w:lineRule="exact"/>
        <w:rPr>
          <w:sz w:val="20"/>
          <w:szCs w:val="20"/>
          <w:color w:val="auto"/>
        </w:rPr>
      </w:pPr>
    </w:p>
    <w:p>
      <w:pPr>
        <w:ind w:right="140" w:firstLine="520"/>
        <w:spacing w:after="0" w:line="262"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41" w:right="21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25" w:lineRule="exact"/>
        <w:rPr>
          <w:sz w:val="20"/>
          <w:szCs w:val="20"/>
          <w:color w:val="auto"/>
        </w:rPr>
      </w:pPr>
    </w:p>
    <w:p>
      <w:pPr>
        <w:ind w:firstLine="520"/>
        <w:spacing w:after="0" w:line="318" w:lineRule="auto"/>
        <w:rPr>
          <w:sz w:val="20"/>
          <w:szCs w:val="20"/>
          <w:color w:val="auto"/>
        </w:rPr>
      </w:pPr>
      <w:r>
        <w:rPr>
          <w:rFonts w:ascii="Arial" w:cs="Arial" w:eastAsia="Arial" w:hAnsi="Arial"/>
          <w:sz w:val="12"/>
          <w:szCs w:val="12"/>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8"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1" w:lineRule="exact"/>
        <w:rPr>
          <w:sz w:val="20"/>
          <w:szCs w:val="20"/>
          <w:color w:val="auto"/>
        </w:rPr>
      </w:pPr>
    </w:p>
    <w:p>
      <w:pPr>
        <w:ind w:right="60" w:firstLine="520"/>
        <w:spacing w:after="0" w:line="317" w:lineRule="auto"/>
        <w:rPr>
          <w:sz w:val="20"/>
          <w:szCs w:val="20"/>
          <w:color w:val="auto"/>
        </w:rPr>
      </w:pPr>
      <w:r>
        <w:rPr>
          <w:rFonts w:ascii="Arial" w:cs="Arial" w:eastAsia="Arial" w:hAnsi="Arial"/>
          <w:sz w:val="12"/>
          <w:szCs w:val="12"/>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candidates, the relevant statutory deadlines have not yet expired. Therefore, for each of the patent families that we believe provide coverage for our lead product candidates, we will need to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299" w:lineRule="exact"/>
        <w:rPr>
          <w:sz w:val="20"/>
          <w:szCs w:val="20"/>
          <w:color w:val="auto"/>
        </w:rPr>
      </w:pPr>
    </w:p>
    <w:p>
      <w:pPr>
        <w:ind w:right="220" w:firstLine="520"/>
        <w:spacing w:after="0" w:line="273" w:lineRule="auto"/>
        <w:rPr>
          <w:sz w:val="20"/>
          <w:szCs w:val="20"/>
          <w:color w:val="auto"/>
        </w:rPr>
      </w:pPr>
      <w:r>
        <w:rPr>
          <w:rFonts w:ascii="Arial" w:cs="Arial" w:eastAsia="Arial" w:hAnsi="Arial"/>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43" w:lineRule="exact"/>
        <w:rPr>
          <w:sz w:val="20"/>
          <w:szCs w:val="20"/>
          <w:color w:val="auto"/>
        </w:rPr>
      </w:pPr>
    </w:p>
    <w:p>
      <w:pPr>
        <w:ind w:right="60" w:firstLine="520"/>
        <w:spacing w:after="0" w:line="267"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46" w:lineRule="exact"/>
        <w:rPr>
          <w:sz w:val="20"/>
          <w:szCs w:val="20"/>
          <w:color w:val="auto"/>
        </w:rPr>
      </w:pPr>
    </w:p>
    <w:p>
      <w:pPr>
        <w:ind w:right="240" w:firstLine="520"/>
        <w:spacing w:after="0" w:line="252"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741" w:right="2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5"/>
          <w:szCs w:val="15"/>
          <w:b w:val="1"/>
          <w:bCs w:val="1"/>
          <w:color w:val="auto"/>
        </w:rPr>
        <w:t>Risks Related to Employee Matters and Managing Growth and Other Risks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Related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90" w:lineRule="exact"/>
        <w:rPr>
          <w:sz w:val="20"/>
          <w:szCs w:val="20"/>
          <w:color w:val="auto"/>
        </w:rPr>
      </w:pPr>
    </w:p>
    <w:p>
      <w:pPr>
        <w:ind w:right="20" w:firstLine="520"/>
        <w:spacing w:after="0" w:line="247" w:lineRule="auto"/>
        <w:rPr>
          <w:sz w:val="20"/>
          <w:szCs w:val="20"/>
          <w:color w:val="auto"/>
        </w:rPr>
      </w:pPr>
      <w:r>
        <w:rPr>
          <w:rFonts w:ascii="Arial" w:cs="Arial" w:eastAsia="Arial" w:hAnsi="Arial"/>
          <w:sz w:val="15"/>
          <w:szCs w:val="15"/>
          <w:color w:val="auto"/>
        </w:rPr>
        <w:t>We are highly dependent on Roger Pomerantz, our President and Chief Executive Officer and Chairman of the Board of Directors, as well as the other principal members of our management, scientific and clinical team, including Eric Shaff, our Chief Financial Officer and Executive Vice President, David Cook, our Chief Scientific Officer and Executive Vice President of Research &amp; Development, John Aunins, our Chief Technology Officer and Executive Vice President of Bioprocess &amp; Manufacturing, Michele Trucksis, our Chief Medical Officer and Executive Vice President, Wael Hashad, our Chief Commercial Officer, and Executive Vice President, and Matthew Henn, our Head of Drug Discovery &amp; Bioinformatics and Senior Vice President. Although we have entered into employment agreements with our executive officers, each of them may terminate their employment with us at any time. We do not maintain “key person” insurance for any of our executives or other employees.</w:t>
      </w:r>
    </w:p>
    <w:p>
      <w:pPr>
        <w:spacing w:after="0" w:line="160"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expand our operational capabilities, and as a result, we may encounter difficulties in managing our growth, which could disrupt our operations.</w:t>
      </w:r>
    </w:p>
    <w:p>
      <w:pPr>
        <w:spacing w:after="0" w:line="90" w:lineRule="exact"/>
        <w:rPr>
          <w:sz w:val="20"/>
          <w:szCs w:val="20"/>
          <w:color w:val="auto"/>
        </w:rPr>
      </w:pPr>
    </w:p>
    <w:p>
      <w:pPr>
        <w:ind w:right="60" w:firstLine="520"/>
        <w:spacing w:after="0" w:line="268"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internationally could materially adversely affect our business.</w:t>
      </w:r>
    </w:p>
    <w:p>
      <w:pPr>
        <w:spacing w:after="0" w:line="90" w:lineRule="exact"/>
        <w:rPr>
          <w:sz w:val="20"/>
          <w:szCs w:val="20"/>
          <w:color w:val="auto"/>
        </w:rPr>
      </w:pPr>
    </w:p>
    <w:p>
      <w:pPr>
        <w:ind w:right="240" w:firstLine="520"/>
        <w:spacing w:after="0" w:line="252" w:lineRule="auto"/>
        <w:rPr>
          <w:sz w:val="20"/>
          <w:szCs w:val="20"/>
          <w:color w:val="auto"/>
        </w:rPr>
      </w:pPr>
      <w:r>
        <w:rPr>
          <w:rFonts w:ascii="Arial" w:cs="Arial" w:eastAsia="Arial" w:hAnsi="Arial"/>
          <w:sz w:val="15"/>
          <w:szCs w:val="15"/>
          <w:color w:val="auto"/>
        </w:rPr>
        <w:t>We currently have limited international operations, but our business strategy incorporates potentially expanding internationally if any of our product candidates receive regulatory approval. We currently plan to rely on collaborators, including NHS, to commercialize any approved products outside of the United States. Doing business internationally involves a number of risks, including but not limited to:</w:t>
      </w:r>
    </w:p>
    <w:p>
      <w:pPr>
        <w:spacing w:after="0" w:line="69" w:lineRule="exact"/>
        <w:rPr>
          <w:sz w:val="20"/>
          <w:szCs w:val="20"/>
          <w:color w:val="auto"/>
        </w:rPr>
      </w:pPr>
    </w:p>
    <w:p>
      <w:pPr>
        <w:ind w:left="1040" w:hanging="518"/>
        <w:spacing w:after="0" w:line="262" w:lineRule="auto"/>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products in various countries;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and enforcing our intellectual property;</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associated with managing multiple payor reimbursement regimes, government payors or patient self-pay systems;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60" w:name="page61"/>
    <w:bookmarkEnd w:id="60"/>
    <w:p>
      <w:pPr>
        <w:ind w:left="1040" w:hanging="518"/>
        <w:spacing w:after="0"/>
        <w:tabs>
          <w:tab w:leader="none" w:pos="10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limits in our ability to penetrate international markets;</w:t>
      </w:r>
    </w:p>
    <w:p>
      <w:pPr>
        <w:spacing w:after="0" w:line="90" w:lineRule="exact"/>
        <w:rPr>
          <w:rFonts w:ascii="Arial" w:cs="Arial" w:eastAsia="Arial" w:hAnsi="Arial"/>
          <w:sz w:val="15"/>
          <w:szCs w:val="15"/>
          <w:color w:val="auto"/>
        </w:rPr>
      </w:pPr>
    </w:p>
    <w:p>
      <w:pPr>
        <w:ind w:left="1040" w:right="60" w:hanging="518"/>
        <w:spacing w:after="0" w:line="262" w:lineRule="auto"/>
        <w:tabs>
          <w:tab w:leader="none" w:pos="10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0" w:lineRule="exact"/>
        <w:rPr>
          <w:rFonts w:ascii="Arial" w:cs="Arial" w:eastAsia="Arial" w:hAnsi="Arial"/>
          <w:sz w:val="15"/>
          <w:szCs w:val="15"/>
          <w:color w:val="auto"/>
        </w:rPr>
      </w:pPr>
    </w:p>
    <w:p>
      <w:pPr>
        <w:ind w:left="1040" w:right="660" w:hanging="518"/>
        <w:spacing w:after="0" w:line="262" w:lineRule="auto"/>
        <w:tabs>
          <w:tab w:leader="none" w:pos="10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terrorism and political unrest, outbreak of disease, boycotts, curtailment of trade and other business restrictions;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 and</w:t>
      </w:r>
    </w:p>
    <w:p>
      <w:pPr>
        <w:spacing w:after="0" w:line="90" w:lineRule="exact"/>
        <w:rPr>
          <w:rFonts w:ascii="Arial" w:cs="Arial" w:eastAsia="Arial" w:hAnsi="Arial"/>
          <w:sz w:val="15"/>
          <w:szCs w:val="15"/>
          <w:color w:val="auto"/>
        </w:rPr>
      </w:pPr>
    </w:p>
    <w:p>
      <w:pPr>
        <w:ind w:left="1040" w:right="120" w:hanging="518"/>
        <w:spacing w:after="0" w:line="262" w:lineRule="auto"/>
        <w:tabs>
          <w:tab w:leader="none" w:pos="10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U.S. Foreign Corrupt Practices Act, or FCPA, its books and records provisions, or its anti-bribery provisions.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would suffer in the event of information technology and other system failures.</w:t>
      </w:r>
    </w:p>
    <w:p>
      <w:pPr>
        <w:spacing w:after="0" w:line="90" w:lineRule="exact"/>
        <w:rPr>
          <w:sz w:val="20"/>
          <w:szCs w:val="20"/>
          <w:color w:val="auto"/>
        </w:rPr>
      </w:pPr>
    </w:p>
    <w:p>
      <w:pPr>
        <w:ind w:firstLine="520"/>
        <w:spacing w:after="0" w:line="318" w:lineRule="auto"/>
        <w:rPr>
          <w:sz w:val="20"/>
          <w:szCs w:val="20"/>
          <w:color w:val="auto"/>
        </w:rPr>
      </w:pPr>
      <w:r>
        <w:rPr>
          <w:rFonts w:ascii="Arial" w:cs="Arial" w:eastAsia="Arial" w:hAnsi="Arial"/>
          <w:sz w:val="12"/>
          <w:szCs w:val="12"/>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Acquisitions or joint ventures could disrupt our business, cause dilution to our stockholders and otherwise harm our business.</w:t>
      </w:r>
    </w:p>
    <w:p>
      <w:pPr>
        <w:spacing w:after="0" w:line="90" w:lineRule="exact"/>
        <w:rPr>
          <w:sz w:val="20"/>
          <w:szCs w:val="20"/>
          <w:color w:val="auto"/>
        </w:rPr>
      </w:pPr>
    </w:p>
    <w:p>
      <w:pPr>
        <w:ind w:right="60" w:firstLine="520"/>
        <w:spacing w:after="0" w:line="252" w:lineRule="auto"/>
        <w:rPr>
          <w:sz w:val="20"/>
          <w:szCs w:val="20"/>
          <w:color w:val="auto"/>
        </w:rPr>
      </w:pPr>
      <w:r>
        <w:rPr>
          <w:rFonts w:ascii="Arial" w:cs="Arial" w:eastAsia="Arial" w:hAnsi="Arial"/>
          <w:sz w:val="15"/>
          <w:szCs w:val="15"/>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9" w:lineRule="exact"/>
        <w:rPr>
          <w:sz w:val="20"/>
          <w:szCs w:val="20"/>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unanticipated liabilities related to acquired companies;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78" w:lineRule="exact"/>
        <w:rPr>
          <w:sz w:val="20"/>
          <w:szCs w:val="20"/>
          <w:color w:val="auto"/>
        </w:rPr>
      </w:pPr>
    </w:p>
    <w:p>
      <w:pPr>
        <w:ind w:right="100" w:firstLine="520"/>
        <w:spacing w:after="0" w:line="262"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8" w:lineRule="exact"/>
        <w:rPr>
          <w:sz w:val="20"/>
          <w:szCs w:val="20"/>
          <w:color w:val="auto"/>
        </w:rPr>
      </w:pPr>
    </w:p>
    <w:p>
      <w:pPr>
        <w:ind w:right="40" w:firstLine="520"/>
        <w:spacing w:after="0" w:line="252" w:lineRule="auto"/>
        <w:rPr>
          <w:sz w:val="20"/>
          <w:szCs w:val="20"/>
          <w:color w:val="auto"/>
        </w:rPr>
      </w:pPr>
      <w:r>
        <w:rPr>
          <w:rFonts w:ascii="Arial" w:cs="Arial" w:eastAsia="Arial" w:hAnsi="Arial"/>
          <w:sz w:val="15"/>
          <w:szCs w:val="15"/>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5"/>
          <w:szCs w:val="15"/>
          <w:b w:val="1"/>
          <w:bCs w:val="1"/>
          <w:color w:val="auto"/>
        </w:rPr>
        <w:t>Risks Related to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w:t>
      </w:r>
    </w:p>
    <w:p>
      <w:pPr>
        <w:spacing w:after="0" w:line="90" w:lineRule="exact"/>
        <w:rPr>
          <w:sz w:val="20"/>
          <w:szCs w:val="20"/>
          <w:color w:val="auto"/>
        </w:rPr>
      </w:pPr>
    </w:p>
    <w:p>
      <w:pPr>
        <w:jc w:val="both"/>
        <w:ind w:right="280" w:firstLine="520"/>
        <w:spacing w:after="0" w:line="252"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you paid for your common stock. The market price for our common stock may be influenced by many factors, including:</w:t>
      </w:r>
    </w:p>
    <w:p>
      <w:pPr>
        <w:spacing w:after="0" w:line="69" w:lineRule="exact"/>
        <w:rPr>
          <w:sz w:val="20"/>
          <w:szCs w:val="20"/>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anticipated changes in our growth rate relative to our competitors;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related to any future collaborations;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may make our product candidates less attractive;</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announcements by us, our partners or our competitors of significant acquisitions, strategic partnerships, joint ventures, collaborations or capital commitments;</w:t>
      </w:r>
    </w:p>
    <w:p>
      <w:pPr>
        <w:spacing w:after="0" w:line="101" w:lineRule="exact"/>
        <w:rPr>
          <w:rFonts w:ascii="Arial" w:cs="Arial" w:eastAsia="Arial" w:hAnsi="Arial"/>
          <w:sz w:val="14"/>
          <w:szCs w:val="14"/>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anticipated changes in estimates as to financial results, development timelines or recommendations by securities analysts;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w:t>
      </w:r>
    </w:p>
    <w:p>
      <w:pPr>
        <w:spacing w:after="0" w:line="265" w:lineRule="exact"/>
        <w:rPr>
          <w:sz w:val="20"/>
          <w:szCs w:val="20"/>
          <w:color w:val="auto"/>
        </w:rPr>
      </w:pPr>
    </w:p>
    <w:p>
      <w:pPr>
        <w:ind w:right="440"/>
        <w:spacing w:after="0" w:line="262" w:lineRule="auto"/>
        <w:rPr>
          <w:sz w:val="20"/>
          <w:szCs w:val="20"/>
          <w:color w:val="auto"/>
        </w:rPr>
      </w:pPr>
      <w:r>
        <w:rPr>
          <w:rFonts w:ascii="Arial" w:cs="Arial" w:eastAsia="Arial" w:hAnsi="Arial"/>
          <w:sz w:val="15"/>
          <w:szCs w:val="15"/>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1" w:lineRule="exact"/>
        <w:rPr>
          <w:sz w:val="20"/>
          <w:szCs w:val="20"/>
          <w:color w:val="auto"/>
        </w:rPr>
      </w:pPr>
    </w:p>
    <w:p>
      <w:pPr>
        <w:ind w:firstLine="520"/>
        <w:spacing w:after="0" w:line="273" w:lineRule="auto"/>
        <w:rPr>
          <w:sz w:val="20"/>
          <w:szCs w:val="20"/>
          <w:color w:val="auto"/>
        </w:rPr>
      </w:pPr>
      <w:r>
        <w:rPr>
          <w:rFonts w:ascii="Arial" w:cs="Arial" w:eastAsia="Arial" w:hAnsi="Arial"/>
          <w:sz w:val="14"/>
          <w:szCs w:val="14"/>
          <w:color w:val="auto"/>
        </w:rPr>
        <w:t>Our executive officers, directors and stockholders who owned more than 5% of our outstanding common stock and their respective affiliates, in the aggregate, hold shares representing approximately 70.2%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55" w:lineRule="exact"/>
        <w:rPr>
          <w:sz w:val="20"/>
          <w:szCs w:val="20"/>
          <w:color w:val="auto"/>
        </w:rPr>
      </w:pPr>
    </w:p>
    <w:p>
      <w:pPr>
        <w:ind w:left="1040" w:hanging="518"/>
        <w:spacing w:after="0"/>
        <w:tabs>
          <w:tab w:leader="none" w:pos="10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delay, defer or prevent a change in control;</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entrench our management and the board of directors; or</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impede a merger, consolidation, takeover or other business combination involving us that other stockholders may desire.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737" w:right="279" w:bottom="1440" w:gutter="0" w:footer="0" w:header="0"/>
        </w:sectPr>
      </w:pPr>
    </w:p>
    <w:bookmarkStart w:id="62" w:name="page63"/>
    <w:bookmarkEnd w:id="62"/>
    <w:p>
      <w:pPr>
        <w:ind w:right="40"/>
        <w:spacing w:after="0" w:line="262" w:lineRule="auto"/>
        <w:rPr>
          <w:sz w:val="20"/>
          <w:szCs w:val="20"/>
          <w:color w:val="auto"/>
        </w:rPr>
      </w:pPr>
      <w:r>
        <w:rPr>
          <w:rFonts w:ascii="Arial" w:cs="Arial" w:eastAsia="Arial" w:hAnsi="Arial"/>
          <w:sz w:val="15"/>
          <w:szCs w:val="15"/>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1" w:lineRule="exact"/>
        <w:rPr>
          <w:sz w:val="20"/>
          <w:szCs w:val="20"/>
          <w:color w:val="auto"/>
        </w:rPr>
      </w:pPr>
    </w:p>
    <w:p>
      <w:pPr>
        <w:ind w:right="60" w:firstLine="520"/>
        <w:spacing w:after="0" w:line="266"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in the market that the holders of a large number of shares intend to sell shares, could reduce the market price of our common stock. Approximately 30.5 million shares of our common stock recently became eligible to be sold into the market, unless held by one of our affiliates, in which case the resale of those securities is subject to volume limitations under Rule 144 of the Securities Act. Moreover, holders of an aggregate of approximately 22.9 million shares of our common stock as of the completion of the initial public offering of our common stock on July 1, 2015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 “emerging growth company,” and the reduced disclosure requirements applicable to emerging growth companies may make our common stock less attractive to investors.</w:t>
      </w:r>
    </w:p>
    <w:p>
      <w:pPr>
        <w:spacing w:after="0" w:line="125" w:lineRule="exact"/>
        <w:rPr>
          <w:sz w:val="20"/>
          <w:szCs w:val="20"/>
          <w:color w:val="auto"/>
        </w:rPr>
      </w:pPr>
    </w:p>
    <w:p>
      <w:pPr>
        <w:ind w:right="20" w:firstLine="520"/>
        <w:spacing w:after="0" w:line="325" w:lineRule="auto"/>
        <w:rPr>
          <w:sz w:val="20"/>
          <w:szCs w:val="20"/>
          <w:color w:val="auto"/>
        </w:rPr>
      </w:pPr>
      <w:r>
        <w:rPr>
          <w:rFonts w:ascii="Arial" w:cs="Arial" w:eastAsia="Arial" w:hAnsi="Arial"/>
          <w:sz w:val="12"/>
          <w:szCs w:val="12"/>
          <w:color w:val="auto"/>
        </w:rPr>
        <w:t>We are an “emerging growth company” as that term is used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8" w:lineRule="exact"/>
        <w:rPr>
          <w:sz w:val="20"/>
          <w:szCs w:val="20"/>
          <w:color w:val="auto"/>
        </w:rPr>
      </w:pPr>
    </w:p>
    <w:p>
      <w:pPr>
        <w:ind w:left="1040" w:right="440" w:hanging="518"/>
        <w:spacing w:after="0" w:line="262" w:lineRule="auto"/>
        <w:tabs>
          <w:tab w:leader="none" w:pos="10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90" w:lineRule="exact"/>
        <w:rPr>
          <w:rFonts w:ascii="Arial" w:cs="Arial" w:eastAsia="Arial" w:hAnsi="Arial"/>
          <w:sz w:val="15"/>
          <w:szCs w:val="15"/>
          <w:color w:val="auto"/>
        </w:rPr>
      </w:pPr>
    </w:p>
    <w:p>
      <w:pPr>
        <w:ind w:left="1040" w:right="460" w:hanging="518"/>
        <w:spacing w:after="0" w:line="262" w:lineRule="auto"/>
        <w:tabs>
          <w:tab w:leader="none" w:pos="10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90" w:lineRule="exact"/>
        <w:rPr>
          <w:rFonts w:ascii="Arial" w:cs="Arial" w:eastAsia="Arial" w:hAnsi="Arial"/>
          <w:sz w:val="15"/>
          <w:szCs w:val="15"/>
          <w:color w:val="auto"/>
        </w:rPr>
      </w:pPr>
    </w:p>
    <w:p>
      <w:pPr>
        <w:ind w:left="1040" w:right="80" w:hanging="518"/>
        <w:spacing w:after="0" w:line="262" w:lineRule="auto"/>
        <w:tabs>
          <w:tab w:leader="none" w:pos="10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48" w:lineRule="exact"/>
        <w:rPr>
          <w:sz w:val="20"/>
          <w:szCs w:val="20"/>
          <w:color w:val="auto"/>
        </w:rPr>
      </w:pPr>
    </w:p>
    <w:p>
      <w:pPr>
        <w:ind w:right="80" w:firstLine="520"/>
        <w:spacing w:after="0" w:line="270" w:lineRule="auto"/>
        <w:rPr>
          <w:sz w:val="20"/>
          <w:szCs w:val="20"/>
          <w:color w:val="auto"/>
        </w:rPr>
      </w:pPr>
      <w:r>
        <w:rPr>
          <w:rFonts w:ascii="Arial" w:cs="Arial" w:eastAsia="Arial" w:hAnsi="Arial"/>
          <w:sz w:val="14"/>
          <w:szCs w:val="14"/>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32" w:lineRule="exact"/>
        <w:rPr>
          <w:sz w:val="20"/>
          <w:szCs w:val="20"/>
          <w:color w:val="auto"/>
        </w:rPr>
      </w:pPr>
    </w:p>
    <w:p>
      <w:pPr>
        <w:ind w:right="600"/>
        <w:spacing w:after="0" w:line="262" w:lineRule="auto"/>
        <w:rPr>
          <w:sz w:val="20"/>
          <w:szCs w:val="20"/>
          <w:color w:val="auto"/>
        </w:rPr>
      </w:pPr>
      <w:r>
        <w:rPr>
          <w:rFonts w:ascii="Arial" w:cs="Arial" w:eastAsia="Arial" w:hAnsi="Arial"/>
          <w:sz w:val="15"/>
          <w:szCs w:val="15"/>
          <w:b w:val="1"/>
          <w:bCs w:val="1"/>
          <w:i w:val="1"/>
          <w:iCs w:val="1"/>
          <w:color w:val="auto"/>
        </w:rPr>
        <w:t>We will continue to incur increased costs as a result of being a public company, and our management will continue to devote substantial time to compliance initiatives and corporate governance practices.</w:t>
      </w:r>
    </w:p>
    <w:p>
      <w:pPr>
        <w:spacing w:after="0" w:line="61"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As a public company, and particularly after we are no longer an emerging growth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741" w:right="239" w:bottom="1440" w:gutter="0" w:footer="0" w:header="0"/>
        </w:sectPr>
      </w:pPr>
    </w:p>
    <w:bookmarkStart w:id="63" w:name="page64"/>
    <w:bookmarkEnd w:id="63"/>
    <w:p>
      <w:pPr>
        <w:ind w:right="160"/>
        <w:spacing w:after="0" w:line="262" w:lineRule="auto"/>
        <w:rPr>
          <w:sz w:val="20"/>
          <w:szCs w:val="20"/>
          <w:color w:val="auto"/>
        </w:rPr>
      </w:pPr>
      <w:r>
        <w:rPr>
          <w:rFonts w:ascii="Arial" w:cs="Arial" w:eastAsia="Arial" w:hAnsi="Arial"/>
          <w:sz w:val="15"/>
          <w:szCs w:val="15"/>
          <w:color w:val="auto"/>
        </w:rPr>
        <w:t>consuming and costly. For example, we expect that these rules and regulations may make it more difficult and more expensive for us to maintain director and officer liability insurance, which in turn could make it more difficult for us to attract and retain qualified members of our board of directors.</w:t>
      </w:r>
    </w:p>
    <w:p>
      <w:pPr>
        <w:spacing w:after="0" w:line="148" w:lineRule="exact"/>
        <w:rPr>
          <w:sz w:val="20"/>
          <w:szCs w:val="20"/>
          <w:color w:val="auto"/>
        </w:rPr>
      </w:pPr>
    </w:p>
    <w:p>
      <w:pPr>
        <w:ind w:right="60" w:firstLine="520"/>
        <w:spacing w:after="0" w:line="317" w:lineRule="auto"/>
        <w:rPr>
          <w:sz w:val="20"/>
          <w:szCs w:val="20"/>
          <w:color w:val="auto"/>
        </w:rPr>
      </w:pPr>
      <w:r>
        <w:rPr>
          <w:rFonts w:ascii="Arial" w:cs="Arial" w:eastAsia="Arial" w:hAnsi="Arial"/>
          <w:sz w:val="12"/>
          <w:szCs w:val="12"/>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securities or industry analysts issue an adverse or misleading opinion regarding our stock, our stock price and trading volume could decline.</w:t>
      </w:r>
    </w:p>
    <w:p>
      <w:pPr>
        <w:spacing w:after="0" w:line="90"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61" w:lineRule="exact"/>
        <w:rPr>
          <w:sz w:val="20"/>
          <w:szCs w:val="20"/>
          <w:color w:val="auto"/>
        </w:rPr>
      </w:pPr>
    </w:p>
    <w:p>
      <w:pPr>
        <w:ind w:right="40" w:firstLine="520"/>
        <w:spacing w:after="0" w:line="270" w:lineRule="auto"/>
        <w:rPr>
          <w:sz w:val="20"/>
          <w:szCs w:val="20"/>
          <w:color w:val="auto"/>
        </w:rPr>
      </w:pPr>
      <w:r>
        <w:rPr>
          <w:rFonts w:ascii="Arial" w:cs="Arial" w:eastAsia="Arial" w:hAnsi="Arial"/>
          <w:sz w:val="14"/>
          <w:szCs w:val="14"/>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7" w:lineRule="exact"/>
        <w:rPr>
          <w:sz w:val="20"/>
          <w:szCs w:val="20"/>
          <w:color w:val="auto"/>
        </w:rPr>
      </w:pPr>
    </w:p>
    <w:p>
      <w:pPr>
        <w:ind w:left="1040" w:hanging="518"/>
        <w:spacing w:after="0"/>
        <w:tabs>
          <w:tab w:leader="none" w:pos="10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classified board of directors with three-year staggered terms, which may delay the ability of stockholders to change the membership of a majority of our board of directors;</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90" w:lineRule="exact"/>
        <w:rPr>
          <w:rFonts w:ascii="Arial" w:cs="Arial" w:eastAsia="Arial" w:hAnsi="Arial"/>
          <w:sz w:val="15"/>
          <w:szCs w:val="15"/>
          <w:color w:val="auto"/>
        </w:rPr>
      </w:pPr>
    </w:p>
    <w:p>
      <w:pPr>
        <w:ind w:left="1040" w:hanging="518"/>
        <w:spacing w:after="0" w:line="262" w:lineRule="auto"/>
        <w:tabs>
          <w:tab w:leader="none" w:pos="10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60" w:lineRule="exact"/>
        <w:rPr>
          <w:rFonts w:ascii="Arial" w:cs="Arial" w:eastAsia="Arial" w:hAnsi="Arial"/>
          <w:sz w:val="15"/>
          <w:szCs w:val="15"/>
          <w:color w:val="auto"/>
        </w:rPr>
      </w:pPr>
    </w:p>
    <w:p>
      <w:pPr>
        <w:ind w:left="1040" w:right="340" w:hanging="518"/>
        <w:spacing w:after="0" w:line="262" w:lineRule="auto"/>
        <w:tabs>
          <w:tab w:leader="none" w:pos="10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90" w:lineRule="exact"/>
        <w:rPr>
          <w:rFonts w:ascii="Arial" w:cs="Arial" w:eastAsia="Arial" w:hAnsi="Arial"/>
          <w:sz w:val="15"/>
          <w:szCs w:val="15"/>
          <w:color w:val="auto"/>
        </w:rPr>
      </w:pPr>
    </w:p>
    <w:p>
      <w:pPr>
        <w:ind w:left="1040" w:right="80" w:hanging="518"/>
        <w:spacing w:after="0" w:line="262" w:lineRule="auto"/>
        <w:tabs>
          <w:tab w:leader="none" w:pos="10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566" w:right="259" w:bottom="1440" w:gutter="0" w:footer="0" w:header="0"/>
        </w:sectPr>
      </w:pPr>
    </w:p>
    <w:bookmarkStart w:id="64" w:name="page65"/>
    <w:bookmarkEnd w:id="64"/>
    <w:p>
      <w:pPr>
        <w:ind w:left="1040" w:right="400" w:hanging="518"/>
        <w:spacing w:after="0" w:line="298" w:lineRule="auto"/>
        <w:tabs>
          <w:tab w:leader="none" w:pos="10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37" w:lineRule="exact"/>
        <w:rPr>
          <w:rFonts w:ascii="Arial" w:cs="Arial" w:eastAsia="Arial" w:hAnsi="Arial"/>
          <w:sz w:val="14"/>
          <w:szCs w:val="14"/>
          <w:color w:val="auto"/>
        </w:rPr>
      </w:pPr>
    </w:p>
    <w:p>
      <w:pPr>
        <w:ind w:left="1040" w:right="100" w:hanging="518"/>
        <w:spacing w:after="0" w:line="252" w:lineRule="auto"/>
        <w:tabs>
          <w:tab w:leader="none" w:pos="10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7" w:lineRule="exact"/>
        <w:rPr>
          <w:sz w:val="20"/>
          <w:szCs w:val="20"/>
          <w:color w:val="auto"/>
        </w:rPr>
      </w:pPr>
    </w:p>
    <w:p>
      <w:pPr>
        <w:ind w:right="20" w:firstLine="520"/>
        <w:spacing w:after="0" w:line="265"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never declared or paid cash dividends on our capital stock. We currently intend to retain all of our future earnings, if any, to finance the growth and development of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As a result, capital appreciation, if any, of our common stock will be your sole source of gain for the foreseeable future.</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subject to securities class action litigation.</w:t>
      </w:r>
    </w:p>
    <w:p>
      <w:pPr>
        <w:spacing w:after="0" w:line="90" w:lineRule="exact"/>
        <w:rPr>
          <w:sz w:val="20"/>
          <w:szCs w:val="20"/>
          <w:color w:val="auto"/>
        </w:rPr>
      </w:pPr>
    </w:p>
    <w:p>
      <w:pPr>
        <w:ind w:firstLine="520"/>
        <w:spacing w:after="0" w:line="252"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Not applicable.</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Offices</w:t>
      </w:r>
    </w:p>
    <w:p>
      <w:pPr>
        <w:spacing w:after="0" w:line="90" w:lineRule="exact"/>
        <w:rPr>
          <w:sz w:val="20"/>
          <w:szCs w:val="20"/>
          <w:color w:val="auto"/>
        </w:rPr>
      </w:pPr>
    </w:p>
    <w:p>
      <w:pPr>
        <w:jc w:val="both"/>
        <w:ind w:right="220" w:firstLine="520"/>
        <w:spacing w:after="0" w:line="252" w:lineRule="auto"/>
        <w:rPr>
          <w:sz w:val="20"/>
          <w:szCs w:val="20"/>
          <w:color w:val="auto"/>
        </w:rPr>
      </w:pPr>
      <w:r>
        <w:rPr>
          <w:rFonts w:ascii="Arial" w:cs="Arial" w:eastAsia="Arial" w:hAnsi="Arial"/>
          <w:sz w:val="15"/>
          <w:szCs w:val="15"/>
          <w:color w:val="auto"/>
        </w:rPr>
        <w:t>Our corporate headquarters are located in Cambridge, Massachusetts, where we currently sublease approximately 7,461 square feet of office space under a sublease that expires in May 2016. We also maintain a research and development facility in Cambridge, Massachusetts, where we lease approximately 13,568 square feet of space for office and laboratory facilities under a lease that expires in January 2018 and approximately 7,484 square feet under a lease that expires in April 2020.</w:t>
      </w:r>
    </w:p>
    <w:p>
      <w:pPr>
        <w:spacing w:after="0" w:line="157" w:lineRule="exact"/>
        <w:rPr>
          <w:sz w:val="20"/>
          <w:szCs w:val="20"/>
          <w:color w:val="auto"/>
        </w:rPr>
      </w:pPr>
    </w:p>
    <w:p>
      <w:pPr>
        <w:ind w:right="60" w:firstLine="520"/>
        <w:spacing w:after="0" w:line="262" w:lineRule="auto"/>
        <w:rPr>
          <w:sz w:val="20"/>
          <w:szCs w:val="20"/>
          <w:color w:val="auto"/>
        </w:rPr>
      </w:pPr>
      <w:r>
        <w:rPr>
          <w:rFonts w:ascii="Arial" w:cs="Arial" w:eastAsia="Arial" w:hAnsi="Arial"/>
          <w:sz w:val="15"/>
          <w:szCs w:val="15"/>
          <w:color w:val="auto"/>
        </w:rPr>
        <w:t>We have entered into a lease for 83,396 square feet of office, laboratory and pilot manufacturing space at in Cambridge, Massachusetts. The lease term is expected to commence in March 2016 and end in November 2023, and we expect to move our corporate headquarters to this location in mid-2016.</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Manufacturing</w:t>
      </w:r>
    </w:p>
    <w:p>
      <w:pPr>
        <w:spacing w:after="0" w:line="178" w:lineRule="exact"/>
        <w:rPr>
          <w:sz w:val="20"/>
          <w:szCs w:val="20"/>
          <w:color w:val="auto"/>
        </w:rPr>
      </w:pPr>
    </w:p>
    <w:p>
      <w:pPr>
        <w:ind w:right="460" w:firstLine="520"/>
        <w:spacing w:after="0" w:line="262" w:lineRule="auto"/>
        <w:rPr>
          <w:sz w:val="20"/>
          <w:szCs w:val="20"/>
          <w:color w:val="auto"/>
        </w:rPr>
      </w:pPr>
      <w:r>
        <w:rPr>
          <w:rFonts w:ascii="Arial" w:cs="Arial" w:eastAsia="Arial" w:hAnsi="Arial"/>
          <w:sz w:val="15"/>
          <w:szCs w:val="15"/>
          <w:color w:val="auto"/>
        </w:rPr>
        <w:t>We currently conduct part of our manufacturing operations in our leased laboratory facilities in Cambridge, Massachusetts. We believe our current laboratory facilities and contract relationships are sufficient to meet our current bioprocess development and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65" w:name="page66"/>
    <w:bookmarkEnd w:id="65"/>
    <w:p>
      <w:pPr>
        <w:ind w:right="160"/>
        <w:spacing w:after="0" w:line="248" w:lineRule="auto"/>
        <w:rPr>
          <w:sz w:val="20"/>
          <w:szCs w:val="20"/>
          <w:color w:val="auto"/>
        </w:rPr>
      </w:pPr>
      <w:r>
        <w:rPr>
          <w:rFonts w:ascii="Arial" w:cs="Arial" w:eastAsia="Arial" w:hAnsi="Arial"/>
          <w:sz w:val="15"/>
          <w:szCs w:val="15"/>
          <w:color w:val="auto"/>
        </w:rPr>
        <w:t>manufacturing needs. During the fourth quarter of 2015, we entered into a lease for 83,396 square feet of office, laboratory and pilot manufacturing space in Cambridge, Massachusetts, that will also house our corporate headquarters. We expect the pilot facility will represent an important addition to our existing manufacturing network by broadening our capabilities in bioprocess development and manufacturing, in particular, the production of synthetic microbiome candidates. We expect to utilize our new manufacturing facility to prepare for commercialization of SER-109, SER-262, SER-287, SER-155. Other product candidates may be brought into the facility for economies of operation, or may remain external with contract manufacturing organizations, depending on business dynamics and development needs.</w:t>
      </w:r>
    </w:p>
    <w:p>
      <w:pPr>
        <w:spacing w:after="0" w:line="159" w:lineRule="exact"/>
        <w:rPr>
          <w:sz w:val="20"/>
          <w:szCs w:val="20"/>
          <w:color w:val="auto"/>
        </w:rPr>
      </w:pPr>
    </w:p>
    <w:p>
      <w:pPr>
        <w:ind w:right="20" w:firstLine="520"/>
        <w:spacing w:after="0" w:line="262" w:lineRule="auto"/>
        <w:rPr>
          <w:sz w:val="20"/>
          <w:szCs w:val="20"/>
          <w:color w:val="auto"/>
        </w:rPr>
      </w:pPr>
      <w:r>
        <w:rPr>
          <w:rFonts w:ascii="Arial" w:cs="Arial" w:eastAsia="Arial" w:hAnsi="Arial"/>
          <w:sz w:val="15"/>
          <w:szCs w:val="15"/>
          <w:color w:val="auto"/>
        </w:rPr>
        <w:t>We plan to control the production of SER-109 under current good manufacturing practices by making strategic investments in manufacturing, which may include collaborations with third parties, the design and renovation of existing facilities and the construction of additional new facilities.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are not party to any material legal proceedings.</w:t>
      </w:r>
    </w:p>
    <w:p>
      <w:pPr>
        <w:spacing w:after="0" w:line="261" w:lineRule="exact"/>
        <w:rPr>
          <w:sz w:val="20"/>
          <w:szCs w:val="20"/>
          <w:color w:val="auto"/>
        </w:rPr>
      </w:pPr>
    </w:p>
    <w:p>
      <w:pPr>
        <w:jc w:val="center"/>
        <w:ind w:right="9480"/>
        <w:spacing w:after="0"/>
        <w:rPr>
          <w:sz w:val="20"/>
          <w:szCs w:val="20"/>
          <w:color w:val="auto"/>
        </w:rPr>
      </w:pPr>
      <w:r>
        <w:rPr>
          <w:rFonts w:ascii="Arial" w:cs="Arial" w:eastAsia="Arial" w:hAnsi="Arial"/>
          <w:sz w:val="12"/>
          <w:szCs w:val="12"/>
          <w:b w:val="1"/>
          <w:bCs w:val="1"/>
          <w:color w:val="auto"/>
        </w:rPr>
        <w:t>Item 4. Mine Safety Disclosures</w:t>
      </w:r>
    </w:p>
    <w:p>
      <w:pPr>
        <w:spacing w:after="0" w:line="129" w:lineRule="exact"/>
        <w:rPr>
          <w:sz w:val="20"/>
          <w:szCs w:val="20"/>
          <w:color w:val="auto"/>
        </w:rPr>
      </w:pPr>
    </w:p>
    <w:p>
      <w:pPr>
        <w:jc w:val="center"/>
        <w:ind w:right="9500"/>
        <w:spacing w:after="0"/>
        <w:rPr>
          <w:sz w:val="20"/>
          <w:szCs w:val="20"/>
          <w:color w:val="auto"/>
        </w:rPr>
      </w:pPr>
      <w:r>
        <w:rPr>
          <w:rFonts w:ascii="Arial" w:cs="Arial" w:eastAsia="Arial" w:hAnsi="Arial"/>
          <w:sz w:val="15"/>
          <w:szCs w:val="15"/>
          <w:color w:val="auto"/>
        </w:rPr>
        <w:t>Not applicable.</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of the Registrant</w:t>
      </w:r>
    </w:p>
    <w:p>
      <w:pPr>
        <w:spacing w:after="0" w:line="171" w:lineRule="exact"/>
        <w:rPr>
          <w:sz w:val="20"/>
          <w:szCs w:val="20"/>
          <w:color w:val="auto"/>
        </w:rPr>
      </w:pPr>
    </w:p>
    <w:p>
      <w:pPr>
        <w:ind w:firstLine="656"/>
        <w:spacing w:after="0" w:line="265" w:lineRule="auto"/>
        <w:rPr>
          <w:sz w:val="20"/>
          <w:szCs w:val="20"/>
          <w:color w:val="auto"/>
        </w:rPr>
      </w:pPr>
      <w:r>
        <w:rPr>
          <w:rFonts w:ascii="Arial" w:cs="Arial" w:eastAsia="Arial" w:hAnsi="Arial"/>
          <w:sz w:val="14"/>
          <w:szCs w:val="14"/>
          <w:i w:val="1"/>
          <w:iCs w:val="1"/>
          <w:color w:val="auto"/>
        </w:rPr>
        <w:t>Roger J. Pomerantz, M.D.</w:t>
      </w:r>
      <w:r>
        <w:rPr>
          <w:rFonts w:ascii="Arial" w:cs="Arial" w:eastAsia="Arial" w:hAnsi="Arial"/>
          <w:sz w:val="14"/>
          <w:szCs w:val="14"/>
          <w:color w:val="auto"/>
        </w:rPr>
        <w:t>, has served as our President and Chief Executive Officer since June 2014 and as Chairman of our board of directors since November 2013. Since July 2014,</w:t>
      </w:r>
      <w:r>
        <w:rPr>
          <w:rFonts w:ascii="Arial" w:cs="Arial" w:eastAsia="Arial" w:hAnsi="Arial"/>
          <w:sz w:val="14"/>
          <w:szCs w:val="14"/>
          <w:i w:val="1"/>
          <w:iCs w:val="1"/>
          <w:color w:val="auto"/>
        </w:rPr>
        <w:t xml:space="preserve"> </w:t>
      </w:r>
      <w:r>
        <w:rPr>
          <w:rFonts w:ascii="Arial" w:cs="Arial" w:eastAsia="Arial" w:hAnsi="Arial"/>
          <w:sz w:val="14"/>
          <w:szCs w:val="14"/>
          <w:color w:val="auto"/>
        </w:rPr>
        <w:t>Dr. Pomerantz has been a Senior Partner at Flagship Ventures, an early-stage venture capital firm. From January 2011 to September 2013, Dr. Pomerantz was Worldwide Head of Licensing and Acquisitions and Senior Vice President at Merck &amp; Co., Inc., or Merck, a pharmaceutical company,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a multinational medical device, consumer goods and pharmaceutical corporation, where he was responsible for anti-infective agents worldwide. He joined Johnson &amp; Johnson, Inc. in August 2005 as President of Tibotec Pharmaceuticals, Inc., now Janssen Therapeutics and a subsidiary of Johnson &amp; Johnson, Inc., a pharmaceutical company focused on the treatment of infectious diseases. Dr. Pomerantz has developed nine approved infectious disease drugs for diseases including HIV, HCV and tuberculosis. He also serves on the board of directors of Contrafect Corporation. Dr. Pomerantz received his B.A. in Biochemistry from The Johns Hopkins University and his M.D. from The Johns Hopkins School of Medicine. We believe Dr. Pomerantz’s extensive academic and clinical experience, as well as his knowledge of the pharmaceutical industry, qualifies him to serve on our board of directors</w:t>
      </w:r>
      <w:r>
        <w:rPr>
          <w:rFonts w:ascii="Arial" w:cs="Arial" w:eastAsia="Arial" w:hAnsi="Arial"/>
          <w:sz w:val="16"/>
          <w:szCs w:val="16"/>
          <w:color w:val="auto"/>
        </w:rPr>
        <w:t>.</w:t>
      </w:r>
    </w:p>
    <w:p>
      <w:pPr>
        <w:spacing w:after="0" w:line="98" w:lineRule="exact"/>
        <w:rPr>
          <w:sz w:val="20"/>
          <w:szCs w:val="20"/>
          <w:color w:val="auto"/>
        </w:rPr>
      </w:pPr>
    </w:p>
    <w:p>
      <w:pPr>
        <w:ind w:right="140" w:firstLine="656"/>
        <w:spacing w:after="0" w:line="270" w:lineRule="auto"/>
        <w:rPr>
          <w:sz w:val="20"/>
          <w:szCs w:val="20"/>
          <w:color w:val="auto"/>
        </w:rPr>
      </w:pPr>
      <w:r>
        <w:rPr>
          <w:rFonts w:ascii="Arial" w:cs="Arial" w:eastAsia="Arial" w:hAnsi="Arial"/>
          <w:sz w:val="14"/>
          <w:szCs w:val="14"/>
          <w:i w:val="1"/>
          <w:iCs w:val="1"/>
          <w:color w:val="auto"/>
        </w:rPr>
        <w:t>John G. Aunins, Ph.D.</w:t>
      </w:r>
      <w:r>
        <w:rPr>
          <w:rFonts w:ascii="Arial" w:cs="Arial" w:eastAsia="Arial" w:hAnsi="Arial"/>
          <w:sz w:val="14"/>
          <w:szCs w:val="14"/>
          <w:color w:val="auto"/>
        </w:rPr>
        <w:t>, has served as our Chief Technology Officer and Executive Vice President of Bioprocess Development since December 2012. Prior to joining our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Massachusetts Institute of Technology.</w:t>
      </w:r>
    </w:p>
    <w:p>
      <w:pPr>
        <w:spacing w:after="0" w:line="101" w:lineRule="exact"/>
        <w:rPr>
          <w:sz w:val="20"/>
          <w:szCs w:val="20"/>
          <w:color w:val="auto"/>
        </w:rPr>
      </w:pPr>
    </w:p>
    <w:p>
      <w:pPr>
        <w:ind w:right="100" w:firstLine="649"/>
        <w:spacing w:after="0" w:line="249" w:lineRule="auto"/>
        <w:rPr>
          <w:sz w:val="20"/>
          <w:szCs w:val="20"/>
          <w:color w:val="auto"/>
        </w:rPr>
      </w:pPr>
      <w:r>
        <w:rPr>
          <w:rFonts w:ascii="Arial" w:cs="Arial" w:eastAsia="Arial" w:hAnsi="Arial"/>
          <w:sz w:val="15"/>
          <w:szCs w:val="15"/>
          <w:i w:val="1"/>
          <w:iCs w:val="1"/>
          <w:color w:val="auto"/>
        </w:rPr>
        <w:t>David N. Cook, Ph.D.</w:t>
      </w:r>
      <w:r>
        <w:rPr>
          <w:rFonts w:ascii="Arial" w:cs="Arial" w:eastAsia="Arial" w:hAnsi="Arial"/>
          <w:sz w:val="15"/>
          <w:szCs w:val="15"/>
          <w:color w:val="auto"/>
        </w:rPr>
        <w:t>, has served as our Chief Scientific Officer and Executive Vice President of Research &amp; Development since October 2012. From February 2010 to October 2012,</w:t>
      </w:r>
      <w:r>
        <w:rPr>
          <w:rFonts w:ascii="Arial" w:cs="Arial" w:eastAsia="Arial" w:hAnsi="Arial"/>
          <w:sz w:val="15"/>
          <w:szCs w:val="15"/>
          <w:i w:val="1"/>
          <w:iCs w:val="1"/>
          <w:color w:val="auto"/>
        </w:rPr>
        <w:t xml:space="preserve"> </w:t>
      </w:r>
      <w:r>
        <w:rPr>
          <w:rFonts w:ascii="Arial" w:cs="Arial" w:eastAsia="Arial" w:hAnsi="Arial"/>
          <w:sz w:val="15"/>
          <w:szCs w:val="15"/>
          <w:color w:val="auto"/>
        </w:rPr>
        <w:t>Dr. Cook was the Chief Operating Officer at the International AIDS Vaccine Initiative, a global not-for-profit, research and development organization focused on the development of a safe and accessible vaccine for HIV. As Chief Operating Officer, Dr. Cook acted as the head of operations, overseeing seven international offices and research facilities. Dr. Cook received his A.B. from Harvard College and his Ph.D. in Chemistry from the University of California, Berkeley.</w:t>
      </w:r>
    </w:p>
    <w:p>
      <w:pPr>
        <w:spacing w:after="0" w:line="116" w:lineRule="exact"/>
        <w:rPr>
          <w:sz w:val="20"/>
          <w:szCs w:val="20"/>
          <w:color w:val="auto"/>
        </w:rPr>
      </w:pPr>
    </w:p>
    <w:p>
      <w:pPr>
        <w:ind w:firstLine="649"/>
        <w:spacing w:after="0" w:line="249" w:lineRule="auto"/>
        <w:rPr>
          <w:sz w:val="20"/>
          <w:szCs w:val="20"/>
          <w:color w:val="auto"/>
        </w:rPr>
      </w:pPr>
      <w:r>
        <w:rPr>
          <w:rFonts w:ascii="Arial" w:cs="Arial" w:eastAsia="Arial" w:hAnsi="Arial"/>
          <w:sz w:val="15"/>
          <w:szCs w:val="15"/>
          <w:i w:val="1"/>
          <w:iCs w:val="1"/>
          <w:color w:val="auto"/>
        </w:rPr>
        <w:t xml:space="preserve">Eric D. Shaff </w:t>
      </w:r>
      <w:r>
        <w:rPr>
          <w:rFonts w:ascii="Arial" w:cs="Arial" w:eastAsia="Arial" w:hAnsi="Arial"/>
          <w:sz w:val="15"/>
          <w:szCs w:val="15"/>
          <w:color w:val="auto"/>
        </w:rPr>
        <w:t>has served as our Chief Financial Officer and Executive Vice President since November 2014. From January 2012 to November 2014, Mr. Shaff was Vice President of</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Finance for Momenta Pharmaceuticals,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a biotechnology company, most recently as Vice President of Finance/Controller for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Personalized Genetic Health division. Mr. Shaff received his B.A. from the University of Pennsylvania and his MBA from Cornell University.</w:t>
      </w:r>
    </w:p>
    <w:p>
      <w:pPr>
        <w:spacing w:after="0" w:line="178" w:lineRule="exact"/>
        <w:rPr>
          <w:sz w:val="20"/>
          <w:szCs w:val="20"/>
          <w:color w:val="auto"/>
        </w:rPr>
      </w:pPr>
    </w:p>
    <w:p>
      <w:pPr>
        <w:ind w:right="140" w:firstLine="649"/>
        <w:spacing w:after="0" w:line="268" w:lineRule="auto"/>
        <w:rPr>
          <w:sz w:val="20"/>
          <w:szCs w:val="20"/>
          <w:color w:val="auto"/>
        </w:rPr>
      </w:pPr>
      <w:r>
        <w:rPr>
          <w:rFonts w:ascii="Arial" w:cs="Arial" w:eastAsia="Arial" w:hAnsi="Arial"/>
          <w:sz w:val="14"/>
          <w:szCs w:val="14"/>
          <w:i w:val="1"/>
          <w:iCs w:val="1"/>
          <w:color w:val="auto"/>
        </w:rPr>
        <w:t>Michele Trucksis, Ph.D., M.D.</w:t>
      </w:r>
      <w:r>
        <w:rPr>
          <w:rFonts w:ascii="Arial" w:cs="Arial" w:eastAsia="Arial" w:hAnsi="Arial"/>
          <w:sz w:val="14"/>
          <w:szCs w:val="14"/>
          <w:color w:val="auto"/>
        </w:rPr>
        <w:t>, has served as our Chief Medical Officer and Executive Vice President since January 2015. Dr. Trucksis was an Associate Clinical Professor at Harvard</w:t>
      </w:r>
      <w:r>
        <w:rPr>
          <w:rFonts w:ascii="Arial" w:cs="Arial" w:eastAsia="Arial" w:hAnsi="Arial"/>
          <w:sz w:val="14"/>
          <w:szCs w:val="14"/>
          <w:i w:val="1"/>
          <w:iCs w:val="1"/>
          <w:color w:val="auto"/>
        </w:rPr>
        <w:t xml:space="preserve"> </w:t>
      </w:r>
      <w:r>
        <w:rPr>
          <w:rFonts w:ascii="Arial" w:cs="Arial" w:eastAsia="Arial" w:hAnsi="Arial"/>
          <w:sz w:val="14"/>
          <w:szCs w:val="14"/>
          <w:color w:val="auto"/>
        </w:rPr>
        <w:t>Medical School from January 2005 to April 2015. From December 2006 to December 2014, Dr. Trucksis held various positions of increasing seniority at Merck Research Laboratories, the research and development division of Merck. Most recently, from June 2014 to December 2014, Dr. Trucksis served as Executive Director, Team Leader &amp; Clinical Lead, Antifungals and Antibacterials where she was responsible for medical, clinical and global product development and strategy. From July 2011 to June 2014, Dr. Trucksis was Project Leader, Antifungals and Antibacterials, and from December 2006 to July 2011, she was Director in Clinical Pharmacology. Dr. Trucksis received her B.S. in Medical Technology from Youngstown State University, her Ph.D. in Biochemistry from Kent State University and her M.D. from Case Western Reserve University School of Medicine.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Wael Hashad </w:t>
      </w:r>
      <w:r>
        <w:rPr>
          <w:rFonts w:ascii="Arial" w:cs="Arial" w:eastAsia="Arial" w:hAnsi="Arial"/>
          <w:sz w:val="12"/>
          <w:szCs w:val="12"/>
          <w:color w:val="auto"/>
        </w:rPr>
        <w:t>has served as our Chief Commercial Officer since January 2016. He has over 20 years of experience as a commercial leader and has held senior marketing and general management</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positions in the pharmaceutical and biotechnology industry. Prior to joining Seres, from July 2013 to September 2015, he served as Vice President and General Manager for Middle East and Africa at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Amgen, Inc., a pharmaceutical company, where he lead a team of more than 200 to expand markets, launch new products and grow existing products. Prior to that he served as Vice President – Regional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Commercial Head for Japan, China and Asia Pacific at Amgen, from October 2012 to June 2013, where he expanded commercial opportunities through strategic partnerships and implementation of go-to-</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market strategies. From August 2011 to June 2013, Mr. Hashad was Vice President – Head of Global Marketing for General Medicine at Amgen, where he optimized the launch of Repatha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(Evolocumab). Prior to Amgen, Mr. Hashad worked at Boehringer Ingelheim, a pharmaceutical company, from April 2009 to August 2011, as Vice President – US Cardiovascular and Metabolic Disorders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and at Eli Lilly, a pharmaceutical company, from 1989 to 2009, where he held various roles. At Boehringer Ingelheim and Eli Lilly, Mr. Hashad launched several products in the U.S., most notably Pradaxa®</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and Cymbalta®. Mr. Hashad earned his B.Sc. in Pharmacy and Pharmaceutical Sciences from the University of Cairo and his MBA from the University of Akron.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of the Registrant</w:t>
      </w:r>
    </w:p>
    <w:p>
      <w:pPr>
        <w:spacing w:after="0" w:line="182" w:lineRule="exact"/>
        <w:rPr>
          <w:sz w:val="20"/>
          <w:szCs w:val="20"/>
          <w:color w:val="auto"/>
        </w:rPr>
      </w:pPr>
    </w:p>
    <w:p>
      <w:pPr>
        <w:ind w:firstLine="656"/>
        <w:spacing w:after="0" w:line="248" w:lineRule="auto"/>
        <w:rPr>
          <w:sz w:val="20"/>
          <w:szCs w:val="20"/>
          <w:color w:val="auto"/>
        </w:rPr>
      </w:pPr>
      <w:r>
        <w:rPr>
          <w:rFonts w:ascii="Arial" w:cs="Arial" w:eastAsia="Arial" w:hAnsi="Arial"/>
          <w:sz w:val="15"/>
          <w:szCs w:val="15"/>
          <w:i w:val="1"/>
          <w:iCs w:val="1"/>
          <w:color w:val="auto"/>
        </w:rPr>
        <w:t xml:space="preserve">Noubar B. Afeyan, Ph.D., </w:t>
      </w:r>
      <w:r>
        <w:rPr>
          <w:rFonts w:ascii="Arial" w:cs="Arial" w:eastAsia="Arial" w:hAnsi="Arial"/>
          <w:sz w:val="15"/>
          <w:szCs w:val="15"/>
          <w:color w:val="auto"/>
        </w:rPr>
        <w:t>has served as a member of our board of directors since October 2010. Since 1999, Dr. Afeyan has served as the Managing Partner and Chief Executive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of Flagship Ventures, an early-stage venture capital firm that he co-founded. Dr. Afeyan is serving or has served on the board of directors of several public and private companies, including BG Medicine, Inc., BIND Therapeutics, Inc., Eleven Biotherapeutics, Inc., Helicos Biosciences, Moderna Therapeutics, Inc. and Pronutria Biosciences, Inc. Dr. Afeyan received a B.S. from McGill University and a Ph.D. in Biochemical Engineering from the Massachusetts Institute of Technology. We believe Dr. Afeyan is qualified to serve on our board of directors because of his extensive investment experience and his knowledge of the biotechnology industry.</w:t>
      </w:r>
    </w:p>
    <w:p>
      <w:pPr>
        <w:spacing w:after="0" w:line="126" w:lineRule="exact"/>
        <w:rPr>
          <w:sz w:val="20"/>
          <w:szCs w:val="20"/>
          <w:color w:val="auto"/>
        </w:rPr>
      </w:pPr>
    </w:p>
    <w:p>
      <w:pPr>
        <w:ind w:right="440" w:firstLine="635"/>
        <w:spacing w:after="0" w:line="321" w:lineRule="auto"/>
        <w:rPr>
          <w:sz w:val="20"/>
          <w:szCs w:val="20"/>
          <w:color w:val="auto"/>
        </w:rPr>
      </w:pPr>
      <w:r>
        <w:rPr>
          <w:rFonts w:ascii="Arial" w:cs="Arial" w:eastAsia="Arial" w:hAnsi="Arial"/>
          <w:sz w:val="12"/>
          <w:szCs w:val="12"/>
          <w:i w:val="1"/>
          <w:iCs w:val="1"/>
          <w:color w:val="231F20"/>
        </w:rPr>
        <w:t>Dennis A. Ausiello, M.D.</w:t>
      </w:r>
      <w:r>
        <w:rPr>
          <w:rFonts w:ascii="Arial" w:cs="Arial" w:eastAsia="Arial" w:hAnsi="Arial"/>
          <w:sz w:val="12"/>
          <w:szCs w:val="12"/>
          <w:color w:val="231F20"/>
        </w:rPr>
        <w:t>, has served as a member of our board of directors since April 2015. Dr. Ausiello serves as the Director of the Center for Assessment Technology and</w:t>
      </w:r>
      <w:r>
        <w:rPr>
          <w:rFonts w:ascii="Arial" w:cs="Arial" w:eastAsia="Arial" w:hAnsi="Arial"/>
          <w:sz w:val="12"/>
          <w:szCs w:val="12"/>
          <w:i w:val="1"/>
          <w:iCs w:val="1"/>
          <w:color w:val="231F20"/>
        </w:rPr>
        <w:t xml:space="preserve"> </w:t>
      </w:r>
      <w:r>
        <w:rPr>
          <w:rFonts w:ascii="Arial" w:cs="Arial" w:eastAsia="Arial" w:hAnsi="Arial"/>
          <w:sz w:val="12"/>
          <w:szCs w:val="12"/>
          <w:color w:val="231F20"/>
        </w:rPr>
        <w:t>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since December 2006 and Alnylam Pharmaceuticals since April 2012, each a pharmaceutical company. Dr. Ausiello received his undergraduate degree from Harvard College and an M.D. from the University of Pennsylvania. We believe that Dr. Ausiello is qualified to serve on our board of directors because of his extensive experience as a physician and as a director of pharmaceutical companies.</w:t>
      </w:r>
    </w:p>
    <w:p>
      <w:pPr>
        <w:spacing w:after="0" w:line="96" w:lineRule="exact"/>
        <w:rPr>
          <w:sz w:val="20"/>
          <w:szCs w:val="20"/>
          <w:color w:val="auto"/>
        </w:rPr>
      </w:pPr>
    </w:p>
    <w:p>
      <w:pPr>
        <w:ind w:right="280" w:firstLine="644"/>
        <w:spacing w:after="0" w:line="247" w:lineRule="auto"/>
        <w:rPr>
          <w:sz w:val="20"/>
          <w:szCs w:val="20"/>
          <w:color w:val="auto"/>
        </w:rPr>
      </w:pPr>
      <w:r>
        <w:rPr>
          <w:rFonts w:ascii="Arial" w:cs="Arial" w:eastAsia="Arial" w:hAnsi="Arial"/>
          <w:sz w:val="15"/>
          <w:szCs w:val="15"/>
          <w:i w:val="1"/>
          <w:iCs w:val="1"/>
          <w:color w:val="231F20"/>
        </w:rPr>
        <w:t xml:space="preserve">Grégory Behar </w:t>
      </w:r>
      <w:r>
        <w:rPr>
          <w:rFonts w:ascii="Arial" w:cs="Arial" w:eastAsia="Arial" w:hAnsi="Arial"/>
          <w:sz w:val="15"/>
          <w:szCs w:val="15"/>
          <w:color w:val="231F20"/>
        </w:rPr>
        <w:t>has served as a member of our board of directors since December 2014. Mr. Behar has served as Chief Executive Officer of Nestlé Health Science S.A., a health</w:t>
      </w:r>
      <w:r>
        <w:rPr>
          <w:rFonts w:ascii="Arial" w:cs="Arial" w:eastAsia="Arial" w:hAnsi="Arial"/>
          <w:sz w:val="15"/>
          <w:szCs w:val="15"/>
          <w:i w:val="1"/>
          <w:iCs w:val="1"/>
          <w:color w:val="231F20"/>
        </w:rPr>
        <w:t xml:space="preserve"> </w:t>
      </w:r>
      <w:r>
        <w:rPr>
          <w:rFonts w:ascii="Arial" w:cs="Arial" w:eastAsia="Arial" w:hAnsi="Arial"/>
          <w:sz w:val="15"/>
          <w:szCs w:val="15"/>
          <w:color w:val="231F20"/>
        </w:rPr>
        <w:t>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received his B.S. from the University of California, Los Angeles, a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127" w:lineRule="exact"/>
        <w:rPr>
          <w:sz w:val="20"/>
          <w:szCs w:val="20"/>
          <w:color w:val="auto"/>
        </w:rPr>
      </w:pPr>
    </w:p>
    <w:p>
      <w:pPr>
        <w:jc w:val="both"/>
        <w:ind w:right="360" w:firstLine="644"/>
        <w:spacing w:after="0" w:line="279" w:lineRule="auto"/>
        <w:rPr>
          <w:sz w:val="20"/>
          <w:szCs w:val="20"/>
          <w:color w:val="auto"/>
        </w:rPr>
      </w:pPr>
      <w:r>
        <w:rPr>
          <w:rFonts w:ascii="Arial" w:cs="Arial" w:eastAsia="Arial" w:hAnsi="Arial"/>
          <w:sz w:val="14"/>
          <w:szCs w:val="14"/>
          <w:i w:val="1"/>
          <w:iCs w:val="1"/>
          <w:color w:val="231F20"/>
        </w:rPr>
        <w:t>Werner Cautreels, Ph.D.</w:t>
      </w:r>
      <w:r>
        <w:rPr>
          <w:rFonts w:ascii="Arial" w:cs="Arial" w:eastAsia="Arial" w:hAnsi="Arial"/>
          <w:sz w:val="14"/>
          <w:szCs w:val="14"/>
          <w:color w:val="231F20"/>
        </w:rPr>
        <w:t>, has served as a member of our board of directors since March 2013. Dr. Cautreels has served as President and Chief Executive Officer of Selecta Biosciences, a</w:t>
      </w:r>
      <w:r>
        <w:rPr>
          <w:rFonts w:ascii="Arial" w:cs="Arial" w:eastAsia="Arial" w:hAnsi="Arial"/>
          <w:sz w:val="14"/>
          <w:szCs w:val="14"/>
          <w:i w:val="1"/>
          <w:iCs w:val="1"/>
          <w:color w:val="231F20"/>
        </w:rPr>
        <w:t xml:space="preserve"> </w:t>
      </w:r>
      <w:r>
        <w:rPr>
          <w:rFonts w:ascii="Arial" w:cs="Arial" w:eastAsia="Arial" w:hAnsi="Arial"/>
          <w:sz w:val="14"/>
          <w:szCs w:val="14"/>
          <w:color w:val="231F20"/>
        </w:rPr>
        <w:t>biotechnology company, since June 2010. From May 1998 to June 2010, Dr. Cautreels worked for Solvay Pharmaceuticals, the pharmaceutical division of the Solvay Group, which was acquired by Abbot Laboratories. Since 2009, Dr. Cautreels has served on the board of directors of Galapagos NV, a biotechnology company. Dr.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10" w:right="239" w:bottom="1440" w:gutter="0" w:footer="0" w:header="0"/>
        </w:sectPr>
      </w:pPr>
    </w:p>
    <w:bookmarkStart w:id="67" w:name="page68"/>
    <w:bookmarkEnd w:id="67"/>
    <w:p>
      <w:pPr>
        <w:ind w:right="360"/>
        <w:spacing w:after="0" w:line="262" w:lineRule="auto"/>
        <w:rPr>
          <w:sz w:val="20"/>
          <w:szCs w:val="20"/>
          <w:color w:val="auto"/>
        </w:rPr>
      </w:pPr>
      <w:r>
        <w:rPr>
          <w:rFonts w:ascii="Arial" w:cs="Arial" w:eastAsia="Arial" w:hAnsi="Arial"/>
          <w:sz w:val="15"/>
          <w:szCs w:val="15"/>
          <w:color w:val="231F20"/>
        </w:rPr>
        <w:t>Cautreels received a B.S. and M.S. and a doctorate in Chemistry from the University of Antwerp and an eMBA from Harvard Business School. We believe Dr. Cautreels is qualified to serve on our board of directors because of his extensive experience in the biotechnology industry.</w:t>
      </w:r>
    </w:p>
    <w:p>
      <w:pPr>
        <w:spacing w:after="0" w:line="116" w:lineRule="exact"/>
        <w:rPr>
          <w:sz w:val="20"/>
          <w:szCs w:val="20"/>
          <w:color w:val="auto"/>
        </w:rPr>
      </w:pPr>
    </w:p>
    <w:p>
      <w:pPr>
        <w:ind w:left="120" w:right="140" w:firstLine="640"/>
        <w:spacing w:after="0" w:line="268" w:lineRule="auto"/>
        <w:rPr>
          <w:sz w:val="20"/>
          <w:szCs w:val="20"/>
          <w:color w:val="auto"/>
        </w:rPr>
      </w:pPr>
      <w:r>
        <w:rPr>
          <w:rFonts w:ascii="Arial" w:cs="Arial" w:eastAsia="Arial" w:hAnsi="Arial"/>
          <w:sz w:val="14"/>
          <w:szCs w:val="14"/>
          <w:i w:val="1"/>
          <w:iCs w:val="1"/>
          <w:color w:val="231F20"/>
        </w:rPr>
        <w:t xml:space="preserve">Peter Barton Hutt </w:t>
      </w:r>
      <w:r>
        <w:rPr>
          <w:rFonts w:ascii="Arial" w:cs="Arial" w:eastAsia="Arial" w:hAnsi="Arial"/>
          <w:sz w:val="14"/>
          <w:szCs w:val="14"/>
          <w:color w:val="231F20"/>
        </w:rPr>
        <w:t>has served as a member of our board of directors since May 2013. Mr. Hutt is senior counsel at Covington &amp; Burling LLP, specializing in food and drug law. Mr.</w:t>
      </w:r>
      <w:r>
        <w:rPr>
          <w:rFonts w:ascii="Arial" w:cs="Arial" w:eastAsia="Arial" w:hAnsi="Arial"/>
          <w:sz w:val="14"/>
          <w:szCs w:val="14"/>
          <w:i w:val="1"/>
          <w:iCs w:val="1"/>
          <w:color w:val="231F20"/>
        </w:rPr>
        <w:t xml:space="preserve"> </w:t>
      </w:r>
      <w:r>
        <w:rPr>
          <w:rFonts w:ascii="Arial" w:cs="Arial" w:eastAsia="Arial" w:hAnsi="Arial"/>
          <w:sz w:val="14"/>
          <w:szCs w:val="14"/>
          <w:color w:val="231F20"/>
        </w:rPr>
        <w:t>Hutt has served as a member of the board of directors of Q Therapeutics, Inc. since 2002, Xoma Corporation since 2005, Concert Pharmaceuticals since 2006, BIND Therapeutics, Inc. since 2008 DBV Technologies since 2009 and Flex Pharma, Inc. since 2014. Mr. Hutt previously served on the board of directors of Momenta Pharmaceuticals, Inc., Celera Corporation, which was acquired by Quest Diagnostics in 2011, and ISTA Pharmaceuticals, which was acquired by Bausch &amp; Lomb in 2012. Mr. Hutt received a B.A. from Yale University, an LL.B. from Harvard Law School and an LL.M. from the New York University School of Law. We believe that Mr. Hutt is qualified to serve on our board of directors because of his experience serving as a director of biotechnology companies and his legal and regulatory knowledge.</w:t>
      </w:r>
    </w:p>
    <w:p>
      <w:pPr>
        <w:spacing w:after="0" w:line="125" w:lineRule="exact"/>
        <w:rPr>
          <w:sz w:val="20"/>
          <w:szCs w:val="20"/>
          <w:color w:val="auto"/>
        </w:rPr>
      </w:pPr>
    </w:p>
    <w:p>
      <w:pPr>
        <w:ind w:left="120" w:right="220" w:firstLine="633"/>
        <w:spacing w:after="0" w:line="332" w:lineRule="auto"/>
        <w:rPr>
          <w:sz w:val="20"/>
          <w:szCs w:val="20"/>
          <w:color w:val="auto"/>
        </w:rPr>
      </w:pPr>
      <w:r>
        <w:rPr>
          <w:rFonts w:ascii="Arial" w:cs="Arial" w:eastAsia="Arial" w:hAnsi="Arial"/>
          <w:sz w:val="12"/>
          <w:szCs w:val="12"/>
          <w:i w:val="1"/>
          <w:iCs w:val="1"/>
          <w:color w:val="231F20"/>
        </w:rPr>
        <w:t xml:space="preserve">Richard N. Kender </w:t>
      </w:r>
      <w:r>
        <w:rPr>
          <w:rFonts w:ascii="Arial" w:cs="Arial" w:eastAsia="Arial" w:hAnsi="Arial"/>
          <w:sz w:val="12"/>
          <w:szCs w:val="12"/>
          <w:color w:val="231F20"/>
        </w:rPr>
        <w:t>has served as a member of our board of directors since October 2014. From October 1978 to September 2013, Mr. Kender held positions in a variety of</w:t>
      </w:r>
      <w:r>
        <w:rPr>
          <w:rFonts w:ascii="Arial" w:cs="Arial" w:eastAsia="Arial" w:hAnsi="Arial"/>
          <w:sz w:val="12"/>
          <w:szCs w:val="12"/>
          <w:i w:val="1"/>
          <w:iCs w:val="1"/>
          <w:color w:val="231F20"/>
        </w:rPr>
        <w:t xml:space="preserve"> </w:t>
      </w:r>
      <w:r>
        <w:rPr>
          <w:rFonts w:ascii="Arial" w:cs="Arial" w:eastAsia="Arial" w:hAnsi="Arial"/>
          <w:sz w:val="12"/>
          <w:szCs w:val="12"/>
          <w:color w:val="231F20"/>
        </w:rPr>
        <w:t>corporate areas at Merck, most recently serving as Senior Vice President of Business Development and Corporate Licensing. Mr. Kender serves on the board of directors of INC Research Holdings, Inc., a contract research organization, Poxel and Abide Therapeutics. Mr. Kender received a B.S. from Villanova University and an MBA from Fairleigh Dickinson University. We believe Mr. Kender is qualified to serve on our board of directors because of his extensive business experience and his knowledge of the pharmaceutical industry.</w:t>
      </w:r>
    </w:p>
    <w:p>
      <w:pPr>
        <w:spacing w:after="0" w:line="79" w:lineRule="exact"/>
        <w:rPr>
          <w:sz w:val="20"/>
          <w:szCs w:val="20"/>
          <w:color w:val="auto"/>
        </w:rPr>
      </w:pPr>
    </w:p>
    <w:p>
      <w:pPr>
        <w:ind w:left="120" w:right="80" w:firstLine="649"/>
        <w:spacing w:after="0" w:line="248" w:lineRule="auto"/>
        <w:rPr>
          <w:sz w:val="20"/>
          <w:szCs w:val="20"/>
          <w:color w:val="auto"/>
        </w:rPr>
      </w:pPr>
      <w:r>
        <w:rPr>
          <w:rFonts w:ascii="Arial" w:cs="Arial" w:eastAsia="Arial" w:hAnsi="Arial"/>
          <w:sz w:val="15"/>
          <w:szCs w:val="15"/>
          <w:i w:val="1"/>
          <w:iCs w:val="1"/>
          <w:color w:val="231F20"/>
        </w:rPr>
        <w:t>Lorence H. Kim, M.D.</w:t>
      </w:r>
      <w:r>
        <w:rPr>
          <w:rFonts w:ascii="Arial" w:cs="Arial" w:eastAsia="Arial" w:hAnsi="Arial"/>
          <w:sz w:val="15"/>
          <w:szCs w:val="15"/>
          <w:color w:val="231F20"/>
        </w:rPr>
        <w:t>, has served as a member of our board of directors since October 2014. Since April 2014, Dr. Kim has been the Chief Financial Officer of Moderna</w:t>
      </w:r>
      <w:r>
        <w:rPr>
          <w:rFonts w:ascii="Arial" w:cs="Arial" w:eastAsia="Arial" w:hAnsi="Arial"/>
          <w:sz w:val="15"/>
          <w:szCs w:val="15"/>
          <w:i w:val="1"/>
          <w:iCs w:val="1"/>
          <w:color w:val="231F20"/>
        </w:rPr>
        <w:t xml:space="preserve"> </w:t>
      </w:r>
      <w:r>
        <w:rPr>
          <w:rFonts w:ascii="Arial" w:cs="Arial" w:eastAsia="Arial" w:hAnsi="Arial"/>
          <w:sz w:val="15"/>
          <w:szCs w:val="15"/>
          <w:color w:val="231F20"/>
        </w:rPr>
        <w:t>Therapeutics,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 We believe Dr. Kim is qualified to serve on our board of directors because of his finance experience and knowledge of the biotechnology industry.</w:t>
      </w:r>
    </w:p>
    <w:p>
      <w:pPr>
        <w:spacing w:after="0" w:line="126" w:lineRule="exact"/>
        <w:rPr>
          <w:sz w:val="20"/>
          <w:szCs w:val="20"/>
          <w:color w:val="auto"/>
        </w:rPr>
      </w:pPr>
    </w:p>
    <w:p>
      <w:pPr>
        <w:ind w:firstLine="656"/>
        <w:spacing w:after="0" w:line="318" w:lineRule="auto"/>
        <w:rPr>
          <w:sz w:val="20"/>
          <w:szCs w:val="20"/>
          <w:color w:val="auto"/>
        </w:rPr>
      </w:pPr>
      <w:r>
        <w:rPr>
          <w:rFonts w:ascii="Arial" w:cs="Arial" w:eastAsia="Arial" w:hAnsi="Arial"/>
          <w:sz w:val="12"/>
          <w:szCs w:val="12"/>
          <w:i w:val="1"/>
          <w:iCs w:val="1"/>
          <w:color w:val="auto"/>
        </w:rPr>
        <w:t xml:space="preserve">Kurt C. Graves </w:t>
      </w:r>
      <w:r>
        <w:rPr>
          <w:rFonts w:ascii="Arial" w:cs="Arial" w:eastAsia="Arial" w:hAnsi="Arial"/>
          <w:sz w:val="12"/>
          <w:szCs w:val="12"/>
          <w:color w:val="auto"/>
        </w:rPr>
        <w:t>has served on our Board of Directors since November 2015. Mr. Graves has been the Chairman, President and Chief Executive Officer of Intarcia Therapeutics, a</w:t>
      </w:r>
      <w:r>
        <w:rPr>
          <w:rFonts w:ascii="Arial" w:cs="Arial" w:eastAsia="Arial" w:hAnsi="Arial"/>
          <w:sz w:val="12"/>
          <w:szCs w:val="12"/>
          <w:i w:val="1"/>
          <w:iCs w:val="1"/>
          <w:color w:val="auto"/>
        </w:rPr>
        <w:t xml:space="preserve"> </w:t>
      </w:r>
      <w:r>
        <w:rPr>
          <w:rFonts w:ascii="Arial" w:cs="Arial" w:eastAsia="Arial" w:hAnsi="Arial"/>
          <w:sz w:val="12"/>
          <w:szCs w:val="12"/>
          <w:color w:val="auto"/>
        </w:rPr>
        <w:t>biotechnology company, since April 2012. Mr. Graves served as Executive Chairman of Biolex Therapeutics, a biotechnology company, from November 2010 to March 2012, and served as Executive Chairman of Intarcia Therapeutics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from 1999 to June 2007. He was also the first Chief Marketing Officer for the Pharmaceuticals division from September 2003 to June 2007. He currently serves as a director of Intarcia Therapeutics, Radius Health, Pulmatrix Therapeutics and Achillion Pharmaceuticals.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479" w:right="279" w:bottom="1440" w:gutter="0" w:footer="0" w:header="0"/>
        </w:sectPr>
      </w:pPr>
    </w:p>
    <w:bookmarkStart w:id="68" w:name="page69"/>
    <w:bookmarkEnd w:id="68"/>
    <w:p>
      <w:pPr>
        <w:ind w:left="5860"/>
        <w:spacing w:after="0"/>
        <w:rPr>
          <w:sz w:val="20"/>
          <w:szCs w:val="20"/>
          <w:color w:val="auto"/>
        </w:rPr>
      </w:pPr>
      <w:r>
        <w:rPr>
          <w:rFonts w:ascii="Arial" w:cs="Arial" w:eastAsia="Arial" w:hAnsi="Arial"/>
          <w:sz w:val="15"/>
          <w:szCs w:val="15"/>
          <w:b w:val="1"/>
          <w:bCs w:val="1"/>
          <w:color w:val="auto"/>
        </w:rPr>
        <w:t>PART II</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right="280" w:firstLine="520"/>
        <w:spacing w:after="0" w:line="252" w:lineRule="auto"/>
        <w:rPr>
          <w:sz w:val="20"/>
          <w:szCs w:val="20"/>
          <w:color w:val="auto"/>
        </w:rPr>
      </w:pPr>
      <w:r>
        <w:rPr>
          <w:rFonts w:ascii="Arial" w:cs="Arial" w:eastAsia="Arial" w:hAnsi="Arial"/>
          <w:sz w:val="15"/>
          <w:szCs w:val="15"/>
          <w:color w:val="auto"/>
        </w:rPr>
        <w:t>Our common stock has been traded on the Nasdaq Global Select Market under the symbol “MCRB” since our initial public offering on June 26, 2015. Prior to this time, there was no public market for our common stock. The following table shows the high and low sale prices per share of our common stock as reported on the Nasdaq Global Select Market for the periods indicated:</w:t>
      </w:r>
    </w:p>
    <w:p>
      <w:pPr>
        <w:spacing w:after="0" w:line="215"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71"/>
              <w:spacing w:after="0"/>
              <w:rPr>
                <w:sz w:val="20"/>
                <w:szCs w:val="20"/>
                <w:color w:val="auto"/>
              </w:rPr>
            </w:pPr>
            <w:r>
              <w:rPr>
                <w:rFonts w:ascii="Arial" w:cs="Arial" w:eastAsia="Arial" w:hAnsi="Arial"/>
                <w:sz w:val="12"/>
                <w:szCs w:val="12"/>
                <w:b w:val="1"/>
                <w:bCs w:val="1"/>
                <w:color w:val="auto"/>
              </w:rPr>
              <w:t>High</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Low</w:t>
            </w:r>
          </w:p>
        </w:tc>
      </w:tr>
      <w:tr>
        <w:trPr>
          <w:trHeight w:val="177"/>
        </w:trPr>
        <w:tc>
          <w:tcPr>
            <w:tcW w:w="4240" w:type="dxa"/>
            <w:vAlign w:val="bottom"/>
            <w:tcBorders>
              <w:top w:val="single" w:sz="8" w:color="CFF0FC"/>
            </w:tcBorders>
            <w:shd w:val="clear" w:color="auto" w:fill="CFF0FC"/>
          </w:tcPr>
          <w:p>
            <w:pPr>
              <w:jc w:val="right"/>
              <w:ind w:right="3887"/>
              <w:spacing w:after="0"/>
              <w:rPr>
                <w:sz w:val="20"/>
                <w:szCs w:val="20"/>
                <w:color w:val="auto"/>
              </w:rPr>
            </w:pPr>
            <w:r>
              <w:rPr>
                <w:rFonts w:ascii="Arial" w:cs="Arial" w:eastAsia="Arial" w:hAnsi="Arial"/>
                <w:sz w:val="15"/>
                <w:szCs w:val="15"/>
                <w:b w:val="1"/>
                <w:bCs w:val="1"/>
                <w:color w:val="auto"/>
                <w:w w:val="77"/>
              </w:rPr>
              <w:t>2015</w:t>
            </w:r>
          </w:p>
        </w:tc>
        <w:tc>
          <w:tcPr>
            <w:tcW w:w="12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186"/>
        </w:trPr>
        <w:tc>
          <w:tcPr>
            <w:tcW w:w="4240" w:type="dxa"/>
            <w:vAlign w:val="bottom"/>
          </w:tcPr>
          <w:p>
            <w:pPr>
              <w:ind w:left="200"/>
              <w:spacing w:after="0"/>
              <w:rPr>
                <w:sz w:val="20"/>
                <w:szCs w:val="20"/>
                <w:color w:val="auto"/>
              </w:rPr>
            </w:pPr>
            <w:r>
              <w:rPr>
                <w:rFonts w:ascii="Arial" w:cs="Arial" w:eastAsia="Arial" w:hAnsi="Arial"/>
                <w:sz w:val="15"/>
                <w:szCs w:val="15"/>
                <w:color w:val="auto"/>
              </w:rPr>
              <w:t>Second Quarter 2015 (beginning June 26, 2015)</w:t>
            </w: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51.40</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28.11</w:t>
            </w:r>
          </w:p>
        </w:tc>
        <w:tc>
          <w:tcPr>
            <w:tcW w:w="80" w:type="dxa"/>
            <w:vAlign w:val="bottom"/>
          </w:tcPr>
          <w:p>
            <w:pPr>
              <w:spacing w:after="0"/>
              <w:rPr>
                <w:sz w:val="16"/>
                <w:szCs w:val="16"/>
                <w:color w:val="auto"/>
              </w:rPr>
            </w:pPr>
          </w:p>
        </w:tc>
      </w:tr>
      <w:tr>
        <w:trPr>
          <w:trHeight w:val="186"/>
        </w:trPr>
        <w:tc>
          <w:tcPr>
            <w:tcW w:w="42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Third Quarter 2015</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52.00</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w:t>
            </w:r>
          </w:p>
        </w:tc>
        <w:tc>
          <w:tcPr>
            <w:tcW w:w="80" w:type="dxa"/>
            <w:vAlign w:val="bottom"/>
            <w:shd w:val="clear" w:color="auto" w:fill="CFF0FC"/>
          </w:tcPr>
          <w:p>
            <w:pPr>
              <w:spacing w:after="0"/>
              <w:rPr>
                <w:sz w:val="16"/>
                <w:szCs w:val="16"/>
                <w:color w:val="auto"/>
              </w:rPr>
            </w:pPr>
          </w:p>
        </w:tc>
      </w:tr>
      <w:tr>
        <w:trPr>
          <w:trHeight w:val="186"/>
        </w:trPr>
        <w:tc>
          <w:tcPr>
            <w:tcW w:w="4240" w:type="dxa"/>
            <w:vAlign w:val="bottom"/>
          </w:tcPr>
          <w:p>
            <w:pPr>
              <w:ind w:left="200"/>
              <w:spacing w:after="0"/>
              <w:rPr>
                <w:sz w:val="20"/>
                <w:szCs w:val="20"/>
                <w:color w:val="auto"/>
              </w:rPr>
            </w:pPr>
            <w:r>
              <w:rPr>
                <w:rFonts w:ascii="Arial" w:cs="Arial" w:eastAsia="Arial" w:hAnsi="Arial"/>
                <w:sz w:val="15"/>
                <w:szCs w:val="15"/>
                <w:color w:val="auto"/>
              </w:rPr>
              <w:t>Fourth Quarter 2015</w:t>
            </w: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44.51</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6"/>
                <w:szCs w:val="16"/>
                <w:color w:val="auto"/>
              </w:rPr>
            </w:pPr>
          </w:p>
        </w:tc>
      </w:tr>
    </w:tbl>
    <w:p>
      <w:pPr>
        <w:spacing w:after="0" w:line="16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On March 7, 2016, the last reported sale price for our common stock on the Nasdaq Global Select Market was $29.60 per share.</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Performance Graph</w:t>
      </w:r>
    </w:p>
    <w:p>
      <w:pPr>
        <w:spacing w:after="0" w:line="94" w:lineRule="exact"/>
        <w:rPr>
          <w:sz w:val="20"/>
          <w:szCs w:val="20"/>
          <w:color w:val="auto"/>
        </w:rPr>
      </w:pPr>
    </w:p>
    <w:p>
      <w:pPr>
        <w:ind w:firstLine="520"/>
        <w:spacing w:after="0" w:line="273" w:lineRule="auto"/>
        <w:rPr>
          <w:sz w:val="20"/>
          <w:szCs w:val="20"/>
          <w:color w:val="auto"/>
        </w:rPr>
      </w:pPr>
      <w:r>
        <w:rPr>
          <w:rFonts w:ascii="Arial" w:cs="Arial" w:eastAsia="Arial" w:hAnsi="Arial"/>
          <w:sz w:val="14"/>
          <w:szCs w:val="14"/>
          <w:color w:val="auto"/>
        </w:rPr>
        <w:t>The graph set forth below compares the cumulative total stockholder return on our common stock between June 26, 2015 (the date of our initial public offering) and December 31, 2015, with the cumulative total return of (a) the Nasdaq Biotechnology Index and (b) the Nasdaq Composite Index, over the same period. This graph assumes the investment of $100 on June 26, 2015 in our common stock, the Nasdaq Biotechnology Index and the Nasdaq Composite Index and assumes the reinvestment of dividends, if any. The graph assumes our closing sales price on June 26, 2015 of $51.40 per share as the initial value of our common stock and not the initial offering price to the public of $18.00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w:t>
      </w:r>
    </w:p>
    <w:p>
      <w:pPr>
        <w:spacing w:after="0" w:line="94" w:lineRule="exact"/>
        <w:rPr>
          <w:sz w:val="20"/>
          <w:szCs w:val="20"/>
          <w:color w:val="auto"/>
        </w:rPr>
      </w:pPr>
    </w:p>
    <w:p>
      <w:pPr>
        <w:jc w:val="both"/>
        <w:ind w:firstLine="520"/>
        <w:spacing w:after="0" w:line="252" w:lineRule="auto"/>
        <w:rPr>
          <w:sz w:val="20"/>
          <w:szCs w:val="20"/>
          <w:color w:val="auto"/>
        </w:rPr>
      </w:pPr>
      <w:r>
        <w:rPr>
          <w:rFonts w:ascii="Arial" w:cs="Arial" w:eastAsia="Arial" w:hAnsi="Arial"/>
          <w:sz w:val="15"/>
          <w:szCs w:val="15"/>
          <w:color w:val="auto"/>
        </w:rPr>
        <w:t>As of March 7, 2016, there were approximately 33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have not paid any cash dividends on our common stock since inception and do not anticipate paying cash dividends in the foreseeable future.</w:t>
      </w: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 from Registered Securities</w:t>
      </w:r>
    </w:p>
    <w:p>
      <w:pPr>
        <w:spacing w:after="0" w:line="182" w:lineRule="exact"/>
        <w:rPr>
          <w:sz w:val="20"/>
          <w:szCs w:val="20"/>
          <w:color w:val="auto"/>
        </w:rPr>
      </w:pPr>
    </w:p>
    <w:p>
      <w:pPr>
        <w:ind w:right="20" w:firstLine="520"/>
        <w:spacing w:after="0" w:line="252" w:lineRule="auto"/>
        <w:rPr>
          <w:sz w:val="20"/>
          <w:szCs w:val="20"/>
          <w:color w:val="auto"/>
        </w:rPr>
      </w:pPr>
      <w:r>
        <w:rPr>
          <w:rFonts w:ascii="Arial" w:cs="Arial" w:eastAsia="Arial" w:hAnsi="Arial"/>
          <w:sz w:val="15"/>
          <w:szCs w:val="15"/>
          <w:color w:val="auto"/>
        </w:rPr>
        <w:t>On July 1, 2015, we completed the initial public offering of our common stock and issued and sold 8,545,138 shares of our common stock at a public offering price of $18.00 per share, including 1,114,583 shares of our common stock pursuant to the underwriters’ full exercise of their option to purchase additional shares of our common stock. We received aggregate net proceeds of</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475" w:right="27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t>approximately $139.3 million after deducting underwriting discounts and commissions of $10.8 million and offering expenses of $3.7 million.</w:t>
      </w:r>
    </w:p>
    <w:p>
      <w:pPr>
        <w:spacing w:after="0" w:line="90" w:lineRule="exact"/>
        <w:rPr>
          <w:sz w:val="20"/>
          <w:szCs w:val="20"/>
          <w:color w:val="auto"/>
        </w:rPr>
      </w:pPr>
    </w:p>
    <w:p>
      <w:pPr>
        <w:ind w:firstLine="764"/>
        <w:spacing w:after="0" w:line="325" w:lineRule="auto"/>
        <w:rPr>
          <w:sz w:val="20"/>
          <w:szCs w:val="20"/>
          <w:color w:val="auto"/>
        </w:rPr>
      </w:pPr>
      <w:r>
        <w:rPr>
          <w:rFonts w:ascii="Arial" w:cs="Arial" w:eastAsia="Arial" w:hAnsi="Arial"/>
          <w:sz w:val="12"/>
          <w:szCs w:val="12"/>
          <w:color w:val="auto"/>
        </w:rPr>
        <w:t>The offer and sale of all of the shares in the offering was registered under the Securities Act of 1933, as amended, pursuant to a registration statement on Form S-1 (File No. 333-204484), which was declared effective by the SEC on June 25, 2015, and a registration statement on Form S-1MEF (File No. 333-205238), which was automatically effective upon filing with the SEC on June 25, 2015. On September 17, 2015, we made a payment of $1.8 million to Comerica Bank to satisfy all amounts owed under our loan and security agreement. The payoff amount was comprised of $1.7 million of outstanding principal under the loan and security agreement and $0.1 million of final payment fees and accrued interest. There has been no material change in our planned use of the net proceeds from the offering as described in our final prospectus filed pursuant to Rule 424(b)(4) under the Securities Act with the SEC on June 26, 2015.</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Purchases of Equity Securities by the Issuer or Affiliated Purchasers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There were no repurchases of shares of common stock made during the quarter ended December 31, 2015.</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Selected Consolidated Financial Data</w:t>
      </w:r>
    </w:p>
    <w:p>
      <w:pPr>
        <w:spacing w:after="0" w:line="94" w:lineRule="exact"/>
        <w:rPr>
          <w:sz w:val="20"/>
          <w:szCs w:val="20"/>
          <w:color w:val="auto"/>
        </w:rPr>
      </w:pPr>
    </w:p>
    <w:p>
      <w:pPr>
        <w:ind w:right="60" w:firstLine="520"/>
        <w:spacing w:after="0" w:line="268" w:lineRule="auto"/>
        <w:rPr>
          <w:sz w:val="20"/>
          <w:szCs w:val="20"/>
          <w:color w:val="auto"/>
        </w:rPr>
      </w:pPr>
      <w:r>
        <w:rPr>
          <w:rFonts w:ascii="Arial" w:cs="Arial" w:eastAsia="Arial" w:hAnsi="Arial"/>
          <w:sz w:val="14"/>
          <w:szCs w:val="14"/>
          <w:color w:val="auto"/>
        </w:rPr>
        <w:t>The following selected consolidated financial data should be read in conjunction with “Management’s Discussion and Analysis of Financial Condition and Results of Operations,” our consolidated financial statements and related notes, and other financial information included in this Annual Report on Form 10-K. We have derived the consolidated statement of operations data for the years ended December 31, 2015, 2014 and 2013 and the consolidated balance sheet data as of December 31, 2015 and 2014 from our audited consolidated financial statements, which are included elsewhere in this Annual Report on Form 10-K. The consolidated statement of operations data for the year ended December 31, 2012 and the consolidated balance sheet data as of December 31, 2013 and 2012 are derived from our audited consolidated financial statements that are not included in this Annual Report on Form 10-K. Our historical results are not necessarily indicative of the results that should be expected in the future.</w:t>
      </w: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8"/>
              <w:spacing w:after="0" w:line="122" w:lineRule="exact"/>
              <w:rPr>
                <w:sz w:val="20"/>
                <w:szCs w:val="20"/>
                <w:color w:val="auto"/>
              </w:rPr>
            </w:pPr>
            <w:r>
              <w:rPr>
                <w:rFonts w:ascii="Arial" w:cs="Arial" w:eastAsia="Arial" w:hAnsi="Arial"/>
                <w:sz w:val="12"/>
                <w:szCs w:val="12"/>
                <w:b w:val="1"/>
                <w:bCs w:val="1"/>
                <w:color w:val="auto"/>
              </w:rPr>
              <w:t>2015</w:t>
            </w: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280"/>
              <w:spacing w:after="0" w:line="122" w:lineRule="exact"/>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8"/>
              <w:spacing w:after="0" w:line="122"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88"/>
              <w:spacing w:after="0" w:line="122" w:lineRule="exact"/>
              <w:rPr>
                <w:sz w:val="20"/>
                <w:szCs w:val="20"/>
                <w:color w:val="auto"/>
              </w:rPr>
            </w:pPr>
            <w:r>
              <w:rPr>
                <w:rFonts w:ascii="Arial" w:cs="Arial" w:eastAsia="Arial" w:hAnsi="Arial"/>
                <w:sz w:val="12"/>
                <w:szCs w:val="12"/>
                <w:b w:val="1"/>
                <w:bCs w:val="1"/>
                <w:color w:val="auto"/>
              </w:rPr>
              <w:t>2012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5"/>
          </w:tcPr>
          <w:p>
            <w:pPr>
              <w:jc w:val="right"/>
              <w:ind w:right="300"/>
              <w:spacing w:after="0" w:line="122" w:lineRule="exact"/>
              <w:rPr>
                <w:sz w:val="20"/>
                <w:szCs w:val="20"/>
                <w:color w:val="auto"/>
              </w:rPr>
            </w:pPr>
            <w:r>
              <w:rPr>
                <w:rFonts w:ascii="Arial" w:cs="Arial" w:eastAsia="Arial" w:hAnsi="Arial"/>
                <w:sz w:val="12"/>
                <w:szCs w:val="12"/>
                <w:b w:val="1"/>
                <w:bCs w:val="1"/>
                <w:color w:val="auto"/>
                <w:w w:val="85"/>
              </w:rPr>
              <w:t>(in thousands, except per share data)</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Arial" w:cs="Arial" w:eastAsia="Arial" w:hAnsi="Arial"/>
                <w:sz w:val="15"/>
                <w:szCs w:val="15"/>
                <w:color w:val="auto"/>
              </w:rPr>
              <w:t>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right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200"/>
              <w:spacing w:after="0"/>
              <w:rPr>
                <w:sz w:val="20"/>
                <w:szCs w:val="20"/>
                <w:color w:val="auto"/>
              </w:rPr>
            </w:pPr>
            <w:r>
              <w:rPr>
                <w:rFonts w:ascii="Arial" w:cs="Arial" w:eastAsia="Arial" w:hAnsi="Arial"/>
                <w:sz w:val="15"/>
                <w:szCs w:val="15"/>
                <w:color w:val="auto"/>
              </w:rPr>
              <w:t>Research and development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38,095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10,718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4,805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General and administrative</w:t>
            </w:r>
          </w:p>
        </w:tc>
        <w:tc>
          <w:tcPr>
            <w:tcW w:w="2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16,761</w:t>
            </w:r>
          </w:p>
        </w:tc>
        <w:tc>
          <w:tcPr>
            <w:tcW w:w="20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4,364</w:t>
            </w:r>
          </w:p>
        </w:tc>
        <w:tc>
          <w:tcPr>
            <w:tcW w:w="1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1,247</w:t>
            </w:r>
          </w:p>
        </w:tc>
        <w:tc>
          <w:tcPr>
            <w:tcW w:w="1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0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54,856</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15,082</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6,052</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3,033</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0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(54,856)</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(15,082)</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(6,052)</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177"/>
        </w:trPr>
        <w:tc>
          <w:tcPr>
            <w:tcW w:w="4800" w:type="dxa"/>
            <w:vAlign w:val="bottom"/>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Interest income</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638</w:t>
            </w:r>
          </w:p>
        </w:tc>
        <w:tc>
          <w:tcPr>
            <w:tcW w:w="2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0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(555)</w:t>
            </w:r>
          </w:p>
        </w:tc>
        <w:tc>
          <w:tcPr>
            <w:tcW w:w="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(209)</w:t>
            </w:r>
          </w:p>
        </w:tc>
        <w:tc>
          <w:tcPr>
            <w:tcW w:w="2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(42)</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86"/>
        </w:trPr>
        <w:tc>
          <w:tcPr>
            <w:tcW w:w="48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Revaluation of preferred stock warrant liability</w:t>
            </w:r>
          </w:p>
        </w:tc>
        <w:tc>
          <w:tcPr>
            <w:tcW w:w="22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w:t>
            </w: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(1,418)</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w:t>
            </w:r>
          </w:p>
        </w:tc>
        <w:tc>
          <w:tcPr>
            <w:tcW w:w="2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00"/>
              <w:spacing w:after="0"/>
              <w:rPr>
                <w:sz w:val="20"/>
                <w:szCs w:val="20"/>
                <w:color w:val="auto"/>
              </w:rPr>
            </w:pPr>
            <w:r>
              <w:rPr>
                <w:rFonts w:ascii="Arial" w:cs="Arial" w:eastAsia="Arial" w:hAnsi="Arial"/>
                <w:sz w:val="15"/>
                <w:szCs w:val="15"/>
                <w:color w:val="auto"/>
              </w:rPr>
              <w:t>Total other income (expense), net</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(1,627)</w:t>
            </w:r>
          </w:p>
        </w:tc>
        <w:tc>
          <w:tcPr>
            <w:tcW w:w="2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(50)</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(54,780)</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(16,709)</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(6,102)</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(3,126)</w:t>
            </w:r>
          </w:p>
        </w:tc>
        <w:tc>
          <w:tcPr>
            <w:tcW w:w="0" w:type="dxa"/>
            <w:vAlign w:val="bottom"/>
          </w:tcPr>
          <w:p>
            <w:pPr>
              <w:spacing w:after="0"/>
              <w:rPr>
                <w:sz w:val="1"/>
                <w:szCs w:val="1"/>
                <w:color w:val="auto"/>
              </w:rPr>
            </w:pPr>
          </w:p>
        </w:tc>
      </w:tr>
      <w:tr>
        <w:trPr>
          <w:trHeight w:val="175"/>
        </w:trPr>
        <w:tc>
          <w:tcPr>
            <w:tcW w:w="4800" w:type="dxa"/>
            <w:vAlign w:val="bottom"/>
          </w:tcPr>
          <w:p>
            <w:pPr>
              <w:ind w:left="200"/>
              <w:spacing w:after="0"/>
              <w:rPr>
                <w:sz w:val="20"/>
                <w:szCs w:val="20"/>
                <w:color w:val="auto"/>
              </w:rPr>
            </w:pPr>
            <w:r>
              <w:rPr>
                <w:rFonts w:ascii="Arial" w:cs="Arial" w:eastAsia="Arial" w:hAnsi="Arial"/>
                <w:sz w:val="15"/>
                <w:szCs w:val="15"/>
                <w:color w:val="auto"/>
              </w:rPr>
              <w:t>Accretion of convertible preferred stock to redemption</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300"/>
              <w:spacing w:after="0"/>
              <w:rPr>
                <w:sz w:val="20"/>
                <w:szCs w:val="20"/>
                <w:color w:val="auto"/>
              </w:rPr>
            </w:pPr>
            <w:r>
              <w:rPr>
                <w:rFonts w:ascii="Arial" w:cs="Arial" w:eastAsia="Arial" w:hAnsi="Arial"/>
                <w:sz w:val="15"/>
                <w:szCs w:val="15"/>
                <w:color w:val="auto"/>
              </w:rPr>
              <w:t>value</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(1,291)</w:t>
            </w:r>
          </w:p>
        </w:tc>
        <w:tc>
          <w:tcPr>
            <w:tcW w:w="2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(875)</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loss attributable to common stockholders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(54,780)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(18,000)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(6,977)</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(3,402)</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Net loss per share 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100"/>
              <w:spacing w:after="0"/>
              <w:rPr>
                <w:sz w:val="20"/>
                <w:szCs w:val="20"/>
                <w:color w:val="auto"/>
              </w:rPr>
            </w:pPr>
            <w:r>
              <w:rPr>
                <w:rFonts w:ascii="Arial" w:cs="Arial" w:eastAsia="Arial" w:hAnsi="Arial"/>
                <w:sz w:val="15"/>
                <w:szCs w:val="15"/>
                <w:color w:val="auto"/>
              </w:rPr>
              <w:t>basic and diluted</w:t>
            </w:r>
            <w:r>
              <w:rPr>
                <w:rFonts w:ascii="Arial" w:cs="Arial" w:eastAsia="Arial" w:hAnsi="Arial"/>
                <w:sz w:val="12"/>
                <w:szCs w:val="12"/>
                <w:color w:val="auto"/>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(1.09)</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1539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5390" cy="6985"/>
                    </a:xfrm>
                    <a:prstGeom prst="rect">
                      <a:avLst/>
                    </a:prstGeom>
                    <a:noFill/>
                  </pic:spPr>
                </pic:pic>
              </a:graphicData>
            </a:graphic>
          </wp:anchor>
        </w:drawing>
      </w:r>
    </w:p>
    <w:p>
      <w:pPr>
        <w:spacing w:after="0" w:line="101" w:lineRule="exact"/>
        <w:rPr>
          <w:sz w:val="20"/>
          <w:szCs w:val="20"/>
          <w:color w:val="auto"/>
        </w:rPr>
      </w:pPr>
    </w:p>
    <w:p>
      <w:pPr>
        <w:ind w:left="520" w:right="120" w:hanging="512"/>
        <w:spacing w:after="0" w:line="262" w:lineRule="auto"/>
        <w:tabs>
          <w:tab w:leader="none" w:pos="5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See Note 11 to our consolidated financial statements appearing at the end of this annual report on Form 10-K for further details on the calculation of basic and diluted net loss per share attributable to common stockholders.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60"/>
          </w:cols>
          <w:pgMar w:left="220" w:top="654" w:right="319" w:bottom="1440" w:gutter="0" w:footer="0" w:header="0"/>
        </w:sectPr>
      </w:pPr>
    </w:p>
    <w:bookmarkStart w:id="70" w:name="page71"/>
    <w:bookmarkEnd w:id="70"/>
    <w:tbl>
      <w:tblPr>
        <w:tblLayout w:type="fixed"/>
        <w:tblInd w:w="1732"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center"/>
              <w:ind w:right="209"/>
              <w:spacing w:after="0"/>
              <w:rPr>
                <w:sz w:val="20"/>
                <w:szCs w:val="20"/>
                <w:color w:val="auto"/>
              </w:rPr>
            </w:pPr>
            <w:r>
              <w:rPr>
                <w:rFonts w:ascii="Arial" w:cs="Arial" w:eastAsia="Arial" w:hAnsi="Arial"/>
                <w:sz w:val="12"/>
                <w:szCs w:val="12"/>
                <w:b w:val="1"/>
                <w:bCs w:val="1"/>
                <w:color w:val="auto"/>
                <w:w w:val="87"/>
              </w:rPr>
              <w:t>As of December 31,</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9"/>
              <w:spacing w:after="0"/>
              <w:rPr>
                <w:sz w:val="20"/>
                <w:szCs w:val="20"/>
                <w:color w:val="auto"/>
              </w:rPr>
            </w:pPr>
            <w:r>
              <w:rPr>
                <w:rFonts w:ascii="Arial" w:cs="Arial" w:eastAsia="Arial" w:hAnsi="Arial"/>
                <w:sz w:val="12"/>
                <w:szCs w:val="12"/>
                <w:b w:val="1"/>
                <w:bCs w:val="1"/>
                <w:color w:val="auto"/>
              </w:rPr>
              <w:t>2015</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2014</w:t>
            </w: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w w:val="74"/>
              </w:rPr>
              <w:t>2013</w:t>
            </w: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2012</w:t>
            </w:r>
          </w:p>
        </w:tc>
        <w:tc>
          <w:tcPr>
            <w:tcW w:w="80" w:type="dxa"/>
            <w:vAlign w:val="bottom"/>
          </w:tcPr>
          <w:p>
            <w:pPr>
              <w:spacing w:after="0"/>
              <w:rPr>
                <w:sz w:val="11"/>
                <w:szCs w:val="11"/>
                <w:color w:val="auto"/>
              </w:rPr>
            </w:pPr>
          </w:p>
        </w:tc>
      </w:tr>
      <w:tr>
        <w:trPr>
          <w:trHeight w:val="122"/>
        </w:trPr>
        <w:tc>
          <w:tcPr>
            <w:tcW w:w="3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ind w:left="271"/>
              <w:spacing w:after="0" w:line="122" w:lineRule="exact"/>
              <w:rPr>
                <w:sz w:val="20"/>
                <w:szCs w:val="20"/>
                <w:color w:val="auto"/>
              </w:rPr>
            </w:pPr>
            <w:r>
              <w:rPr>
                <w:rFonts w:ascii="Arial" w:cs="Arial" w:eastAsia="Arial" w:hAnsi="Arial"/>
                <w:sz w:val="12"/>
                <w:szCs w:val="12"/>
                <w:b w:val="1"/>
                <w:bCs w:val="1"/>
                <w:color w:val="auto"/>
                <w:w w:val="84"/>
              </w:rPr>
              <w:t>(in thousands)</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6"/>
        </w:trPr>
        <w:tc>
          <w:tcPr>
            <w:tcW w:w="37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Consolidated Balance Sheet Data:</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73,933</w:t>
            </w: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1"/>
              <w:spacing w:after="0"/>
              <w:rPr>
                <w:sz w:val="20"/>
                <w:szCs w:val="20"/>
                <w:color w:val="auto"/>
              </w:rPr>
            </w:pPr>
            <w:r>
              <w:rPr>
                <w:rFonts w:ascii="Arial" w:cs="Arial" w:eastAsia="Arial" w:hAnsi="Arial"/>
                <w:sz w:val="15"/>
                <w:szCs w:val="15"/>
                <w:color w:val="auto"/>
              </w:rPr>
              <w:t>114,185</w:t>
            </w:r>
          </w:p>
        </w:tc>
        <w:tc>
          <w:tcPr>
            <w:tcW w:w="3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9"/>
              <w:spacing w:after="0"/>
              <w:rPr>
                <w:sz w:val="20"/>
                <w:szCs w:val="20"/>
                <w:color w:val="auto"/>
              </w:rPr>
            </w:pPr>
            <w:r>
              <w:rPr>
                <w:rFonts w:ascii="Arial" w:cs="Arial" w:eastAsia="Arial" w:hAnsi="Arial"/>
                <w:sz w:val="15"/>
                <w:szCs w:val="15"/>
                <w:color w:val="auto"/>
              </w:rPr>
              <w:t>1,654</w:t>
            </w:r>
          </w:p>
        </w:tc>
        <w:tc>
          <w:tcPr>
            <w:tcW w:w="2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6,215</w:t>
            </w:r>
          </w:p>
        </w:tc>
        <w:tc>
          <w:tcPr>
            <w:tcW w:w="80" w:type="dxa"/>
            <w:vAlign w:val="bottom"/>
          </w:tcPr>
          <w:p>
            <w:pPr>
              <w:spacing w:after="0"/>
              <w:rPr>
                <w:sz w:val="16"/>
                <w:szCs w:val="16"/>
                <w:color w:val="auto"/>
              </w:rPr>
            </w:pPr>
          </w:p>
        </w:tc>
      </w:tr>
      <w:tr>
        <w:trPr>
          <w:trHeight w:val="186"/>
        </w:trPr>
        <w:tc>
          <w:tcPr>
            <w:tcW w:w="3780" w:type="dxa"/>
            <w:vAlign w:val="bottom"/>
            <w:shd w:val="clear" w:color="auto" w:fill="CFF0FC"/>
          </w:tcPr>
          <w:p>
            <w:pPr>
              <w:spacing w:after="0"/>
              <w:rPr>
                <w:sz w:val="20"/>
                <w:szCs w:val="20"/>
                <w:color w:val="auto"/>
              </w:rPr>
            </w:pPr>
            <w:r>
              <w:rPr>
                <w:rFonts w:ascii="Arial" w:cs="Arial" w:eastAsia="Arial" w:hAnsi="Arial"/>
                <w:sz w:val="15"/>
                <w:szCs w:val="15"/>
                <w:color w:val="auto"/>
              </w:rPr>
              <w:t>Investments</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131,149</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3780" w:type="dxa"/>
            <w:vAlign w:val="bottom"/>
          </w:tcPr>
          <w:p>
            <w:pPr>
              <w:spacing w:after="0"/>
              <w:rPr>
                <w:sz w:val="20"/>
                <w:szCs w:val="20"/>
                <w:color w:val="auto"/>
              </w:rPr>
            </w:pPr>
            <w:r>
              <w:rPr>
                <w:rFonts w:ascii="Arial" w:cs="Arial" w:eastAsia="Arial" w:hAnsi="Arial"/>
                <w:sz w:val="15"/>
                <w:szCs w:val="15"/>
                <w:color w:val="auto"/>
              </w:rPr>
              <w:t>Working capital</w:t>
            </w:r>
            <w:r>
              <w:rPr>
                <w:rFonts w:ascii="Arial" w:cs="Arial" w:eastAsia="Arial" w:hAnsi="Arial"/>
                <w:sz w:val="12"/>
                <w:szCs w:val="12"/>
                <w:color w:val="auto"/>
              </w:rPr>
              <w:t>(1)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196,690</w:t>
            </w:r>
          </w:p>
        </w:tc>
        <w:tc>
          <w:tcPr>
            <w:tcW w:w="2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5"/>
                <w:szCs w:val="15"/>
                <w:color w:val="auto"/>
              </w:rPr>
              <w:t>109,140</w:t>
            </w:r>
          </w:p>
        </w:tc>
        <w:tc>
          <w:tcPr>
            <w:tcW w:w="3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5"/>
                <w:szCs w:val="15"/>
                <w:color w:val="auto"/>
              </w:rPr>
              <w:t>649</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6,067</w:t>
            </w:r>
          </w:p>
        </w:tc>
        <w:tc>
          <w:tcPr>
            <w:tcW w:w="80" w:type="dxa"/>
            <w:vAlign w:val="bottom"/>
          </w:tcPr>
          <w:p>
            <w:pPr>
              <w:spacing w:after="0"/>
              <w:rPr>
                <w:sz w:val="16"/>
                <w:szCs w:val="16"/>
                <w:color w:val="auto"/>
              </w:rPr>
            </w:pPr>
          </w:p>
        </w:tc>
      </w:tr>
      <w:tr>
        <w:trPr>
          <w:trHeight w:val="186"/>
        </w:trPr>
        <w:tc>
          <w:tcPr>
            <w:tcW w:w="3780" w:type="dxa"/>
            <w:vAlign w:val="bottom"/>
            <w:shd w:val="clear" w:color="auto" w:fill="CFF0FC"/>
          </w:tcPr>
          <w:p>
            <w:pPr>
              <w:spacing w:after="0"/>
              <w:rPr>
                <w:sz w:val="20"/>
                <w:szCs w:val="20"/>
                <w:color w:val="auto"/>
              </w:rPr>
            </w:pPr>
            <w:r>
              <w:rPr>
                <w:rFonts w:ascii="Arial" w:cs="Arial" w:eastAsia="Arial" w:hAnsi="Arial"/>
                <w:sz w:val="15"/>
                <w:szCs w:val="15"/>
                <w:color w:val="auto"/>
              </w:rPr>
              <w:t>Total assets</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216,900</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5"/>
                <w:szCs w:val="15"/>
                <w:color w:val="auto"/>
              </w:rPr>
              <w:t>117,345</w:t>
            </w: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2,125</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6,538</w:t>
            </w:r>
          </w:p>
        </w:tc>
        <w:tc>
          <w:tcPr>
            <w:tcW w:w="80" w:type="dxa"/>
            <w:vAlign w:val="bottom"/>
            <w:shd w:val="clear" w:color="auto" w:fill="CFF0FC"/>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5"/>
                <w:szCs w:val="15"/>
                <w:color w:val="auto"/>
              </w:rPr>
              <w:t>Preferred stock warrant liability</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5"/>
                <w:szCs w:val="15"/>
                <w:color w:val="auto"/>
              </w:rPr>
              <w:t>1,582</w:t>
            </w:r>
          </w:p>
        </w:tc>
        <w:tc>
          <w:tcPr>
            <w:tcW w:w="3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5"/>
                <w:szCs w:val="15"/>
                <w:color w:val="auto"/>
              </w:rPr>
              <w:t>164</w:t>
            </w:r>
          </w:p>
        </w:tc>
        <w:tc>
          <w:tcPr>
            <w:tcW w:w="24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3780" w:type="dxa"/>
            <w:vAlign w:val="bottom"/>
            <w:shd w:val="clear" w:color="auto" w:fill="CFF0FC"/>
          </w:tcPr>
          <w:p>
            <w:pPr>
              <w:spacing w:after="0"/>
              <w:rPr>
                <w:sz w:val="20"/>
                <w:szCs w:val="20"/>
                <w:color w:val="auto"/>
              </w:rPr>
            </w:pPr>
            <w:r>
              <w:rPr>
                <w:rFonts w:ascii="Arial" w:cs="Arial" w:eastAsia="Arial" w:hAnsi="Arial"/>
                <w:sz w:val="15"/>
                <w:szCs w:val="15"/>
                <w:color w:val="auto"/>
                <w:w w:val="99"/>
              </w:rPr>
              <w:t>Long-term debt, net of discount, including current portion</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5"/>
                <w:szCs w:val="15"/>
                <w:color w:val="auto"/>
              </w:rPr>
              <w:t>2,504</w:t>
            </w: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838</w:t>
            </w: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3780" w:type="dxa"/>
            <w:vAlign w:val="bottom"/>
          </w:tcPr>
          <w:p>
            <w:pPr>
              <w:spacing w:after="0"/>
              <w:rPr>
                <w:sz w:val="20"/>
                <w:szCs w:val="20"/>
                <w:color w:val="auto"/>
              </w:rPr>
            </w:pPr>
            <w:r>
              <w:rPr>
                <w:rFonts w:ascii="Arial" w:cs="Arial" w:eastAsia="Arial" w:hAnsi="Arial"/>
                <w:sz w:val="15"/>
                <w:szCs w:val="15"/>
                <w:color w:val="auto"/>
              </w:rPr>
              <w:t>Convertible preferred stock</w:t>
            </w:r>
            <w:r>
              <w:rPr>
                <w:rFonts w:ascii="Arial" w:cs="Arial" w:eastAsia="Arial" w:hAnsi="Arial"/>
                <w:sz w:val="12"/>
                <w:szCs w:val="12"/>
                <w:color w:val="auto"/>
              </w:rPr>
              <w:t>(2)</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5"/>
                <w:szCs w:val="15"/>
                <w:color w:val="auto"/>
              </w:rPr>
              <w:t>136,077</w:t>
            </w:r>
          </w:p>
        </w:tc>
        <w:tc>
          <w:tcPr>
            <w:tcW w:w="3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5"/>
                <w:szCs w:val="15"/>
                <w:color w:val="auto"/>
              </w:rPr>
              <w:t>11,583</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10,708</w:t>
            </w:r>
          </w:p>
        </w:tc>
        <w:tc>
          <w:tcPr>
            <w:tcW w:w="80" w:type="dxa"/>
            <w:vAlign w:val="bottom"/>
          </w:tcPr>
          <w:p>
            <w:pPr>
              <w:spacing w:after="0"/>
              <w:rPr>
                <w:sz w:val="16"/>
                <w:szCs w:val="16"/>
                <w:color w:val="auto"/>
              </w:rPr>
            </w:pPr>
          </w:p>
        </w:tc>
      </w:tr>
      <w:tr>
        <w:trPr>
          <w:trHeight w:val="186"/>
        </w:trPr>
        <w:tc>
          <w:tcPr>
            <w:tcW w:w="3780" w:type="dxa"/>
            <w:vAlign w:val="bottom"/>
            <w:shd w:val="clear" w:color="auto" w:fill="CFF0FC"/>
          </w:tcPr>
          <w:p>
            <w:pPr>
              <w:spacing w:after="0"/>
              <w:rPr>
                <w:sz w:val="20"/>
                <w:szCs w:val="20"/>
                <w:color w:val="auto"/>
              </w:rPr>
            </w:pPr>
            <w:r>
              <w:rPr>
                <w:rFonts w:ascii="Arial" w:cs="Arial" w:eastAsia="Arial" w:hAnsi="Arial"/>
                <w:sz w:val="15"/>
                <w:szCs w:val="15"/>
                <w:color w:val="auto"/>
              </w:rPr>
              <w:t>Total stockholders’ equity (deficit)</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205,394</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(26,721)</w:t>
            </w: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(11,116)</w:t>
            </w: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2153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15390" cy="6985"/>
                    </a:xfrm>
                    <a:prstGeom prst="rect">
                      <a:avLst/>
                    </a:prstGeom>
                    <a:noFill/>
                  </pic:spPr>
                </pic:pic>
              </a:graphicData>
            </a:graphic>
          </wp:anchor>
        </w:drawing>
      </w:r>
    </w:p>
    <w:p>
      <w:pPr>
        <w:spacing w:after="0" w:line="101" w:lineRule="exact"/>
        <w:rPr>
          <w:sz w:val="20"/>
          <w:szCs w:val="20"/>
          <w:color w:val="auto"/>
        </w:rPr>
      </w:pPr>
    </w:p>
    <w:p>
      <w:pPr>
        <w:ind w:left="512" w:hanging="512"/>
        <w:spacing w:after="0"/>
        <w:tabs>
          <w:tab w:leader="none" w:pos="512"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define working capital as current assets less current liabilities.</w:t>
      </w:r>
    </w:p>
    <w:p>
      <w:pPr>
        <w:spacing w:after="0" w:line="13" w:lineRule="exact"/>
        <w:rPr>
          <w:rFonts w:ascii="Arial" w:cs="Arial" w:eastAsia="Arial" w:hAnsi="Arial"/>
          <w:sz w:val="15"/>
          <w:szCs w:val="15"/>
          <w:color w:val="auto"/>
        </w:rPr>
      </w:pPr>
    </w:p>
    <w:p>
      <w:pPr>
        <w:ind w:left="512" w:hanging="512"/>
        <w:spacing w:after="0" w:line="247" w:lineRule="auto"/>
        <w:tabs>
          <w:tab w:leader="none" w:pos="512"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Convertible preferred stock was converted into our common stock upon the listing of our common stock on NASDAQ on June 26, 2015. See Note 8 to our consolidated financial statements appearing at the end of this annual report on Form 10-K for further details.</w:t>
      </w:r>
    </w:p>
    <w:p>
      <w:pPr>
        <w:spacing w:after="0" w:line="159" w:lineRule="exact"/>
        <w:rPr>
          <w:sz w:val="20"/>
          <w:szCs w:val="20"/>
          <w:color w:val="auto"/>
        </w:rPr>
      </w:pPr>
    </w:p>
    <w:p>
      <w:pPr>
        <w:ind w:left="5652"/>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31202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872"/>
          </w:cols>
          <w:pgMar w:left="228" w:top="531" w:right="79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94" w:lineRule="exact"/>
        <w:rPr>
          <w:sz w:val="20"/>
          <w:szCs w:val="20"/>
          <w:color w:val="auto"/>
        </w:rPr>
      </w:pPr>
    </w:p>
    <w:p>
      <w:pPr>
        <w:ind w:right="40" w:firstLine="520"/>
        <w:spacing w:after="0" w:line="332" w:lineRule="auto"/>
        <w:rPr>
          <w:sz w:val="20"/>
          <w:szCs w:val="20"/>
          <w:color w:val="auto"/>
        </w:rPr>
      </w:pPr>
      <w:r>
        <w:rPr>
          <w:rFonts w:ascii="Arial" w:cs="Arial" w:eastAsia="Arial" w:hAnsi="Arial"/>
          <w:sz w:val="12"/>
          <w:szCs w:val="12"/>
          <w:i w:val="1"/>
          <w:iCs w:val="1"/>
          <w:color w:val="auto"/>
        </w:rPr>
        <w:t>You should read the following discussion and analysis of financial condition and results of operations together with Item 6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90" w:lineRule="exact"/>
        <w:rPr>
          <w:sz w:val="20"/>
          <w:szCs w:val="20"/>
          <w:color w:val="auto"/>
        </w:rPr>
      </w:pPr>
    </w:p>
    <w:p>
      <w:pPr>
        <w:ind w:firstLine="520"/>
        <w:spacing w:after="0" w:line="321" w:lineRule="auto"/>
        <w:rPr>
          <w:sz w:val="20"/>
          <w:szCs w:val="20"/>
          <w:color w:val="auto"/>
        </w:rPr>
      </w:pPr>
      <w:r>
        <w:rPr>
          <w:rFonts w:ascii="Arial" w:cs="Arial" w:eastAsia="Arial" w:hAnsi="Arial"/>
          <w:sz w:val="12"/>
          <w:szCs w:val="12"/>
          <w:color w:val="auto"/>
        </w:rPr>
        <w:t xml:space="preserve">We are a microbiome therapeutics platform company developing a novel class of biological drugs, which are designed to treat disease by restoring the function of a dysbiotic microbiome. Our lead product candidate, SER-109, is designed to prevent further recurrences of </w:t>
      </w:r>
      <w:r>
        <w:rPr>
          <w:rFonts w:ascii="Arial" w:cs="Arial" w:eastAsia="Arial" w:hAnsi="Arial"/>
          <w:sz w:val="12"/>
          <w:szCs w:val="12"/>
          <w:i w:val="1"/>
          <w:iCs w:val="1"/>
          <w:color w:val="auto"/>
        </w:rPr>
        <w:t>Clostridium difficile</w:t>
      </w:r>
      <w:r>
        <w:rPr>
          <w:rFonts w:ascii="Arial" w:cs="Arial" w:eastAsia="Arial" w:hAnsi="Arial"/>
          <w:sz w:val="12"/>
          <w:szCs w:val="12"/>
          <w:color w:val="auto"/>
        </w:rPr>
        <w:t xml:space="preserve"> infection, or CDI, a debilitating infection of the colon, by treating the dysbiosis of the colonic microbiome and, if approved by the U.S. Food and Drug Administration, or FDA, could be a first-in-field drug. Using our microbiome therapeutics platform, we are developing additional product candidates, including SER-262 to prevent an initial recurrence of primary CDI, SER-287 to treat inflammatory bowel disease, or IBD, including ulcerative colitis and SER-155 to treat enteric bacterial pathogens. We are also conducting research on metabolic diseases, such as early-stage, non-insulin dependent diabetes; non-alcoholic steatohepatitis; obesity and metabolic syndrome; other inflammatory diseases, such as Crohn’s disease; cancer chemotherapy and immune suppression; rare genetic diseases; and immune-oncology related applications.</w:t>
      </w:r>
    </w:p>
    <w:p>
      <w:pPr>
        <w:spacing w:after="0" w:line="118" w:lineRule="exact"/>
        <w:rPr>
          <w:sz w:val="20"/>
          <w:szCs w:val="20"/>
          <w:color w:val="auto"/>
        </w:rPr>
      </w:pPr>
    </w:p>
    <w:p>
      <w:pPr>
        <w:ind w:right="40" w:firstLine="520"/>
        <w:spacing w:after="0" w:line="332" w:lineRule="auto"/>
        <w:rPr>
          <w:sz w:val="20"/>
          <w:szCs w:val="20"/>
          <w:color w:val="auto"/>
        </w:rPr>
      </w:pPr>
      <w:r>
        <w:rPr>
          <w:rFonts w:ascii="Arial" w:cs="Arial" w:eastAsia="Arial" w:hAnsi="Arial"/>
          <w:sz w:val="12"/>
          <w:szCs w:val="12"/>
          <w:color w:val="auto"/>
        </w:rPr>
        <w:t>Since our inception in October 2010, we have devoted substantially all of our resources to developing SER-109, researching SER-262 and SER-287, building our intellectual property portfolio, developing our supply chain, business planning, raising capital and providing general and administrative support for these operations. From our inception through June 30, 2015, we had financed our operations through private placements of our convertible preferred stock, the issuance of convertible promissory notes and borrowings under a loan and security agreement with Comerica Bank, or the loan and security agreement. Through June 30, 2015, we had received gross proceeds of $137.0 million from such transactions.</w:t>
      </w:r>
    </w:p>
    <w:p>
      <w:pPr>
        <w:spacing w:after="0" w:line="112" w:lineRule="exact"/>
        <w:rPr>
          <w:sz w:val="20"/>
          <w:szCs w:val="20"/>
          <w:color w:val="auto"/>
        </w:rPr>
      </w:pPr>
    </w:p>
    <w:p>
      <w:pPr>
        <w:ind w:right="120" w:firstLine="520"/>
        <w:spacing w:after="0" w:line="248" w:lineRule="auto"/>
        <w:rPr>
          <w:sz w:val="20"/>
          <w:szCs w:val="20"/>
          <w:color w:val="auto"/>
        </w:rPr>
      </w:pPr>
      <w:r>
        <w:rPr>
          <w:rFonts w:ascii="Arial" w:cs="Arial" w:eastAsia="Arial" w:hAnsi="Arial"/>
          <w:sz w:val="15"/>
          <w:szCs w:val="15"/>
          <w:color w:val="auto"/>
        </w:rPr>
        <w:t>On July 1, 2015, we completed an initial public offering, or IPO, of our common stock, and issued and sold 8.5 million shares of common stock at a public offering price of $18.00 per share, resulting in net proceeds of approximately $139.3 million after deducting underwriting discounts and commissions and offering expenses. Upon the listing of our common stock on The NASDAQ Global Select Market, or NASDAQ, on June 26, 2015, all outstanding shares of our convertible preferred stock automatically converted into 22.9 million shares of our common stock. The shares issued upon closing of the IPO included 1.1 million shares of our common stock, pursuant to the underwriters’ full exercise of their option to purchase additional shares of common stock.</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December 31, 2015 we had repaid all amounts of the total $3.0 million borrowed under the loan and security agreement.</w:t>
      </w:r>
    </w:p>
    <w:p>
      <w:pPr>
        <w:spacing w:after="0" w:line="178" w:lineRule="exact"/>
        <w:rPr>
          <w:sz w:val="20"/>
          <w:szCs w:val="20"/>
          <w:color w:val="auto"/>
        </w:rPr>
      </w:pPr>
    </w:p>
    <w:p>
      <w:pPr>
        <w:ind w:right="60" w:firstLine="520"/>
        <w:spacing w:after="0" w:line="273" w:lineRule="auto"/>
        <w:rPr>
          <w:sz w:val="20"/>
          <w:szCs w:val="20"/>
          <w:color w:val="auto"/>
        </w:rPr>
      </w:pPr>
      <w:r>
        <w:rPr>
          <w:rFonts w:ascii="Arial" w:cs="Arial" w:eastAsia="Arial" w:hAnsi="Arial"/>
          <w:sz w:val="14"/>
          <w:szCs w:val="14"/>
          <w:color w:val="auto"/>
        </w:rPr>
        <w:t>We are a development stage company and have not generated any revenue. All of our product candidates other than SER-109 and SER-287 are still in pre-clinical development. Our ability to generate product revenue sufficient to achieve profitability will depend heavily on the successful development and eventual commercialization of one or more of our product candidates. Since our inception, we have incurred significant operating losses. Our net loss was $6.1 million for the year ended December 31, 2013, $16.7 million for the year ended December 31, 2014 and $54.8 million for the year ended December 31, 2015. As of December 31, 2015, we had an accumulated deficit of $82.6 million.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expect that our expenses will increase substantially in connection with our ongoing activities, particularly as we:</w:t>
      </w:r>
    </w:p>
    <w:p>
      <w:pPr>
        <w:spacing w:after="0" w:line="90" w:lineRule="exact"/>
        <w:rPr>
          <w:sz w:val="20"/>
          <w:szCs w:val="20"/>
          <w:color w:val="auto"/>
        </w:rPr>
      </w:pPr>
    </w:p>
    <w:p>
      <w:pPr>
        <w:ind w:left="1040" w:right="340" w:hanging="518"/>
        <w:spacing w:after="0" w:line="262" w:lineRule="auto"/>
        <w:tabs>
          <w:tab w:leader="none" w:pos="10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advance the clinical development of SER-109 for the prevention of further recurrences of CDI in patients suffering from recurrent CDI, through a Phase 2 clinical study and beyond;</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initiate clinical development of SER-262 to be used following antibiotic treatment of primary CDI to prevent an initial recurrence of CDI;</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continue the Phase 1b clinical study of SER-287 for the treatment of ulcerative colitis;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conduct research and continue pre-clinical development of additional Ecobiotic microbiome therapeutics, including SER-155 for the treatment of enteric bacterial pathogens;</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make strategic investments in manufacturing capabilities, including potentially planning and building a small-scale commercial manufacturing facility;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475" w:right="259" w:bottom="1440" w:gutter="0" w:footer="0" w:header="0"/>
        </w:sectPr>
      </w:pPr>
    </w:p>
    <w:bookmarkStart w:id="72" w:name="page73"/>
    <w:bookmarkEnd w:id="72"/>
    <w:p>
      <w:pPr>
        <w:ind w:left="1040" w:hanging="518"/>
        <w:spacing w:after="0"/>
        <w:tabs>
          <w:tab w:leader="none" w:pos="10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maintain our current intellectual property portfolio and opportunistically acquire complementary intellectual property;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seek to obtain regulatory approvals for our product candidates.</w:t>
      </w:r>
    </w:p>
    <w:p>
      <w:pPr>
        <w:spacing w:after="0" w:line="178" w:lineRule="exact"/>
        <w:rPr>
          <w:sz w:val="20"/>
          <w:szCs w:val="20"/>
          <w:color w:val="auto"/>
        </w:rPr>
      </w:pPr>
    </w:p>
    <w:p>
      <w:pPr>
        <w:ind w:right="220" w:firstLine="520"/>
        <w:spacing w:after="0" w:line="262" w:lineRule="auto"/>
        <w:rPr>
          <w:sz w:val="20"/>
          <w:szCs w:val="20"/>
          <w:color w:val="auto"/>
        </w:rPr>
      </w:pPr>
      <w:r>
        <w:rPr>
          <w:rFonts w:ascii="Arial" w:cs="Arial" w:eastAsia="Arial" w:hAnsi="Arial"/>
          <w:sz w:val="15"/>
          <w:szCs w:val="15"/>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148" w:lineRule="exact"/>
        <w:rPr>
          <w:sz w:val="20"/>
          <w:szCs w:val="20"/>
          <w:color w:val="auto"/>
        </w:rPr>
      </w:pPr>
    </w:p>
    <w:p>
      <w:pPr>
        <w:ind w:right="20" w:firstLine="520"/>
        <w:spacing w:after="0" w:line="247" w:lineRule="auto"/>
        <w:rPr>
          <w:sz w:val="20"/>
          <w:szCs w:val="20"/>
          <w:color w:val="auto"/>
        </w:rPr>
      </w:pPr>
      <w:r>
        <w:rPr>
          <w:rFonts w:ascii="Arial" w:cs="Arial" w:eastAsia="Arial" w:hAnsi="Arial"/>
          <w:sz w:val="15"/>
          <w:szCs w:val="15"/>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 w:lineRule="exact"/>
        <w:rPr>
          <w:sz w:val="20"/>
          <w:szCs w:val="20"/>
          <w:color w:val="auto"/>
        </w:rPr>
      </w:pPr>
    </w:p>
    <w:p>
      <w:pPr>
        <w:ind w:right="40" w:firstLine="520"/>
        <w:spacing w:after="0" w:line="244" w:lineRule="auto"/>
        <w:rPr>
          <w:sz w:val="20"/>
          <w:szCs w:val="20"/>
          <w:color w:val="auto"/>
        </w:rPr>
      </w:pPr>
      <w:r>
        <w:rPr>
          <w:rFonts w:ascii="Arial" w:cs="Arial" w:eastAsia="Arial" w:hAnsi="Arial"/>
          <w:sz w:val="15"/>
          <w:szCs w:val="15"/>
          <w:color w:val="auto"/>
        </w:rPr>
        <w:t>In January 2016 we entered into a Collaboration and License Agreement, or the License Agreement, with Nestec Ltd., or NHS, for the development and commercialization of certain of our product candidates in development for the treatment and management of CDI and IBD, including ulcerative colitis and Crohn’s disease. The License Agreement will support the development of our portfolio of products for CDI and IBD in markets outside of the United States and Canada, or the Licensed Territory, and is expected to provide substantial financial support for our ongoing research and development. We have retained full commercial rights to our entire portfolio of product candidates with respect to the United States and Canada, where we plan to build our own commercial organization.</w:t>
      </w:r>
    </w:p>
    <w:p>
      <w:pPr>
        <w:spacing w:after="0" w:line="162" w:lineRule="exact"/>
        <w:rPr>
          <w:sz w:val="20"/>
          <w:szCs w:val="20"/>
          <w:color w:val="auto"/>
        </w:rPr>
      </w:pPr>
    </w:p>
    <w:p>
      <w:pPr>
        <w:ind w:right="120" w:firstLine="520"/>
        <w:spacing w:after="0" w:line="249" w:lineRule="auto"/>
        <w:rPr>
          <w:sz w:val="20"/>
          <w:szCs w:val="20"/>
          <w:color w:val="auto"/>
        </w:rPr>
      </w:pPr>
      <w:r>
        <w:rPr>
          <w:rFonts w:ascii="Arial" w:cs="Arial" w:eastAsia="Arial" w:hAnsi="Arial"/>
          <w:sz w:val="15"/>
          <w:szCs w:val="15"/>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We also granted to Nestlé a non-exclusive license to export, develop and make NHS Collaboration Products in the licensed fields worldwide solely for commercialization in the licensed fields and in the Licensed Territory.</w:t>
      </w:r>
    </w:p>
    <w:p>
      <w:pPr>
        <w:spacing w:after="0" w:line="159" w:lineRule="exact"/>
        <w:rPr>
          <w:sz w:val="20"/>
          <w:szCs w:val="20"/>
          <w:color w:val="auto"/>
        </w:rPr>
      </w:pPr>
    </w:p>
    <w:p>
      <w:pPr>
        <w:ind w:firstLine="520"/>
        <w:spacing w:after="0" w:line="246" w:lineRule="auto"/>
        <w:rPr>
          <w:sz w:val="20"/>
          <w:szCs w:val="20"/>
          <w:color w:val="auto"/>
        </w:rPr>
      </w:pPr>
      <w:r>
        <w:rPr>
          <w:rFonts w:ascii="Arial" w:cs="Arial" w:eastAsia="Arial" w:hAnsi="Arial"/>
          <w:sz w:val="15"/>
          <w:szCs w:val="15"/>
          <w:color w:val="auto"/>
        </w:rPr>
        <w:t>In exchange for the license, NHS is obligated to pay the Company an upfront cash payment of $120 million, which the Company received in February 2016. NHS has also agreed to pay the Company tiered royalties, at percentages ranging from the high single digits to high teens, of net sales of NHS Collaboration Products in the Licensed Territory. Additionally, NHS has agreed to pay the Company up to $660 million for the achievement of certain development and regulatory milestones and up to an aggregate of $1.125 billion for the achievement of certain commercial milestones related to the sales of NHS Collaboration Products. We expect to receive a total of $30 million in milestone payments in 2016 associated with the planned initiation of a Phase 1b study for SER-262 in CDI and the anticipated initiation of the Phase 3 clinical trial for SER-109 in CDI. The full potential value of the up-front payment and milestone payments payable by NHS is over $1.9 billion, assuming all products receive regulatory approval and are successfully commercialized. NHS is also obligated to pay some of the costs related to our clinical trials. See “—Liquidity and Capital Resources.”</w:t>
      </w:r>
    </w:p>
    <w:p>
      <w:pPr>
        <w:spacing w:after="0" w:line="163" w:lineRule="exact"/>
        <w:rPr>
          <w:sz w:val="20"/>
          <w:szCs w:val="20"/>
          <w:color w:val="auto"/>
        </w:rPr>
      </w:pPr>
    </w:p>
    <w:p>
      <w:pPr>
        <w:ind w:right="160" w:firstLine="520"/>
        <w:spacing w:after="0" w:line="262" w:lineRule="auto"/>
        <w:rPr>
          <w:sz w:val="20"/>
          <w:szCs w:val="20"/>
          <w:color w:val="auto"/>
        </w:rPr>
      </w:pPr>
      <w:r>
        <w:rPr>
          <w:rFonts w:ascii="Arial" w:cs="Arial" w:eastAsia="Arial" w:hAnsi="Arial"/>
          <w:sz w:val="15"/>
          <w:szCs w:val="15"/>
          <w:color w:val="auto"/>
        </w:rPr>
        <w:t>We expect that our existing cash, cash equivalents and investments, will enable us to fund our operating expenses and capital expenditure requirements well into 2018. See “—Liquidity and Capital Resources.”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Financial Operations Overview</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have not generated any revenue since our inception and do not expect to generate any revenue from the sale of products in the near future.</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operating expenses since inception have consisted primarily of research and development activities and general and administrative costs.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566" w:right="239" w:bottom="1440" w:gutter="0" w:footer="0" w:header="0"/>
        </w:sectPr>
      </w:pPr>
    </w:p>
    <w:bookmarkStart w:id="73" w:name="page74"/>
    <w:bookmarkEnd w:id="73"/>
    <w:p>
      <w:pPr>
        <w:spacing w:after="0"/>
        <w:rPr>
          <w:sz w:val="20"/>
          <w:szCs w:val="20"/>
          <w:color w:val="auto"/>
        </w:rPr>
      </w:pPr>
      <w:r>
        <w:rPr>
          <w:rFonts w:ascii="Arial" w:cs="Arial" w:eastAsia="Arial" w:hAnsi="Arial"/>
          <w:sz w:val="15"/>
          <w:szCs w:val="15"/>
          <w:i w:val="1"/>
          <w:iCs w:val="1"/>
          <w:color w:val="auto"/>
        </w:rPr>
        <w:t>Research and Development Expenses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Research and development expenses consist primarily of costs incurred for our research activities, including our discovery efforts, and the development of our product candidates, which</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include:</w:t>
      </w:r>
    </w:p>
    <w:p>
      <w:pPr>
        <w:spacing w:after="0" w:line="79" w:lineRule="exact"/>
        <w:rPr>
          <w:sz w:val="20"/>
          <w:szCs w:val="20"/>
          <w:color w:val="auto"/>
        </w:rPr>
      </w:pPr>
    </w:p>
    <w:p>
      <w:pPr>
        <w:ind w:left="1040" w:right="140" w:hanging="518"/>
        <w:spacing w:after="0" w:line="298" w:lineRule="auto"/>
        <w:tabs>
          <w:tab w:leader="none" w:pos="10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expenses incurred under agreements with third parties, including contract research organizations, or CROs, that conduct research, pre-clinical activities and clinical trials on our behalf as well as contract manufacturing organizations, or CMOs, that manufacture drug products for use in our pre-clinical and clinical trials;</w:t>
      </w:r>
    </w:p>
    <w:p>
      <w:pPr>
        <w:spacing w:after="0" w:line="37" w:lineRule="exact"/>
        <w:rPr>
          <w:rFonts w:ascii="Arial" w:cs="Arial" w:eastAsia="Arial" w:hAnsi="Arial"/>
          <w:sz w:val="14"/>
          <w:szCs w:val="14"/>
          <w:color w:val="auto"/>
        </w:rPr>
      </w:pPr>
    </w:p>
    <w:p>
      <w:pPr>
        <w:ind w:left="1040" w:hanging="518"/>
        <w:spacing w:after="0"/>
        <w:tabs>
          <w:tab w:leader="none" w:pos="10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salaries, benefits and other related costs, including stock-based compensation expense, for personnel in our research and development functions;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costs of outside consultants, including their fees, stock-based compensation and related travel expenses;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cost of laboratory supplies and acquiring, developing and manufacturing pre-clinical study and clinical trial materials;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costs related to compliance with regulatory requirements;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facility-related expenses, which include direct depreciation costs and allocated expenses for rent and maintenance of facilities and other operating costs.</w:t>
      </w:r>
    </w:p>
    <w:p>
      <w:pPr>
        <w:spacing w:after="0" w:line="178" w:lineRule="exact"/>
        <w:rPr>
          <w:sz w:val="20"/>
          <w:szCs w:val="20"/>
          <w:color w:val="auto"/>
        </w:rPr>
      </w:pPr>
    </w:p>
    <w:p>
      <w:pPr>
        <w:ind w:firstLine="520"/>
        <w:spacing w:after="0" w:line="252" w:lineRule="auto"/>
        <w:rPr>
          <w:sz w:val="20"/>
          <w:szCs w:val="20"/>
          <w:color w:val="auto"/>
        </w:rPr>
      </w:pPr>
      <w:r>
        <w:rPr>
          <w:rFonts w:ascii="Arial" w:cs="Arial" w:eastAsia="Arial" w:hAnsi="Arial"/>
          <w:sz w:val="15"/>
          <w:szCs w:val="15"/>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spacing w:after="0" w:line="157" w:lineRule="exact"/>
        <w:rPr>
          <w:sz w:val="20"/>
          <w:szCs w:val="20"/>
          <w:color w:val="auto"/>
        </w:rPr>
      </w:pPr>
    </w:p>
    <w:p>
      <w:pPr>
        <w:ind w:right="100" w:firstLine="520"/>
        <w:spacing w:after="0" w:line="248" w:lineRule="auto"/>
        <w:rPr>
          <w:sz w:val="20"/>
          <w:szCs w:val="20"/>
          <w:color w:val="auto"/>
        </w:rPr>
      </w:pPr>
      <w:r>
        <w:rPr>
          <w:rFonts w:ascii="Arial" w:cs="Arial" w:eastAsia="Arial" w:hAnsi="Arial"/>
          <w:sz w:val="15"/>
          <w:szCs w:val="15"/>
          <w:color w:val="auto"/>
        </w:rPr>
        <w:t>Our primary focus of research and development since inception has been on our microbiome therapeutics platform and the subsequent development of SER-109, SER-287 and SER-262. Our direct research and development expenses are tracked on a program-by-program basis and consist primarily of external costs, such as fees paid to investigators, consultants and CROs in connection with our pre- clinical studies and clinical trials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table below summarizes our research and development expenses incurred on our platform and by product development program.</w:t>
      </w:r>
    </w:p>
    <w:p>
      <w:pPr>
        <w:spacing w:after="0" w:line="23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Year Ended December 31,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4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71"/>
              <w:spacing w:after="0" w:line="122" w:lineRule="exact"/>
              <w:rPr>
                <w:sz w:val="20"/>
                <w:szCs w:val="20"/>
                <w:color w:val="auto"/>
              </w:rPr>
            </w:pPr>
            <w:r>
              <w:rPr>
                <w:rFonts w:ascii="Arial" w:cs="Arial" w:eastAsia="Arial" w:hAnsi="Arial"/>
                <w:sz w:val="12"/>
                <w:szCs w:val="12"/>
                <w:b w:val="1"/>
                <w:bCs w:val="1"/>
                <w:color w:val="auto"/>
                <w:w w:val="82"/>
              </w:rPr>
              <w:t>2014</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0"/>
                <w:szCs w:val="10"/>
                <w:color w:val="auto"/>
              </w:rPr>
            </w:pPr>
          </w:p>
        </w:tc>
      </w:tr>
      <w:tr>
        <w:trPr>
          <w:trHeight w:val="122"/>
        </w:trPr>
        <w:tc>
          <w:tcPr>
            <w:tcW w:w="4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84"/>
              </w:rPr>
              <w:t>(in thousands)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4020" w:type="dxa"/>
            <w:vAlign w:val="bottom"/>
            <w:shd w:val="clear" w:color="auto" w:fill="CFF0FC"/>
          </w:tcPr>
          <w:p>
            <w:pPr>
              <w:spacing w:after="0"/>
              <w:rPr>
                <w:sz w:val="20"/>
                <w:szCs w:val="20"/>
                <w:color w:val="auto"/>
              </w:rPr>
            </w:pPr>
            <w:r>
              <w:rPr>
                <w:rFonts w:ascii="Arial" w:cs="Arial" w:eastAsia="Arial" w:hAnsi="Arial"/>
                <w:sz w:val="15"/>
                <w:szCs w:val="15"/>
                <w:color w:val="auto"/>
              </w:rPr>
              <w:t>Microbiome therapeutics platform</w:t>
            </w:r>
          </w:p>
        </w:tc>
        <w:tc>
          <w:tcPr>
            <w:tcW w:w="2040" w:type="dxa"/>
            <w:vAlign w:val="bottom"/>
            <w:gridSpan w:val="2"/>
            <w:shd w:val="clear" w:color="auto" w:fill="CFF0FC"/>
          </w:tcPr>
          <w:p>
            <w:pPr>
              <w:jc w:val="right"/>
              <w:ind w:right="522"/>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20,603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7,584</w:t>
            </w:r>
          </w:p>
        </w:tc>
        <w:tc>
          <w:tcPr>
            <w:tcW w:w="16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3,424</w:t>
            </w:r>
          </w:p>
        </w:tc>
        <w:tc>
          <w:tcPr>
            <w:tcW w:w="100" w:type="dxa"/>
            <w:vAlign w:val="bottom"/>
            <w:shd w:val="clear" w:color="auto" w:fill="CFF0FC"/>
          </w:tcPr>
          <w:p>
            <w:pPr>
              <w:spacing w:after="0"/>
              <w:rPr>
                <w:sz w:val="16"/>
                <w:szCs w:val="16"/>
                <w:color w:val="auto"/>
              </w:rPr>
            </w:pPr>
          </w:p>
        </w:tc>
      </w:tr>
      <w:tr>
        <w:trPr>
          <w:trHeight w:val="186"/>
        </w:trPr>
        <w:tc>
          <w:tcPr>
            <w:tcW w:w="4020" w:type="dxa"/>
            <w:vAlign w:val="bottom"/>
          </w:tcPr>
          <w:p>
            <w:pPr>
              <w:spacing w:after="0"/>
              <w:rPr>
                <w:sz w:val="20"/>
                <w:szCs w:val="20"/>
                <w:color w:val="auto"/>
              </w:rPr>
            </w:pPr>
            <w:r>
              <w:rPr>
                <w:rFonts w:ascii="Arial" w:cs="Arial" w:eastAsia="Arial" w:hAnsi="Arial"/>
                <w:sz w:val="15"/>
                <w:szCs w:val="15"/>
                <w:color w:val="auto"/>
              </w:rPr>
              <w:t>SER-109</w:t>
            </w: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13,828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3,122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729</w:t>
            </w:r>
          </w:p>
        </w:tc>
        <w:tc>
          <w:tcPr>
            <w:tcW w:w="100" w:type="dxa"/>
            <w:vAlign w:val="bottom"/>
          </w:tcPr>
          <w:p>
            <w:pPr>
              <w:spacing w:after="0"/>
              <w:rPr>
                <w:sz w:val="16"/>
                <w:szCs w:val="16"/>
                <w:color w:val="auto"/>
              </w:rPr>
            </w:pPr>
          </w:p>
        </w:tc>
      </w:tr>
      <w:tr>
        <w:trPr>
          <w:trHeight w:val="186"/>
        </w:trPr>
        <w:tc>
          <w:tcPr>
            <w:tcW w:w="4020" w:type="dxa"/>
            <w:vAlign w:val="bottom"/>
            <w:shd w:val="clear" w:color="auto" w:fill="CFF0FC"/>
          </w:tcPr>
          <w:p>
            <w:pPr>
              <w:spacing w:after="0"/>
              <w:rPr>
                <w:sz w:val="20"/>
                <w:szCs w:val="20"/>
                <w:color w:val="auto"/>
              </w:rPr>
            </w:pPr>
            <w:r>
              <w:rPr>
                <w:rFonts w:ascii="Arial" w:cs="Arial" w:eastAsia="Arial" w:hAnsi="Arial"/>
                <w:sz w:val="15"/>
                <w:szCs w:val="15"/>
                <w:color w:val="auto"/>
              </w:rPr>
              <w:t>SER-262</w:t>
            </w:r>
          </w:p>
        </w:tc>
        <w:tc>
          <w:tcPr>
            <w:tcW w:w="1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652</w:t>
            </w:r>
          </w:p>
        </w:tc>
        <w:tc>
          <w:tcPr>
            <w:tcW w:w="100" w:type="dxa"/>
            <w:vAlign w:val="bottom"/>
            <w:shd w:val="clear" w:color="auto" w:fill="CFF0FC"/>
          </w:tcPr>
          <w:p>
            <w:pPr>
              <w:spacing w:after="0"/>
              <w:rPr>
                <w:sz w:val="16"/>
                <w:szCs w:val="16"/>
                <w:color w:val="auto"/>
              </w:rPr>
            </w:pPr>
          </w:p>
        </w:tc>
      </w:tr>
      <w:tr>
        <w:trPr>
          <w:trHeight w:val="186"/>
        </w:trPr>
        <w:tc>
          <w:tcPr>
            <w:tcW w:w="40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SER-287</w:t>
            </w:r>
          </w:p>
        </w:tc>
        <w:tc>
          <w:tcPr>
            <w:tcW w:w="140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w:t>
            </w:r>
          </w:p>
        </w:tc>
        <w:tc>
          <w:tcPr>
            <w:tcW w:w="2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6"/>
                <w:szCs w:val="16"/>
                <w:color w:val="auto"/>
              </w:rPr>
            </w:pPr>
          </w:p>
        </w:tc>
      </w:tr>
      <w:tr>
        <w:trPr>
          <w:trHeight w:val="177"/>
        </w:trPr>
        <w:tc>
          <w:tcPr>
            <w:tcW w:w="40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 research and development expenses</w:t>
            </w:r>
          </w:p>
        </w:tc>
        <w:tc>
          <w:tcPr>
            <w:tcW w:w="2040" w:type="dxa"/>
            <w:vAlign w:val="bottom"/>
            <w:gridSpan w:val="2"/>
            <w:shd w:val="clear" w:color="auto" w:fill="CFF0FC"/>
          </w:tcPr>
          <w:p>
            <w:pPr>
              <w:jc w:val="right"/>
              <w:ind w:right="522"/>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38,095</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10,718</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4,805</w:t>
            </w:r>
          </w:p>
        </w:tc>
        <w:tc>
          <w:tcPr>
            <w:tcW w:w="100" w:type="dxa"/>
            <w:vAlign w:val="bottom"/>
            <w:shd w:val="clear" w:color="auto" w:fill="CFF0FC"/>
          </w:tcPr>
          <w:p>
            <w:pPr>
              <w:spacing w:after="0"/>
              <w:rPr>
                <w:sz w:val="15"/>
                <w:szCs w:val="15"/>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4" w:lineRule="exact"/>
        <w:rPr>
          <w:sz w:val="20"/>
          <w:szCs w:val="20"/>
          <w:color w:val="auto"/>
        </w:rPr>
      </w:pPr>
    </w:p>
    <w:p>
      <w:pPr>
        <w:ind w:right="60" w:firstLine="520"/>
        <w:spacing w:after="0" w:line="273" w:lineRule="auto"/>
        <w:rPr>
          <w:sz w:val="20"/>
          <w:szCs w:val="20"/>
          <w:color w:val="auto"/>
        </w:rPr>
      </w:pPr>
      <w:r>
        <w:rPr>
          <w:rFonts w:ascii="Arial" w:cs="Arial" w:eastAsia="Arial" w:hAnsi="Arial"/>
          <w:sz w:val="14"/>
          <w:szCs w:val="14"/>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the clinical development of SER-287 and initiate clinical trials for certain product candidates, including SER-262, continue to discover and develop additional product candidates, including SER-155, and pursue later stages of clinical development of our product candidates.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 Expenses</w:t>
      </w:r>
    </w:p>
    <w:p>
      <w:pPr>
        <w:spacing w:after="0" w:line="90" w:lineRule="exact"/>
        <w:rPr>
          <w:sz w:val="20"/>
          <w:szCs w:val="20"/>
          <w:color w:val="auto"/>
        </w:rPr>
      </w:pPr>
    </w:p>
    <w:p>
      <w:pPr>
        <w:ind w:right="20" w:firstLine="520"/>
        <w:spacing w:after="0" w:line="249" w:lineRule="auto"/>
        <w:rPr>
          <w:sz w:val="20"/>
          <w:szCs w:val="20"/>
          <w:color w:val="auto"/>
        </w:rPr>
      </w:pPr>
      <w:r>
        <w:rPr>
          <w:rFonts w:ascii="Arial" w:cs="Arial" w:eastAsia="Arial" w:hAnsi="Arial"/>
          <w:sz w:val="15"/>
          <w:szCs w:val="15"/>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741" w:right="239" w:bottom="1440" w:gutter="0" w:footer="0" w:header="0"/>
        </w:sectPr>
      </w:pPr>
    </w:p>
    <w:bookmarkStart w:id="74" w:name="page75"/>
    <w:bookmarkEnd w:id="74"/>
    <w:p>
      <w:pPr>
        <w:ind w:right="120" w:firstLine="520"/>
        <w:spacing w:after="0" w:line="249" w:lineRule="auto"/>
        <w:rPr>
          <w:sz w:val="20"/>
          <w:szCs w:val="20"/>
          <w:color w:val="auto"/>
        </w:rPr>
      </w:pPr>
      <w:r>
        <w:rPr>
          <w:rFonts w:ascii="Arial" w:cs="Arial" w:eastAsia="Arial" w:hAnsi="Arial"/>
          <w:sz w:val="15"/>
          <w:szCs w:val="15"/>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 xml:space="preserve">Interest Income. </w:t>
      </w:r>
      <w:r>
        <w:rPr>
          <w:rFonts w:ascii="Arial" w:cs="Arial" w:eastAsia="Arial" w:hAnsi="Arial"/>
          <w:sz w:val="15"/>
          <w:szCs w:val="15"/>
          <w:color w:val="auto"/>
        </w:rPr>
        <w:t>Interest income consists of interest earned on our cash, cash equivalents and investments.</w:t>
      </w:r>
    </w:p>
    <w:p>
      <w:pPr>
        <w:spacing w:after="0" w:line="90" w:lineRule="exact"/>
        <w:rPr>
          <w:sz w:val="20"/>
          <w:szCs w:val="20"/>
          <w:color w:val="auto"/>
        </w:rPr>
      </w:pPr>
    </w:p>
    <w:p>
      <w:pPr>
        <w:jc w:val="both"/>
        <w:ind w:right="140" w:firstLine="520"/>
        <w:spacing w:after="0" w:line="279" w:lineRule="auto"/>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Interest expense consists of interest expense incurred on our debt. During the years ended December 31, 2015, 2014 and 2013, interest expense consisted of interest at</w:t>
      </w:r>
      <w:r>
        <w:rPr>
          <w:rFonts w:ascii="Arial" w:cs="Arial" w:eastAsia="Arial" w:hAnsi="Arial"/>
          <w:sz w:val="14"/>
          <w:szCs w:val="14"/>
          <w:i w:val="1"/>
          <w:iCs w:val="1"/>
          <w:color w:val="auto"/>
        </w:rPr>
        <w:t xml:space="preserve"> </w:t>
      </w:r>
      <w:r>
        <w:rPr>
          <w:rFonts w:ascii="Arial" w:cs="Arial" w:eastAsia="Arial" w:hAnsi="Arial"/>
          <w:sz w:val="14"/>
          <w:szCs w:val="14"/>
          <w:color w:val="auto"/>
        </w:rPr>
        <w:t>the stated rate on borrowings under our loan and security agreement, amortization of deferred financing costs and interest expense related to the accretion of debt discount associated with (1) the fair value of preferred stock warrant we issued in connection with the loan and security agreement and (2) a final payment due at maturity.</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Revaluation of Preferred Stock Warrant Liability. </w:t>
      </w:r>
      <w:r>
        <w:rPr>
          <w:rFonts w:ascii="Arial" w:cs="Arial" w:eastAsia="Arial" w:hAnsi="Arial"/>
          <w:sz w:val="14"/>
          <w:szCs w:val="14"/>
          <w:color w:val="auto"/>
        </w:rPr>
        <w:t>Revaluation of preferred stock warrant liability consists of the net gain or loss associated with the change in the fair value of our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warrant liability. In connection with the loan and security agreement, we issued a warrant for the purchase of our Series A-2 convertible preferred stock, which we believe is a</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financial instrument that may have required a transfer of assets because of the redemption feature of the underlying stock. Therefore, we classified this warrant as a liability that we re-measured to</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fair value at each reporting period, and we recorded the changes in the fair value as a component of other income (expense), net. Upon the listing of our common stock on the NASDAQ on</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June 26, 2015, the preferred stock warrant became a warrant to purchase common stock. The Company performed the final mark to market adjustment on the preferred stock warrant using the fair</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value of the underlying common shares of $18.00 per share on June 26, 2015 and recorded the change in fair value in other income (expense), net in the consolidated statement of operations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comprehensive loss. The preferred stock warrant liability was then reclassified to additional paid-in-capital as it became a warrant to purchase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90" w:lineRule="exact"/>
        <w:rPr>
          <w:sz w:val="20"/>
          <w:szCs w:val="20"/>
          <w:color w:val="auto"/>
        </w:rPr>
      </w:pPr>
    </w:p>
    <w:p>
      <w:pPr>
        <w:jc w:val="both"/>
        <w:ind w:right="140" w:firstLine="520"/>
        <w:spacing w:after="0" w:line="249" w:lineRule="auto"/>
        <w:rPr>
          <w:sz w:val="20"/>
          <w:szCs w:val="20"/>
          <w:color w:val="auto"/>
        </w:rPr>
      </w:pPr>
      <w:r>
        <w:rPr>
          <w:rFonts w:ascii="Arial" w:cs="Arial" w:eastAsia="Arial" w:hAnsi="Arial"/>
          <w:sz w:val="15"/>
          <w:szCs w:val="15"/>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2015, we had federal and state net operating loss carryforwards of $65.4 million and $64.3 million, respectively, both of which begin to expire in 2031. As of December 31, 2015, we also had federal and state research and development tax credit carryforwards of $3.0 million and $1.3 million, respectively, which begin to expire in 2031 and 2027, respectively.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82"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or GAAP,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Accrued Research and Development Expenses</w:t>
      </w:r>
    </w:p>
    <w:p>
      <w:pPr>
        <w:spacing w:after="0" w:line="90" w:lineRule="exact"/>
        <w:rPr>
          <w:sz w:val="20"/>
          <w:szCs w:val="20"/>
          <w:color w:val="auto"/>
        </w:rPr>
      </w:pPr>
    </w:p>
    <w:p>
      <w:pPr>
        <w:ind w:right="20" w:firstLine="520"/>
        <w:spacing w:after="0" w:line="325"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28" w:lineRule="exact"/>
        <w:rPr>
          <w:sz w:val="20"/>
          <w:szCs w:val="20"/>
          <w:color w:val="auto"/>
        </w:rPr>
      </w:pPr>
    </w:p>
    <w:p>
      <w:pPr>
        <w:ind w:left="1040" w:hanging="518"/>
        <w:spacing w:after="0"/>
        <w:tabs>
          <w:tab w:leader="none" w:pos="10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CROs in connection with performing research services on our behalf and clinical trials;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investigative sites or other providers in connection with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75" w:name="page76"/>
    <w:bookmarkEnd w:id="75"/>
    <w:p>
      <w:pPr>
        <w:ind w:left="1040" w:hanging="518"/>
        <w:spacing w:after="0"/>
        <w:tabs>
          <w:tab w:leader="none" w:pos="10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vendors in connection with pre-clinical and clinical development activities; and</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vendors related to product manufacturing, development and distribution of pre-clinical and clinical supplies.</w:t>
      </w:r>
    </w:p>
    <w:p>
      <w:pPr>
        <w:spacing w:after="0" w:line="178" w:lineRule="exact"/>
        <w:rPr>
          <w:sz w:val="20"/>
          <w:szCs w:val="20"/>
          <w:color w:val="auto"/>
        </w:rPr>
      </w:pPr>
    </w:p>
    <w:p>
      <w:pPr>
        <w:ind w:right="80" w:firstLine="520"/>
        <w:spacing w:after="0" w:line="316" w:lineRule="auto"/>
        <w:rPr>
          <w:sz w:val="20"/>
          <w:szCs w:val="20"/>
          <w:color w:val="auto"/>
        </w:rPr>
      </w:pPr>
      <w:r>
        <w:rPr>
          <w:rFonts w:ascii="Arial" w:cs="Arial" w:eastAsia="Arial" w:hAnsi="Arial"/>
          <w:sz w:val="12"/>
          <w:szCs w:val="12"/>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90" w:lineRule="exact"/>
        <w:rPr>
          <w:sz w:val="20"/>
          <w:szCs w:val="20"/>
          <w:color w:val="auto"/>
        </w:rPr>
      </w:pPr>
    </w:p>
    <w:p>
      <w:pPr>
        <w:ind w:right="260" w:firstLine="520"/>
        <w:spacing w:after="0" w:line="279" w:lineRule="auto"/>
        <w:rPr>
          <w:sz w:val="20"/>
          <w:szCs w:val="20"/>
          <w:color w:val="auto"/>
        </w:rPr>
      </w:pPr>
      <w:r>
        <w:rPr>
          <w:rFonts w:ascii="Arial" w:cs="Arial" w:eastAsia="Arial" w:hAnsi="Arial"/>
          <w:sz w:val="14"/>
          <w:szCs w:val="14"/>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 line method.</w:t>
      </w:r>
    </w:p>
    <w:p>
      <w:pPr>
        <w:spacing w:after="0" w:line="139" w:lineRule="exact"/>
        <w:rPr>
          <w:sz w:val="20"/>
          <w:szCs w:val="20"/>
          <w:color w:val="auto"/>
        </w:rPr>
      </w:pPr>
    </w:p>
    <w:p>
      <w:pPr>
        <w:ind w:firstLine="520"/>
        <w:spacing w:after="0" w:line="346" w:lineRule="auto"/>
        <w:rPr>
          <w:sz w:val="20"/>
          <w:szCs w:val="20"/>
          <w:color w:val="auto"/>
        </w:rPr>
      </w:pPr>
      <w:r>
        <w:rPr>
          <w:rFonts w:ascii="Arial" w:cs="Arial" w:eastAsia="Arial" w:hAnsi="Arial"/>
          <w:sz w:val="12"/>
          <w:szCs w:val="12"/>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 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03" w:lineRule="exact"/>
        <w:rPr>
          <w:sz w:val="20"/>
          <w:szCs w:val="20"/>
          <w:color w:val="auto"/>
        </w:rPr>
      </w:pPr>
    </w:p>
    <w:p>
      <w:pPr>
        <w:ind w:right="40" w:firstLine="520"/>
        <w:spacing w:after="0" w:line="266" w:lineRule="auto"/>
        <w:rPr>
          <w:sz w:val="20"/>
          <w:szCs w:val="20"/>
          <w:color w:val="auto"/>
        </w:rPr>
      </w:pPr>
      <w:r>
        <w:rPr>
          <w:rFonts w:ascii="Arial" w:cs="Arial" w:eastAsia="Arial" w:hAnsi="Arial"/>
          <w:sz w:val="14"/>
          <w:szCs w:val="14"/>
          <w:color w:val="auto"/>
        </w:rPr>
        <w:t xml:space="preserve">We estimate the fair value of each stock option grant using the Black-Scholes option-pricing model. Use of this model requires that we make assumptions as to the volatility of our common stock, the expected term of our stock options, the risk-free interest rate for a period that approximates the expected term of our stock options and our expected dividend yield. Because we lack company-specific historical and implied volatility information, we estimate our expected volatility based on the historical volatility of a group of publicly traded peer companies. We expect to continue to do so until such time as we have adequate historical data regarding the volatility of our traded stock price. We use the simplified method prescribed by Securities and Exchange Commission Staff Accounting Bulletin No. 107, </w:t>
      </w:r>
      <w:r>
        <w:rPr>
          <w:rFonts w:ascii="Arial" w:cs="Arial" w:eastAsia="Arial" w:hAnsi="Arial"/>
          <w:sz w:val="14"/>
          <w:szCs w:val="14"/>
          <w:i w:val="1"/>
          <w:iCs w:val="1"/>
          <w:color w:val="auto"/>
        </w:rPr>
        <w:t>Share-Based Payment</w:t>
      </w:r>
      <w:r>
        <w:rPr>
          <w:rFonts w:ascii="Arial" w:cs="Arial" w:eastAsia="Arial" w:hAnsi="Arial"/>
          <w:sz w:val="14"/>
          <w:szCs w:val="14"/>
          <w:color w:val="auto"/>
        </w:rPr>
        <w:t>, to calculate the expected term of options granted to employees and directors. We base the expected term of options granted to consultants and non-employees on the contractual term of the options. We determine the risk-free interest rate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assumptions we used to determine the fair value of stock options granted to employees and directors are as follows, presented on a weighted average basis:</w:t>
      </w:r>
    </w:p>
    <w:p>
      <w:pPr>
        <w:spacing w:after="0" w:line="236" w:lineRule="exact"/>
        <w:rPr>
          <w:sz w:val="20"/>
          <w:szCs w:val="20"/>
          <w:color w:val="auto"/>
        </w:rPr>
      </w:pPr>
    </w:p>
    <w:p>
      <w:pPr>
        <w:ind w:left="7660"/>
        <w:spacing w:after="0"/>
        <w:rPr>
          <w:sz w:val="20"/>
          <w:szCs w:val="20"/>
          <w:color w:val="auto"/>
        </w:rPr>
      </w:pPr>
      <w:r>
        <w:rPr>
          <w:rFonts w:ascii="Arial" w:cs="Arial" w:eastAsia="Arial" w:hAnsi="Arial"/>
          <w:sz w:val="12"/>
          <w:szCs w:val="12"/>
          <w:b w:val="1"/>
          <w:bCs w:val="1"/>
          <w:color w:val="auto"/>
        </w:rPr>
        <w:t>Year Ended December 31,</w:t>
      </w:r>
    </w:p>
    <w:tbl>
      <w:tblPr>
        <w:tblLayout w:type="fixed"/>
        <w:tblInd w:w="1160" w:type="dxa"/>
        <w:tblCellMar>
          <w:top w:w="0" w:type="dxa"/>
          <w:left w:w="0" w:type="dxa"/>
          <w:bottom w:w="0" w:type="dxa"/>
          <w:right w:w="0" w:type="dxa"/>
        </w:tblCellMar>
      </w:tblPr>
      <w:tr>
        <w:trPr>
          <w:trHeight w:val="122"/>
        </w:trPr>
        <w:tc>
          <w:tcPr>
            <w:tcW w:w="5300" w:type="dxa"/>
            <w:vAlign w:val="bottom"/>
            <w:tcBorders>
              <w:bottom w:val="single" w:sz="8" w:color="CFF0FC"/>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
              <w:spacing w:after="0" w:line="122" w:lineRule="exact"/>
              <w:rPr>
                <w:sz w:val="20"/>
                <w:szCs w:val="20"/>
                <w:color w:val="auto"/>
              </w:rPr>
            </w:pPr>
            <w:r>
              <w:rPr>
                <w:rFonts w:ascii="Arial" w:cs="Arial" w:eastAsia="Arial" w:hAnsi="Arial"/>
                <w:sz w:val="12"/>
                <w:szCs w:val="12"/>
                <w:b w:val="1"/>
                <w:bCs w:val="1"/>
                <w:color w:val="auto"/>
              </w:rPr>
              <w:t>2015</w:t>
            </w:r>
          </w:p>
        </w:tc>
        <w:tc>
          <w:tcPr>
            <w:tcW w:w="36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top w:val="single" w:sz="8" w:color="auto"/>
              <w:bottom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2013</w:t>
            </w:r>
          </w:p>
        </w:tc>
        <w:tc>
          <w:tcPr>
            <w:tcW w:w="160" w:type="dxa"/>
            <w:vAlign w:val="bottom"/>
            <w:tcBorders>
              <w:bottom w:val="single" w:sz="8" w:color="CFF0FC"/>
            </w:tcBorders>
          </w:tcPr>
          <w:p>
            <w:pPr>
              <w:spacing w:after="0"/>
              <w:rPr>
                <w:sz w:val="10"/>
                <w:szCs w:val="10"/>
                <w:color w:val="auto"/>
              </w:rPr>
            </w:pPr>
          </w:p>
        </w:tc>
      </w:tr>
      <w:tr>
        <w:trPr>
          <w:trHeight w:val="177"/>
        </w:trPr>
        <w:tc>
          <w:tcPr>
            <w:tcW w:w="60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Risk-free interest rate</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1.80%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1.83%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1.27%</w:t>
            </w:r>
          </w:p>
        </w:tc>
      </w:tr>
      <w:tr>
        <w:trPr>
          <w:trHeight w:val="186"/>
        </w:trPr>
        <w:tc>
          <w:tcPr>
            <w:tcW w:w="6000" w:type="dxa"/>
            <w:vAlign w:val="bottom"/>
            <w:gridSpan w:val="2"/>
          </w:tcPr>
          <w:p>
            <w:pPr>
              <w:spacing w:after="0"/>
              <w:rPr>
                <w:sz w:val="20"/>
                <w:szCs w:val="20"/>
                <w:color w:val="auto"/>
              </w:rPr>
            </w:pPr>
            <w:r>
              <w:rPr>
                <w:rFonts w:ascii="Arial" w:cs="Arial" w:eastAsia="Arial" w:hAnsi="Arial"/>
                <w:sz w:val="15"/>
                <w:szCs w:val="15"/>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5"/>
                <w:szCs w:val="15"/>
                <w:color w:val="auto"/>
              </w:rPr>
              <w:t>6.0</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6"/>
                <w:szCs w:val="16"/>
                <w:color w:val="auto"/>
              </w:rPr>
            </w:pPr>
          </w:p>
        </w:tc>
      </w:tr>
      <w:tr>
        <w:trPr>
          <w:trHeight w:val="186"/>
        </w:trPr>
        <w:tc>
          <w:tcPr>
            <w:tcW w:w="60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Expected volatility</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81.4%</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83.5%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85.9%</w:t>
            </w:r>
          </w:p>
        </w:tc>
      </w:tr>
      <w:tr>
        <w:trPr>
          <w:trHeight w:val="186"/>
        </w:trPr>
        <w:tc>
          <w:tcPr>
            <w:tcW w:w="6000" w:type="dxa"/>
            <w:vAlign w:val="bottom"/>
            <w:gridSpan w:val="2"/>
          </w:tcPr>
          <w:p>
            <w:pPr>
              <w:spacing w:after="0"/>
              <w:rPr>
                <w:sz w:val="20"/>
                <w:szCs w:val="20"/>
                <w:color w:val="auto"/>
              </w:rPr>
            </w:pPr>
            <w:r>
              <w:rPr>
                <w:rFonts w:ascii="Arial" w:cs="Arial" w:eastAsia="Arial" w:hAnsi="Arial"/>
                <w:sz w:val="15"/>
                <w:szCs w:val="15"/>
                <w:color w:val="auto"/>
              </w:rPr>
              <w:t>Expected dividend yield</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0%</w:t>
            </w:r>
          </w:p>
        </w:tc>
      </w:tr>
    </w:tbl>
    <w:p>
      <w:pPr>
        <w:spacing w:after="0" w:line="16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These assumptions represented our best estimates, but the estimates involve inherent uncertainties and the application of our judgment.</w:t>
      </w:r>
    </w:p>
    <w:p>
      <w:pPr>
        <w:spacing w:after="0" w:line="178" w:lineRule="exact"/>
        <w:rPr>
          <w:sz w:val="20"/>
          <w:szCs w:val="20"/>
          <w:color w:val="auto"/>
        </w:rPr>
      </w:pPr>
    </w:p>
    <w:p>
      <w:pPr>
        <w:ind w:right="220" w:firstLine="520"/>
        <w:spacing w:after="0" w:line="262" w:lineRule="auto"/>
        <w:rPr>
          <w:sz w:val="20"/>
          <w:szCs w:val="20"/>
          <w:color w:val="auto"/>
        </w:rPr>
      </w:pPr>
      <w:r>
        <w:rPr>
          <w:rFonts w:ascii="Arial" w:cs="Arial" w:eastAsia="Arial" w:hAnsi="Arial"/>
          <w:sz w:val="15"/>
          <w:szCs w:val="15"/>
          <w:color w:val="auto"/>
        </w:rPr>
        <w:t>We recognize compensation expense for only the portion of awards that are expected to vest. In developing a forfeiture rate estimate for pre-vesting forfeitures, we have considered our historical experience of actual forfeitures.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76" w:name="page77"/>
    <w:bookmarkEnd w:id="76"/>
    <w:p>
      <w:pPr>
        <w:ind w:left="520"/>
        <w:spacing w:after="0"/>
        <w:rPr>
          <w:sz w:val="20"/>
          <w:szCs w:val="20"/>
          <w:color w:val="auto"/>
        </w:rPr>
      </w:pPr>
      <w:r>
        <w:rPr>
          <w:rFonts w:ascii="Arial" w:cs="Arial" w:eastAsia="Arial" w:hAnsi="Arial"/>
          <w:sz w:val="15"/>
          <w:szCs w:val="15"/>
          <w:color w:val="auto"/>
        </w:rPr>
        <w:t>The following table summarizes the classification of our stock-based compensation expenses recognized in our consolidated statements of operations:</w:t>
      </w:r>
    </w:p>
    <w:p>
      <w:pPr>
        <w:spacing w:after="0" w:line="23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Year Ended December 31,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35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73"/>
              <w:spacing w:after="0" w:line="122" w:lineRule="exact"/>
              <w:rPr>
                <w:sz w:val="20"/>
                <w:szCs w:val="20"/>
                <w:color w:val="auto"/>
              </w:rPr>
            </w:pPr>
            <w:r>
              <w:rPr>
                <w:rFonts w:ascii="Arial" w:cs="Arial" w:eastAsia="Arial" w:hAnsi="Arial"/>
                <w:sz w:val="12"/>
                <w:szCs w:val="12"/>
                <w:b w:val="1"/>
                <w:bCs w:val="1"/>
                <w:color w:val="auto"/>
                <w:w w:val="82"/>
              </w:rPr>
              <w:t>2014</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1"/>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0"/>
                <w:szCs w:val="10"/>
                <w:color w:val="auto"/>
              </w:rPr>
            </w:pPr>
          </w:p>
        </w:tc>
      </w:tr>
      <w:tr>
        <w:trPr>
          <w:trHeight w:val="122"/>
        </w:trPr>
        <w:tc>
          <w:tcPr>
            <w:tcW w:w="35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84"/>
              </w:rPr>
              <w:t>(in thousands)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3500" w:type="dxa"/>
            <w:vAlign w:val="bottom"/>
            <w:shd w:val="clear" w:color="auto" w:fill="CFF0FC"/>
          </w:tcPr>
          <w:p>
            <w:pPr>
              <w:spacing w:after="0"/>
              <w:rPr>
                <w:sz w:val="20"/>
                <w:szCs w:val="20"/>
                <w:color w:val="auto"/>
              </w:rPr>
            </w:pPr>
            <w:r>
              <w:rPr>
                <w:rFonts w:ascii="Arial" w:cs="Arial" w:eastAsia="Arial" w:hAnsi="Arial"/>
                <w:sz w:val="15"/>
                <w:szCs w:val="15"/>
                <w:color w:val="auto"/>
              </w:rPr>
              <w:t>Research and development</w:t>
            </w:r>
          </w:p>
        </w:tc>
        <w:tc>
          <w:tcPr>
            <w:tcW w:w="2600" w:type="dxa"/>
            <w:vAlign w:val="bottom"/>
            <w:gridSpan w:val="2"/>
            <w:shd w:val="clear" w:color="auto" w:fill="CFF0FC"/>
          </w:tcPr>
          <w:p>
            <w:pPr>
              <w:jc w:val="right"/>
              <w:ind w:right="562"/>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5,297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w:t>
            </w:r>
          </w:p>
        </w:tc>
        <w:tc>
          <w:tcPr>
            <w:tcW w:w="16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FF0FC"/>
          </w:tcPr>
          <w:p>
            <w:pPr>
              <w:spacing w:after="0"/>
              <w:rPr>
                <w:sz w:val="16"/>
                <w:szCs w:val="16"/>
                <w:color w:val="auto"/>
              </w:rPr>
            </w:pPr>
          </w:p>
        </w:tc>
      </w:tr>
      <w:tr>
        <w:trPr>
          <w:trHeight w:val="186"/>
        </w:trPr>
        <w:tc>
          <w:tcPr>
            <w:tcW w:w="35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General and administrative</w:t>
            </w:r>
          </w:p>
        </w:tc>
        <w:tc>
          <w:tcPr>
            <w:tcW w:w="192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4,397</w:t>
            </w:r>
          </w:p>
        </w:tc>
        <w:tc>
          <w:tcPr>
            <w:tcW w:w="2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FF0FC"/>
            </w:tcBorders>
          </w:tcPr>
          <w:p>
            <w:pPr>
              <w:spacing w:after="0"/>
              <w:rPr>
                <w:sz w:val="16"/>
                <w:szCs w:val="16"/>
                <w:color w:val="auto"/>
              </w:rPr>
            </w:pPr>
          </w:p>
        </w:tc>
      </w:tr>
      <w:tr>
        <w:trPr>
          <w:trHeight w:val="177"/>
        </w:trPr>
        <w:tc>
          <w:tcPr>
            <w:tcW w:w="3500" w:type="dxa"/>
            <w:vAlign w:val="bottom"/>
            <w:shd w:val="clear" w:color="auto" w:fill="CFF0FC"/>
          </w:tcPr>
          <w:p>
            <w:pPr>
              <w:spacing w:after="0"/>
              <w:rPr>
                <w:sz w:val="15"/>
                <w:szCs w:val="15"/>
                <w:color w:val="auto"/>
              </w:rPr>
            </w:pPr>
          </w:p>
        </w:tc>
        <w:tc>
          <w:tcPr>
            <w:tcW w:w="2600" w:type="dxa"/>
            <w:vAlign w:val="bottom"/>
            <w:gridSpan w:val="2"/>
            <w:shd w:val="clear" w:color="auto" w:fill="CFF0FC"/>
          </w:tcPr>
          <w:p>
            <w:pPr>
              <w:jc w:val="right"/>
              <w:ind w:right="562"/>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9,694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FF0FC"/>
          </w:tcPr>
          <w:p>
            <w:pPr>
              <w:spacing w:after="0"/>
              <w:rPr>
                <w:sz w:val="15"/>
                <w:szCs w:val="15"/>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stock options</w:t>
      </w:r>
    </w:p>
    <w:p>
      <w:pPr>
        <w:spacing w:after="0" w:line="90" w:lineRule="exact"/>
        <w:rPr>
          <w:sz w:val="20"/>
          <w:szCs w:val="20"/>
          <w:color w:val="auto"/>
        </w:rPr>
      </w:pPr>
    </w:p>
    <w:p>
      <w:pPr>
        <w:ind w:right="120" w:firstLine="520"/>
        <w:spacing w:after="0" w:line="268" w:lineRule="auto"/>
        <w:rPr>
          <w:sz w:val="20"/>
          <w:szCs w:val="20"/>
          <w:color w:val="auto"/>
        </w:rPr>
      </w:pPr>
      <w:r>
        <w:rPr>
          <w:rFonts w:ascii="Arial" w:cs="Arial" w:eastAsia="Arial" w:hAnsi="Arial"/>
          <w:sz w:val="14"/>
          <w:szCs w:val="14"/>
          <w:color w:val="auto"/>
        </w:rPr>
        <w:t xml:space="preserve">Prior to our IPO, the estimated fair value of our common stock was determined contemporaneously by our board of directors based on valuation estimates provided by management and prepared in accordance with the framework of the American Institute of Certified Public Accountants’ Technical Practice Aid, </w:t>
      </w:r>
      <w:r>
        <w:rPr>
          <w:rFonts w:ascii="Arial" w:cs="Arial" w:eastAsia="Arial" w:hAnsi="Arial"/>
          <w:sz w:val="14"/>
          <w:szCs w:val="14"/>
          <w:i w:val="1"/>
          <w:iCs w:val="1"/>
          <w:color w:val="auto"/>
        </w:rPr>
        <w:t>Valuation of Privately-Held-Company Equity Securities Issued as</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or AICPA Practice Aid, as well as independent third-party valuations. Our contemporaneous valuations of our common stock were based on a number of objective and subjective</w:t>
      </w:r>
      <w:r>
        <w:rPr>
          <w:rFonts w:ascii="Arial" w:cs="Arial" w:eastAsia="Arial" w:hAnsi="Arial"/>
          <w:sz w:val="14"/>
          <w:szCs w:val="14"/>
          <w:i w:val="1"/>
          <w:iCs w:val="1"/>
          <w:color w:val="auto"/>
        </w:rPr>
        <w:t xml:space="preserve"> </w:t>
      </w:r>
      <w:r>
        <w:rPr>
          <w:rFonts w:ascii="Arial" w:cs="Arial" w:eastAsia="Arial" w:hAnsi="Arial"/>
          <w:sz w:val="14"/>
          <w:szCs w:val="14"/>
          <w:color w:val="auto"/>
        </w:rPr>
        <w:t>factors, including external market conditions affecting the biotechnology industry sector and the prices at which we sold shares of preferred stock, the superior rights and preferences of securities senior to our common stock at the time of each grant and the likelihood of achieving a liquidity event such as an IPO. Consequently, after the IPO the fair value of the shares of common stock underlying the stock options is the closing price on the option grant date.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Warrant to Purchase Convertible Preferred Stock</w:t>
      </w:r>
    </w:p>
    <w:p>
      <w:pPr>
        <w:spacing w:after="0" w:line="90" w:lineRule="exact"/>
        <w:rPr>
          <w:sz w:val="20"/>
          <w:szCs w:val="20"/>
          <w:color w:val="auto"/>
        </w:rPr>
      </w:pPr>
    </w:p>
    <w:p>
      <w:pPr>
        <w:jc w:val="both"/>
        <w:ind w:right="60" w:firstLine="520"/>
        <w:spacing w:after="0" w:line="346" w:lineRule="auto"/>
        <w:rPr>
          <w:sz w:val="20"/>
          <w:szCs w:val="20"/>
          <w:color w:val="auto"/>
        </w:rPr>
      </w:pPr>
      <w:r>
        <w:rPr>
          <w:rFonts w:ascii="Arial" w:cs="Arial" w:eastAsia="Arial" w:hAnsi="Arial"/>
          <w:sz w:val="12"/>
          <w:szCs w:val="12"/>
          <w:color w:val="auto"/>
        </w:rPr>
        <w:t>We classified a warrant to purchase shares of our Series A-2 convertible preferred stock as a liability on our balance sheets as this warrant is a free-standing financial instrument that may require us to transfer assets upon exercise. The warrant was initially recorded at fair value on date of grant, and it was subsequently remeasured to fair value at each balance sheet date. Changes in fair value of this warrant were recognized as a component of other income (expense), net in our consolidated statement of operations and comprehensive loss.</w:t>
      </w:r>
    </w:p>
    <w:p>
      <w:pPr>
        <w:spacing w:after="0" w:line="103" w:lineRule="exact"/>
        <w:rPr>
          <w:sz w:val="20"/>
          <w:szCs w:val="20"/>
          <w:color w:val="auto"/>
        </w:rPr>
      </w:pPr>
    </w:p>
    <w:p>
      <w:pPr>
        <w:ind w:firstLine="520"/>
        <w:spacing w:after="0" w:line="266" w:lineRule="auto"/>
        <w:rPr>
          <w:sz w:val="20"/>
          <w:szCs w:val="20"/>
          <w:color w:val="auto"/>
        </w:rPr>
      </w:pPr>
      <w:r>
        <w:rPr>
          <w:rFonts w:ascii="Arial" w:cs="Arial" w:eastAsia="Arial" w:hAnsi="Arial"/>
          <w:sz w:val="14"/>
          <w:szCs w:val="14"/>
          <w:color w:val="auto"/>
        </w:rPr>
        <w:t>We used the Black-Scholes option-pricing model, which incorporates assumptions and estimates, to value the preferred stock warrant. We assessed these assumptions and estimates on a quarterly basis as additional information impacting the assumptions is obtained. Estimates and assumptions impacting the fair value measurement include the fair value per share of the underlying Series A-2 convertible preferred stock, the remaining contractual term of the warrant, risk-free interest rate, expected dividend yield and expected volatility of the price of the underlying preferred stock. We determine the fair value per share of the underlying preferred stock by taking into consideration our most recent sales of our convertible preferred stock, results obtained from third-party valuations and additional factors that we deemed relevant. We have historically been a private company and lack company-specific historical and implied volatility information of our stock. Therefore, we estimated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estimated a 0% dividend yield based on the expected dividend yield and the fact that we have never paid or declared dividends.</w:t>
      </w:r>
    </w:p>
    <w:p>
      <w:pPr>
        <w:spacing w:after="0" w:line="148" w:lineRule="exact"/>
        <w:rPr>
          <w:sz w:val="20"/>
          <w:szCs w:val="20"/>
          <w:color w:val="auto"/>
        </w:rPr>
      </w:pPr>
    </w:p>
    <w:p>
      <w:pPr>
        <w:ind w:right="60" w:firstLine="520"/>
        <w:spacing w:after="0" w:line="249" w:lineRule="auto"/>
        <w:rPr>
          <w:sz w:val="20"/>
          <w:szCs w:val="20"/>
          <w:color w:val="auto"/>
        </w:rPr>
      </w:pPr>
      <w:r>
        <w:rPr>
          <w:rFonts w:ascii="Arial" w:cs="Arial" w:eastAsia="Arial" w:hAnsi="Arial"/>
          <w:sz w:val="15"/>
          <w:szCs w:val="15"/>
          <w:color w:val="auto"/>
        </w:rPr>
        <w:t>Upon the listing of our common stock on the NASDAQ on June 26, 2015, the preferred stock warrant became a warrant to purchase common stock. We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90" w:lineRule="exact"/>
        <w:rPr>
          <w:sz w:val="20"/>
          <w:szCs w:val="20"/>
          <w:color w:val="auto"/>
        </w:rPr>
      </w:pPr>
    </w:p>
    <w:p>
      <w:pPr>
        <w:ind w:right="20" w:firstLine="520"/>
        <w:spacing w:after="0" w:line="346" w:lineRule="auto"/>
        <w:rPr>
          <w:sz w:val="20"/>
          <w:szCs w:val="20"/>
          <w:color w:val="auto"/>
        </w:rPr>
      </w:pPr>
      <w:r>
        <w:rPr>
          <w:rFonts w:ascii="Arial" w:cs="Arial" w:eastAsia="Arial" w:hAnsi="Arial"/>
          <w:sz w:val="12"/>
          <w:szCs w:val="12"/>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5"/>
          <w:szCs w:val="15"/>
          <w:b w:val="1"/>
          <w:b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2015 and 2014</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our results of operations for the years ended December 31, 2014 and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left="431"/>
              <w:spacing w:after="0"/>
              <w:rPr>
                <w:sz w:val="20"/>
                <w:szCs w:val="20"/>
                <w:color w:val="auto"/>
              </w:rPr>
            </w:pPr>
            <w:r>
              <w:rPr>
                <w:rFonts w:ascii="Arial" w:cs="Arial" w:eastAsia="Arial" w:hAnsi="Arial"/>
                <w:sz w:val="12"/>
                <w:szCs w:val="12"/>
                <w:b w:val="1"/>
                <w:bCs w:val="1"/>
                <w:color w:val="auto"/>
                <w:w w:val="87"/>
              </w:rPr>
              <w:t>Year Ended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left="411"/>
              <w:spacing w:after="0"/>
              <w:rPr>
                <w:sz w:val="20"/>
                <w:szCs w:val="20"/>
                <w:color w:val="auto"/>
              </w:rPr>
            </w:pPr>
            <w:r>
              <w:rPr>
                <w:rFonts w:ascii="Arial" w:cs="Arial" w:eastAsia="Arial" w:hAnsi="Arial"/>
                <w:sz w:val="12"/>
                <w:szCs w:val="12"/>
                <w:b w:val="1"/>
                <w:bCs w:val="1"/>
                <w:color w:val="auto"/>
                <w:w w:val="87"/>
              </w:rPr>
              <w:t>December 31,</w:t>
            </w: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51"/>
              <w:spacing w:after="0" w:line="122"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center"/>
              <w:ind w:right="269"/>
              <w:spacing w:after="0" w:line="122" w:lineRule="exact"/>
              <w:rPr>
                <w:sz w:val="20"/>
                <w:szCs w:val="20"/>
                <w:color w:val="auto"/>
              </w:rPr>
            </w:pPr>
            <w:r>
              <w:rPr>
                <w:rFonts w:ascii="Arial" w:cs="Arial" w:eastAsia="Arial" w:hAnsi="Arial"/>
                <w:sz w:val="12"/>
                <w:szCs w:val="12"/>
                <w:b w:val="1"/>
                <w:bCs w:val="1"/>
                <w:color w:val="auto"/>
                <w:w w:val="82"/>
              </w:rPr>
              <w:t>2014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140"/>
              <w:spacing w:after="0" w:line="122" w:lineRule="exact"/>
              <w:rPr>
                <w:sz w:val="20"/>
                <w:szCs w:val="20"/>
                <w:color w:val="auto"/>
              </w:rPr>
            </w:pPr>
            <w:r>
              <w:rPr>
                <w:rFonts w:ascii="Arial" w:cs="Arial" w:eastAsia="Arial" w:hAnsi="Arial"/>
                <w:sz w:val="12"/>
                <w:szCs w:val="12"/>
                <w:b w:val="1"/>
                <w:bCs w:val="1"/>
                <w:color w:val="auto"/>
                <w:w w:val="84"/>
              </w:rPr>
              <w:t>(in thousands)</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5340" w:type="dxa"/>
            <w:vAlign w:val="bottom"/>
            <w:gridSpan w:val="2"/>
          </w:tcPr>
          <w:p>
            <w:pPr>
              <w:ind w:left="1160"/>
              <w:spacing w:after="0"/>
              <w:rPr>
                <w:sz w:val="20"/>
                <w:szCs w:val="20"/>
                <w:color w:val="auto"/>
              </w:rPr>
            </w:pPr>
            <w:r>
              <w:rPr>
                <w:rFonts w:ascii="Arial" w:cs="Arial" w:eastAsia="Arial" w:hAnsi="Arial"/>
                <w:sz w:val="15"/>
                <w:szCs w:val="15"/>
                <w:color w:val="auto"/>
              </w:rPr>
              <w:t>Operating expenses:</w:t>
            </w:r>
          </w:p>
        </w:tc>
        <w:tc>
          <w:tcPr>
            <w:tcW w:w="1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38,095</w:t>
            </w:r>
          </w:p>
        </w:tc>
        <w:tc>
          <w:tcPr>
            <w:tcW w:w="1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10,718</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General and administrative</w:t>
            </w:r>
          </w:p>
        </w:tc>
        <w:tc>
          <w:tcPr>
            <w:tcW w:w="12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16,761</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4,364</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12,397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1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Total operating expenses</w:t>
            </w:r>
          </w:p>
        </w:tc>
        <w:tc>
          <w:tcPr>
            <w:tcW w:w="12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54,856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15,082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39,774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40" w:type="dxa"/>
            <w:vAlign w:val="bottom"/>
            <w:gridSpan w:val="2"/>
          </w:tcPr>
          <w:p>
            <w:pPr>
              <w:ind w:left="1160"/>
              <w:spacing w:after="0"/>
              <w:rPr>
                <w:sz w:val="20"/>
                <w:szCs w:val="20"/>
                <w:color w:val="auto"/>
              </w:rPr>
            </w:pPr>
            <w:r>
              <w:rPr>
                <w:rFonts w:ascii="Arial" w:cs="Arial" w:eastAsia="Arial" w:hAnsi="Arial"/>
                <w:sz w:val="15"/>
                <w:szCs w:val="15"/>
                <w:color w:val="auto"/>
              </w:rPr>
              <w:t>Loss from operations</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(54,856)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(15,082)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(39,774)</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income (expense):</w:t>
            </w:r>
          </w:p>
        </w:tc>
        <w:tc>
          <w:tcPr>
            <w:tcW w:w="1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Interest expense</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(555)</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(209)</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tcPr>
          <w:p>
            <w:pPr>
              <w:ind w:left="200"/>
              <w:spacing w:after="0"/>
              <w:rPr>
                <w:sz w:val="20"/>
                <w:szCs w:val="20"/>
                <w:color w:val="auto"/>
              </w:rPr>
            </w:pPr>
            <w:r>
              <w:rPr>
                <w:rFonts w:ascii="Arial" w:cs="Arial" w:eastAsia="Arial" w:hAnsi="Arial"/>
                <w:sz w:val="15"/>
                <w:szCs w:val="15"/>
                <w:color w:val="auto"/>
              </w:rPr>
              <w:t>Revaluation of preferred stock warrant liability</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(1,418)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vMerge w:val="restart"/>
            <w:shd w:val="clear" w:color="auto" w:fill="CFF0FC"/>
          </w:tcPr>
          <w:p>
            <w:pPr>
              <w:ind w:left="400"/>
              <w:spacing w:after="0"/>
              <w:rPr>
                <w:sz w:val="20"/>
                <w:szCs w:val="20"/>
                <w:color w:val="auto"/>
              </w:rPr>
            </w:pPr>
            <w:r>
              <w:rPr>
                <w:rFonts w:ascii="Arial" w:cs="Arial" w:eastAsia="Arial" w:hAnsi="Arial"/>
                <w:sz w:val="15"/>
                <w:szCs w:val="15"/>
                <w:color w:val="auto"/>
              </w:rPr>
              <w:t>Total other income (expense), net</w:t>
            </w: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180" w:type="dxa"/>
            <w:vAlign w:val="bottom"/>
            <w:vMerge w:val="continue"/>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(1,627)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1160"/>
              <w:spacing w:after="0"/>
              <w:rPr>
                <w:sz w:val="20"/>
                <w:szCs w:val="20"/>
                <w:color w:val="auto"/>
              </w:rPr>
            </w:pPr>
            <w:r>
              <w:rPr>
                <w:rFonts w:ascii="Arial" w:cs="Arial" w:eastAsia="Arial" w:hAnsi="Arial"/>
                <w:sz w:val="15"/>
                <w:szCs w:val="15"/>
                <w:color w:val="auto"/>
              </w:rPr>
              <w:t>Net loss</w:t>
            </w: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gridSpan w:val="2"/>
            <w:vMerge w:val="continue"/>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(54,780)</w:t>
            </w:r>
          </w:p>
        </w:tc>
        <w:tc>
          <w:tcPr>
            <w:tcW w:w="4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(16,709)</w:t>
            </w: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(38,071)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Research and Development Expenses</w:t>
            </w: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3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center"/>
              <w:ind w:left="431"/>
              <w:spacing w:after="0"/>
              <w:rPr>
                <w:sz w:val="20"/>
                <w:szCs w:val="20"/>
                <w:color w:val="auto"/>
              </w:rPr>
            </w:pPr>
            <w:r>
              <w:rPr>
                <w:rFonts w:ascii="Arial" w:cs="Arial" w:eastAsia="Arial" w:hAnsi="Arial"/>
                <w:sz w:val="12"/>
                <w:szCs w:val="12"/>
                <w:b w:val="1"/>
                <w:bCs w:val="1"/>
                <w:color w:val="auto"/>
                <w:w w:val="87"/>
              </w:rPr>
              <w:t>Year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left="411"/>
              <w:spacing w:after="0"/>
              <w:rPr>
                <w:sz w:val="20"/>
                <w:szCs w:val="20"/>
                <w:color w:val="auto"/>
              </w:rPr>
            </w:pPr>
            <w:r>
              <w:rPr>
                <w:rFonts w:ascii="Arial" w:cs="Arial" w:eastAsia="Arial" w:hAnsi="Arial"/>
                <w:sz w:val="12"/>
                <w:szCs w:val="12"/>
                <w:b w:val="1"/>
                <w:bCs w:val="1"/>
                <w:color w:val="auto"/>
                <w:w w:val="87"/>
              </w:rPr>
              <w:t>December 31,</w:t>
            </w: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51"/>
              <w:spacing w:after="0" w:line="122"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center"/>
              <w:ind w:right="269"/>
              <w:spacing w:after="0" w:line="122" w:lineRule="exact"/>
              <w:rPr>
                <w:sz w:val="20"/>
                <w:szCs w:val="20"/>
                <w:color w:val="auto"/>
              </w:rPr>
            </w:pPr>
            <w:r>
              <w:rPr>
                <w:rFonts w:ascii="Arial" w:cs="Arial" w:eastAsia="Arial" w:hAnsi="Arial"/>
                <w:sz w:val="12"/>
                <w:szCs w:val="12"/>
                <w:b w:val="1"/>
                <w:bCs w:val="1"/>
                <w:color w:val="auto"/>
                <w:w w:val="82"/>
              </w:rPr>
              <w:t>2014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140"/>
              <w:spacing w:after="0" w:line="122" w:lineRule="exact"/>
              <w:rPr>
                <w:sz w:val="20"/>
                <w:szCs w:val="20"/>
                <w:color w:val="auto"/>
              </w:rPr>
            </w:pPr>
            <w:r>
              <w:rPr>
                <w:rFonts w:ascii="Arial" w:cs="Arial" w:eastAsia="Arial" w:hAnsi="Arial"/>
                <w:sz w:val="12"/>
                <w:szCs w:val="12"/>
                <w:b w:val="1"/>
                <w:bCs w:val="1"/>
                <w:color w:val="auto"/>
                <w:w w:val="84"/>
              </w:rPr>
              <w:t>(in thousands)</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Microbiome therapeutics platform</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20,603</w:t>
            </w:r>
          </w:p>
        </w:tc>
        <w:tc>
          <w:tcPr>
            <w:tcW w:w="1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7,584</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gridSpan w:val="2"/>
          </w:tcPr>
          <w:p>
            <w:pPr>
              <w:ind w:left="1160"/>
              <w:spacing w:after="0"/>
              <w:rPr>
                <w:sz w:val="20"/>
                <w:szCs w:val="20"/>
                <w:color w:val="auto"/>
              </w:rPr>
            </w:pPr>
            <w:r>
              <w:rPr>
                <w:rFonts w:ascii="Arial" w:cs="Arial" w:eastAsia="Arial" w:hAnsi="Arial"/>
                <w:sz w:val="15"/>
                <w:szCs w:val="15"/>
                <w:color w:val="auto"/>
              </w:rPr>
              <w:t>SER-109</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13,828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SER-262</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gridSpan w:val="2"/>
          </w:tcPr>
          <w:p>
            <w:pPr>
              <w:ind w:left="1160"/>
              <w:spacing w:after="0"/>
              <w:rPr>
                <w:sz w:val="20"/>
                <w:szCs w:val="20"/>
                <w:color w:val="auto"/>
              </w:rPr>
            </w:pPr>
            <w:r>
              <w:rPr>
                <w:rFonts w:ascii="Arial" w:cs="Arial" w:eastAsia="Arial" w:hAnsi="Arial"/>
                <w:sz w:val="15"/>
                <w:szCs w:val="15"/>
                <w:color w:val="auto"/>
              </w:rPr>
              <w:t>SER-287</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vMerge w:val="restart"/>
            <w:shd w:val="clear" w:color="auto" w:fill="CFF0FC"/>
          </w:tcPr>
          <w:p>
            <w:pPr>
              <w:ind w:left="200"/>
              <w:spacing w:after="0"/>
              <w:rPr>
                <w:sz w:val="20"/>
                <w:szCs w:val="20"/>
                <w:color w:val="auto"/>
              </w:rPr>
            </w:pPr>
            <w:r>
              <w:rPr>
                <w:rFonts w:ascii="Arial" w:cs="Arial" w:eastAsia="Arial" w:hAnsi="Arial"/>
                <w:sz w:val="15"/>
                <w:szCs w:val="15"/>
                <w:color w:val="auto"/>
              </w:rPr>
              <w:t>Total research and development expenses</w:t>
            </w: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180" w:type="dxa"/>
            <w:vAlign w:val="bottom"/>
            <w:vMerge w:val="continue"/>
            <w:shd w:val="clear" w:color="auto" w:fill="CFF0FC"/>
          </w:tcPr>
          <w:p>
            <w:pPr>
              <w:spacing w:after="0"/>
              <w:rPr>
                <w:sz w:val="15"/>
                <w:szCs w:val="15"/>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38,095</w:t>
            </w:r>
          </w:p>
        </w:tc>
        <w:tc>
          <w:tcPr>
            <w:tcW w:w="1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10,718</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20" w:firstLine="520"/>
        <w:spacing w:after="0" w:line="262" w:lineRule="auto"/>
        <w:rPr>
          <w:sz w:val="20"/>
          <w:szCs w:val="20"/>
          <w:color w:val="auto"/>
        </w:rPr>
      </w:pPr>
      <w:r>
        <w:rPr>
          <w:rFonts w:ascii="Arial" w:cs="Arial" w:eastAsia="Arial" w:hAnsi="Arial"/>
          <w:sz w:val="15"/>
          <w:szCs w:val="15"/>
          <w:color w:val="auto"/>
        </w:rPr>
        <w:t>Research and development expenses were $38.1 million for the year ended December 31, 2015, compared to $10.7 million for the year ended December 31, 2014. The increase of $27.4 million was due primarily to the following:</w:t>
      </w:r>
    </w:p>
    <w:p>
      <w:pPr>
        <w:spacing w:after="0" w:line="61" w:lineRule="exact"/>
        <w:rPr>
          <w:sz w:val="20"/>
          <w:szCs w:val="20"/>
          <w:color w:val="auto"/>
        </w:rPr>
      </w:pPr>
    </w:p>
    <w:p>
      <w:pPr>
        <w:ind w:left="1040" w:hanging="518"/>
        <w:spacing w:after="0" w:line="252" w:lineRule="auto"/>
        <w:tabs>
          <w:tab w:leader="none" w:pos="10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 increase of $13.0 million in research expenses related to our microbiome therapeutics platform, due primarily to higher payroll and consultant costs of $10.0 million, which included an increase in stock-based compensation expense of $4.2 million, due primarily to an increase in employee headcount, an increase in laboratory consumables and supply costs of $1.2 million, facility- related costs of $1.4 million and travel costs of $0.4 million;</w:t>
      </w:r>
    </w:p>
    <w:p>
      <w:pPr>
        <w:spacing w:after="0" w:line="69" w:lineRule="exact"/>
        <w:rPr>
          <w:rFonts w:ascii="Arial" w:cs="Arial" w:eastAsia="Arial" w:hAnsi="Arial"/>
          <w:sz w:val="15"/>
          <w:szCs w:val="15"/>
          <w:color w:val="auto"/>
        </w:rPr>
      </w:pPr>
    </w:p>
    <w:p>
      <w:pPr>
        <w:ind w:left="1040" w:right="240" w:hanging="518"/>
        <w:spacing w:after="0" w:line="262" w:lineRule="auto"/>
        <w:tabs>
          <w:tab w:leader="none" w:pos="10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 increase of $10.7 million in expenses related to our SER-109 program, due primarily to higher clinical trial costs of $6.0 million, higher bioprocess development costs of $3.0 million, higher laboratory consumables and supply costs of $1.2 million and higher sequencing costs of $0.5 million;</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of $1.5 million in expenses of our SER-262 program in connection with various pre- clinical, development and clinical activities related to the program; and</w:t>
      </w:r>
    </w:p>
    <w:p>
      <w:pPr>
        <w:spacing w:after="0" w:line="101" w:lineRule="exact"/>
        <w:rPr>
          <w:rFonts w:ascii="Arial" w:cs="Arial" w:eastAsia="Arial" w:hAnsi="Arial"/>
          <w:sz w:val="14"/>
          <w:szCs w:val="14"/>
          <w:color w:val="auto"/>
        </w:rPr>
      </w:pPr>
    </w:p>
    <w:p>
      <w:pPr>
        <w:ind w:left="1040" w:hanging="518"/>
        <w:spacing w:after="0"/>
        <w:tabs>
          <w:tab w:leader="none" w:pos="10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of $2.1 million in expenses of our SER-287 program in connection with various pre- clinical, development, and clinical activities related to the program.</w:t>
      </w:r>
    </w:p>
    <w:p>
      <w:pPr>
        <w:spacing w:after="0" w:line="189" w:lineRule="exact"/>
        <w:rPr>
          <w:sz w:val="20"/>
          <w:szCs w:val="20"/>
          <w:color w:val="auto"/>
        </w:rPr>
      </w:pPr>
    </w:p>
    <w:p>
      <w:pPr>
        <w:jc w:val="both"/>
        <w:ind w:firstLine="520"/>
        <w:spacing w:after="0" w:line="252" w:lineRule="auto"/>
        <w:rPr>
          <w:sz w:val="20"/>
          <w:szCs w:val="20"/>
          <w:color w:val="auto"/>
        </w:rPr>
      </w:pPr>
      <w:r>
        <w:rPr>
          <w:rFonts w:ascii="Arial" w:cs="Arial" w:eastAsia="Arial" w:hAnsi="Arial"/>
          <w:sz w:val="15"/>
          <w:szCs w:val="15"/>
          <w:color w:val="auto"/>
        </w:rPr>
        <w:t>We expect that our research and development expenses will continue to increase in the foreseeable future as we advance the clinical development of SER-287 and initiate clinical trials for certain product candidates, including SER-262, continue to discover and develop additional product candidates, including SER-155, and pursue later stages of clinical development of our product candidates.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737" w:right="259" w:bottom="1440" w:gutter="0" w:footer="0" w:header="0"/>
        </w:sectPr>
      </w:pPr>
    </w:p>
    <w:bookmarkStart w:id="78" w:name="page79"/>
    <w:bookmarkEnd w:id="78"/>
    <w:p>
      <w:pPr>
        <w:spacing w:after="0"/>
        <w:rPr>
          <w:sz w:val="20"/>
          <w:szCs w:val="20"/>
          <w:color w:val="auto"/>
        </w:rPr>
      </w:pPr>
      <w:r>
        <w:rPr>
          <w:rFonts w:ascii="Arial" w:cs="Arial" w:eastAsia="Arial" w:hAnsi="Arial"/>
          <w:sz w:val="15"/>
          <w:szCs w:val="15"/>
          <w:i w:val="1"/>
          <w:iCs w:val="1"/>
          <w:color w:val="auto"/>
        </w:rPr>
        <w:t>General and Administrative Expenses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right"/>
              <w:ind w:right="370"/>
              <w:spacing w:after="0" w:line="122" w:lineRule="exact"/>
              <w:rPr>
                <w:sz w:val="20"/>
                <w:szCs w:val="20"/>
                <w:color w:val="auto"/>
              </w:rPr>
            </w:pPr>
            <w:r>
              <w:rPr>
                <w:rFonts w:ascii="Arial" w:cs="Arial" w:eastAsia="Arial" w:hAnsi="Arial"/>
                <w:sz w:val="12"/>
                <w:szCs w:val="12"/>
                <w:b w:val="1"/>
                <w:bCs w:val="1"/>
                <w:color w:val="auto"/>
              </w:rPr>
              <w:t>2014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180"/>
              <w:spacing w:after="0" w:line="122" w:lineRule="exact"/>
              <w:rPr>
                <w:sz w:val="20"/>
                <w:szCs w:val="20"/>
                <w:color w:val="auto"/>
              </w:rPr>
            </w:pPr>
            <w:r>
              <w:rPr>
                <w:rFonts w:ascii="Arial" w:cs="Arial" w:eastAsia="Arial" w:hAnsi="Arial"/>
                <w:sz w:val="12"/>
                <w:szCs w:val="12"/>
                <w:b w:val="1"/>
                <w:bCs w:val="1"/>
                <w:color w:val="auto"/>
              </w:rPr>
              <w:t>(in thousands)</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FF0FC"/>
          </w:tcPr>
          <w:p>
            <w:pPr>
              <w:spacing w:after="0"/>
              <w:rPr>
                <w:sz w:val="20"/>
                <w:szCs w:val="20"/>
                <w:color w:val="auto"/>
              </w:rPr>
            </w:pPr>
            <w:r>
              <w:rPr>
                <w:rFonts w:ascii="Arial" w:cs="Arial" w:eastAsia="Arial" w:hAnsi="Arial"/>
                <w:sz w:val="15"/>
                <w:szCs w:val="15"/>
                <w:color w:val="auto"/>
              </w:rPr>
              <w:t>Personnel related (including stock-based compensation)</w:t>
            </w:r>
          </w:p>
        </w:tc>
        <w:tc>
          <w:tcPr>
            <w:tcW w:w="1720" w:type="dxa"/>
            <w:vAlign w:val="bottom"/>
            <w:gridSpan w:val="2"/>
            <w:shd w:val="clear" w:color="auto" w:fill="CFF0FC"/>
          </w:tcPr>
          <w:p>
            <w:pPr>
              <w:jc w:val="right"/>
              <w:ind w:right="522"/>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8,371</w:t>
            </w:r>
          </w:p>
        </w:tc>
        <w:tc>
          <w:tcPr>
            <w:tcW w:w="54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2,047</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5"/>
                <w:szCs w:val="15"/>
                <w:color w:val="auto"/>
              </w:rPr>
              <w:t>Professional fees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5,894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1,785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FF0FC"/>
          </w:tcPr>
          <w:p>
            <w:pPr>
              <w:spacing w:after="0"/>
              <w:rPr>
                <w:sz w:val="20"/>
                <w:szCs w:val="20"/>
                <w:color w:val="auto"/>
              </w:rPr>
            </w:pPr>
            <w:r>
              <w:rPr>
                <w:rFonts w:ascii="Arial" w:cs="Arial" w:eastAsia="Arial" w:hAnsi="Arial"/>
                <w:sz w:val="15"/>
                <w:szCs w:val="15"/>
                <w:color w:val="auto"/>
              </w:rPr>
              <w:t>Facility-related and other</w:t>
            </w:r>
          </w:p>
        </w:tc>
        <w:tc>
          <w:tcPr>
            <w:tcW w:w="1080" w:type="dxa"/>
            <w:vAlign w:val="bottom"/>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2,496</w:t>
            </w:r>
          </w:p>
        </w:tc>
        <w:tc>
          <w:tcPr>
            <w:tcW w:w="2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532</w:t>
            </w:r>
          </w:p>
        </w:tc>
        <w:tc>
          <w:tcPr>
            <w:tcW w:w="2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340" w:type="dxa"/>
            <w:vAlign w:val="bottom"/>
          </w:tcPr>
          <w:p>
            <w:pPr>
              <w:ind w:left="200"/>
              <w:spacing w:after="0"/>
              <w:rPr>
                <w:sz w:val="20"/>
                <w:szCs w:val="20"/>
                <w:color w:val="auto"/>
              </w:rPr>
            </w:pPr>
            <w:r>
              <w:rPr>
                <w:rFonts w:ascii="Arial" w:cs="Arial" w:eastAsia="Arial" w:hAnsi="Arial"/>
                <w:sz w:val="15"/>
                <w:szCs w:val="15"/>
                <w:color w:val="auto"/>
              </w:rPr>
              <w:t>Total general and administrative expenses</w:t>
            </w:r>
          </w:p>
        </w:tc>
        <w:tc>
          <w:tcPr>
            <w:tcW w:w="1720" w:type="dxa"/>
            <w:vAlign w:val="bottom"/>
            <w:gridSpan w:val="2"/>
          </w:tcPr>
          <w:p>
            <w:pPr>
              <w:jc w:val="right"/>
              <w:ind w:right="522"/>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16,761</w:t>
            </w:r>
          </w:p>
        </w:tc>
        <w:tc>
          <w:tcPr>
            <w:tcW w:w="54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4,364</w:t>
            </w:r>
          </w:p>
        </w:tc>
        <w:tc>
          <w:tcPr>
            <w:tcW w:w="20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12,397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80" w:firstLine="520"/>
        <w:spacing w:after="0" w:line="321" w:lineRule="auto"/>
        <w:rPr>
          <w:sz w:val="20"/>
          <w:szCs w:val="20"/>
          <w:color w:val="auto"/>
        </w:rPr>
      </w:pPr>
      <w:r>
        <w:rPr>
          <w:rFonts w:ascii="Arial" w:cs="Arial" w:eastAsia="Arial" w:hAnsi="Arial"/>
          <w:sz w:val="12"/>
          <w:szCs w:val="12"/>
          <w:color w:val="auto"/>
        </w:rPr>
        <w:t>General and administrative expenses were $16.8 million for the year ended December 31, 2015, compared to $4.4 million for the year ended December 31, 2014. The increase of $12.4 million was primarily due to an increase in personnel related costs of $6.3 million, which included an increase of $3.4 million in stock-based compensation, an increase in professional fees of $4.1 million and an increase in facility-related and other costs of $2.0 million. Personnel related costs increased primarily due to the hiring of additional employees from December 31, 2014 to December 31, 2015 to support corporate operations and business development activities. The increase in professional fees was due to an increase in accounting, audit and legal fees as a result of operating as a public company including $0.5 million in costs in connection with the collaboration agreement with Nestlé . The increase in facility-related and other costs was primarily due to an increase in office-related expenses and rent expense resulting from our new facility for research and development that commenced in February 2015.</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90" w:lineRule="exact"/>
        <w:rPr>
          <w:sz w:val="20"/>
          <w:szCs w:val="20"/>
          <w:color w:val="auto"/>
        </w:rPr>
      </w:pPr>
    </w:p>
    <w:p>
      <w:pPr>
        <w:jc w:val="both"/>
        <w:ind w:right="200" w:firstLine="520"/>
        <w:spacing w:after="0" w:line="252" w:lineRule="auto"/>
        <w:rPr>
          <w:sz w:val="20"/>
          <w:szCs w:val="20"/>
          <w:color w:val="auto"/>
        </w:rPr>
      </w:pPr>
      <w:r>
        <w:rPr>
          <w:rFonts w:ascii="Arial" w:cs="Arial" w:eastAsia="Arial" w:hAnsi="Arial"/>
          <w:sz w:val="15"/>
          <w:szCs w:val="15"/>
          <w:color w:val="auto"/>
        </w:rPr>
        <w:t>Other income (expense), net for the year ended December 31, 2015 was an income of $0.1 million, compared to an expense of $1.6 million for the year ended December 31, 2014. The $1.7 million increase in other income, net was primarily due to gains recorded to adjust the fair value of our preferred stock warrant liability due to a decrease in the fair value of the underlying Series A-2 convertible preferred stock over that period.</w:t>
      </w:r>
    </w:p>
    <w:p>
      <w:pPr>
        <w:spacing w:after="0" w:line="157" w:lineRule="exact"/>
        <w:rPr>
          <w:sz w:val="20"/>
          <w:szCs w:val="20"/>
          <w:color w:val="auto"/>
        </w:rPr>
      </w:pPr>
    </w:p>
    <w:p>
      <w:pPr>
        <w:jc w:val="both"/>
        <w:ind w:right="180" w:firstLine="520"/>
        <w:spacing w:after="0" w:line="262" w:lineRule="auto"/>
        <w:rPr>
          <w:sz w:val="20"/>
          <w:szCs w:val="20"/>
          <w:color w:val="auto"/>
        </w:rPr>
      </w:pPr>
      <w:r>
        <w:rPr>
          <w:rFonts w:ascii="Arial" w:cs="Arial" w:eastAsia="Arial" w:hAnsi="Arial"/>
          <w:sz w:val="15"/>
          <w:szCs w:val="15"/>
          <w:color w:val="auto"/>
        </w:rPr>
        <w:t>In connection with the extinguishment of the loan and security agreement, we recorded a loss on extinguishment of $0.1 million, which has been recorded as interest expense in the year ended December 31, 2015.</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Years Ended December 31, 2014 and 2013</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our results of operations for the years ended December 31, 2014 and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right"/>
              <w:ind w:right="82"/>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Change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51"/>
              <w:spacing w:after="0" w:line="122" w:lineRule="exact"/>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right"/>
              <w:ind w:right="369"/>
              <w:spacing w:after="0" w:line="122" w:lineRule="exact"/>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right"/>
              <w:ind w:right="320"/>
              <w:spacing w:after="0" w:line="122" w:lineRule="exact"/>
              <w:rPr>
                <w:sz w:val="20"/>
                <w:szCs w:val="20"/>
                <w:color w:val="auto"/>
              </w:rPr>
            </w:pPr>
            <w:r>
              <w:rPr>
                <w:rFonts w:ascii="Arial" w:cs="Arial" w:eastAsia="Arial" w:hAnsi="Arial"/>
                <w:sz w:val="12"/>
                <w:szCs w:val="12"/>
                <w:b w:val="1"/>
                <w:bCs w:val="1"/>
                <w:color w:val="auto"/>
              </w:rPr>
              <w:t>(in thousands)</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80" w:type="dxa"/>
            <w:vAlign w:val="bottom"/>
            <w:gridSpan w:val="2"/>
          </w:tcPr>
          <w:p>
            <w:pPr>
              <w:ind w:left="1160"/>
              <w:spacing w:after="0"/>
              <w:rPr>
                <w:sz w:val="20"/>
                <w:szCs w:val="20"/>
                <w:color w:val="auto"/>
              </w:rPr>
            </w:pPr>
            <w:r>
              <w:rPr>
                <w:rFonts w:ascii="Arial" w:cs="Arial" w:eastAsia="Arial" w:hAnsi="Arial"/>
                <w:sz w:val="15"/>
                <w:szCs w:val="15"/>
                <w:color w:val="auto"/>
              </w:rPr>
              <w:t>Operating expenses:</w:t>
            </w:r>
          </w:p>
        </w:tc>
        <w:tc>
          <w:tcPr>
            <w:tcW w:w="1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1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10,718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5,913</w:t>
            </w:r>
          </w:p>
        </w:tc>
        <w:tc>
          <w:tcPr>
            <w:tcW w:w="100" w:type="dxa"/>
            <w:vAlign w:val="bottom"/>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2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General and administrative</w:t>
            </w:r>
          </w:p>
        </w:tc>
        <w:tc>
          <w:tcPr>
            <w:tcW w:w="17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4,364</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3,117</w:t>
            </w:r>
          </w:p>
        </w:tc>
        <w:tc>
          <w:tcPr>
            <w:tcW w:w="100" w:type="dxa"/>
            <w:vAlign w:val="bottom"/>
            <w:tcBorders>
              <w:bottom w:val="single" w:sz="8" w:color="CFF0FC"/>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7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Total operating expenses</w:t>
            </w:r>
          </w:p>
        </w:tc>
        <w:tc>
          <w:tcPr>
            <w:tcW w:w="17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15,082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6,052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9,030</w:t>
            </w:r>
          </w:p>
        </w:tc>
        <w:tc>
          <w:tcPr>
            <w:tcW w:w="100" w:type="dxa"/>
            <w:vAlign w:val="bottom"/>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80" w:type="dxa"/>
            <w:vAlign w:val="bottom"/>
            <w:gridSpan w:val="2"/>
          </w:tcPr>
          <w:p>
            <w:pPr>
              <w:ind w:left="1160"/>
              <w:spacing w:after="0"/>
              <w:rPr>
                <w:sz w:val="20"/>
                <w:szCs w:val="20"/>
                <w:color w:val="auto"/>
              </w:rPr>
            </w:pPr>
            <w:r>
              <w:rPr>
                <w:rFonts w:ascii="Arial" w:cs="Arial" w:eastAsia="Arial" w:hAnsi="Arial"/>
                <w:sz w:val="15"/>
                <w:szCs w:val="15"/>
                <w:color w:val="auto"/>
              </w:rPr>
              <w:t>Loss from operations</w:t>
            </w: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(15,082)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(6,052)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(9,030)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income (expense):</w:t>
            </w:r>
          </w:p>
        </w:tc>
        <w:tc>
          <w:tcPr>
            <w:tcW w:w="17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20" w:type="dxa"/>
            <w:vAlign w:val="bottom"/>
          </w:tcPr>
          <w:p>
            <w:pPr>
              <w:ind w:left="200"/>
              <w:spacing w:after="0"/>
              <w:rPr>
                <w:sz w:val="20"/>
                <w:szCs w:val="20"/>
                <w:color w:val="auto"/>
              </w:rPr>
            </w:pPr>
            <w:r>
              <w:rPr>
                <w:rFonts w:ascii="Arial" w:cs="Arial" w:eastAsia="Arial" w:hAnsi="Arial"/>
                <w:sz w:val="15"/>
                <w:szCs w:val="15"/>
                <w:color w:val="auto"/>
              </w:rPr>
              <w:t>Interest income (expense), net</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(209)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(167)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Revaluation of preferred stock warrant liability</w:t>
            </w:r>
          </w:p>
        </w:tc>
        <w:tc>
          <w:tcPr>
            <w:tcW w:w="1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(1,418)</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(1,410)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vMerge w:val="restart"/>
          </w:tcPr>
          <w:p>
            <w:pPr>
              <w:ind w:left="400"/>
              <w:spacing w:after="0"/>
              <w:rPr>
                <w:sz w:val="20"/>
                <w:szCs w:val="20"/>
                <w:color w:val="auto"/>
              </w:rPr>
            </w:pPr>
            <w:r>
              <w:rPr>
                <w:rFonts w:ascii="Arial" w:cs="Arial" w:eastAsia="Arial" w:hAnsi="Arial"/>
                <w:sz w:val="15"/>
                <w:szCs w:val="15"/>
                <w:color w:val="auto"/>
              </w:rPr>
              <w:t>Total other income (expense), net</w:t>
            </w: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(1,577)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loss</w:t>
            </w:r>
          </w:p>
        </w:tc>
        <w:tc>
          <w:tcPr>
            <w:tcW w:w="1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3720" w:type="dxa"/>
            <w:vAlign w:val="bottom"/>
            <w:vMerge w:val="continue"/>
            <w:shd w:val="clear" w:color="auto" w:fill="CFF0FC"/>
          </w:tcPr>
          <w:p>
            <w:pPr>
              <w:spacing w:after="0"/>
              <w:rPr>
                <w:sz w:val="15"/>
                <w:szCs w:val="15"/>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(16,709)</w:t>
            </w:r>
          </w:p>
        </w:tc>
        <w:tc>
          <w:tcPr>
            <w:tcW w:w="40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(6,102)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(10,607)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CFF0FC"/>
            </w:tcBorders>
            <w:vMerge w:val="restart"/>
          </w:tcPr>
          <w:p>
            <w:pPr>
              <w:jc w:val="right"/>
              <w:ind w:right="707"/>
              <w:spacing w:after="0"/>
              <w:rPr>
                <w:sz w:val="20"/>
                <w:szCs w:val="20"/>
                <w:color w:val="auto"/>
              </w:rPr>
            </w:pPr>
            <w:r>
              <w:rPr>
                <w:rFonts w:ascii="Arial" w:cs="Arial" w:eastAsia="Arial" w:hAnsi="Arial"/>
                <w:sz w:val="15"/>
                <w:szCs w:val="15"/>
                <w:color w:val="auto"/>
              </w:rPr>
              <w:t>79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16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741" w:right="199" w:bottom="1440" w:gutter="0" w:footer="0" w:header="0"/>
        </w:sectPr>
      </w:pPr>
    </w:p>
    <w:bookmarkStart w:id="79" w:name="page80"/>
    <w:bookmarkEnd w:id="79"/>
    <w:p>
      <w:pPr>
        <w:spacing w:after="0"/>
        <w:rPr>
          <w:sz w:val="20"/>
          <w:szCs w:val="20"/>
          <w:color w:val="auto"/>
        </w:rPr>
      </w:pPr>
      <w:r>
        <w:rPr>
          <w:rFonts w:ascii="Arial" w:cs="Arial" w:eastAsia="Arial" w:hAnsi="Arial"/>
          <w:sz w:val="15"/>
          <w:szCs w:val="15"/>
          <w:i w:val="1"/>
          <w:iCs w:val="1"/>
          <w:color w:val="auto"/>
        </w:rPr>
        <w:t>Research and Development Expenses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2014</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right"/>
              <w:ind w:right="370"/>
              <w:spacing w:after="0" w:line="122" w:lineRule="exact"/>
              <w:rPr>
                <w:sz w:val="20"/>
                <w:szCs w:val="20"/>
                <w:color w:val="auto"/>
              </w:rPr>
            </w:pPr>
            <w:r>
              <w:rPr>
                <w:rFonts w:ascii="Arial" w:cs="Arial" w:eastAsia="Arial" w:hAnsi="Arial"/>
                <w:sz w:val="12"/>
                <w:szCs w:val="12"/>
                <w:b w:val="1"/>
                <w:bCs w:val="1"/>
                <w:color w:val="auto"/>
              </w:rPr>
              <w:t>2013</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180"/>
              <w:spacing w:after="0" w:line="122" w:lineRule="exact"/>
              <w:rPr>
                <w:sz w:val="20"/>
                <w:szCs w:val="20"/>
                <w:color w:val="auto"/>
              </w:rPr>
            </w:pPr>
            <w:r>
              <w:rPr>
                <w:rFonts w:ascii="Arial" w:cs="Arial" w:eastAsia="Arial" w:hAnsi="Arial"/>
                <w:sz w:val="12"/>
                <w:szCs w:val="12"/>
                <w:b w:val="1"/>
                <w:bCs w:val="1"/>
                <w:color w:val="auto"/>
              </w:rPr>
              <w:t>(in thousands)</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FF0FC"/>
          </w:tcPr>
          <w:p>
            <w:pPr>
              <w:spacing w:after="0"/>
              <w:rPr>
                <w:sz w:val="20"/>
                <w:szCs w:val="20"/>
                <w:color w:val="auto"/>
              </w:rPr>
            </w:pPr>
            <w:r>
              <w:rPr>
                <w:rFonts w:ascii="Arial" w:cs="Arial" w:eastAsia="Arial" w:hAnsi="Arial"/>
                <w:sz w:val="15"/>
                <w:szCs w:val="15"/>
                <w:color w:val="auto"/>
              </w:rPr>
              <w:t>Microbiome therapeutics platform</w:t>
            </w:r>
          </w:p>
        </w:tc>
        <w:tc>
          <w:tcPr>
            <w:tcW w:w="2040" w:type="dxa"/>
            <w:vAlign w:val="bottom"/>
            <w:gridSpan w:val="2"/>
            <w:shd w:val="clear" w:color="auto" w:fill="CFF0FC"/>
          </w:tcPr>
          <w:p>
            <w:pPr>
              <w:jc w:val="right"/>
              <w:ind w:right="522"/>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7,584</w:t>
            </w:r>
          </w:p>
        </w:tc>
        <w:tc>
          <w:tcPr>
            <w:tcW w:w="54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3,424</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Arial" w:cs="Arial" w:eastAsia="Arial" w:hAnsi="Arial"/>
                <w:sz w:val="15"/>
                <w:szCs w:val="15"/>
                <w:color w:val="auto"/>
              </w:rPr>
              <w:t>SER-109</w:t>
            </w: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3,122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FF0FC"/>
          </w:tcPr>
          <w:p>
            <w:pPr>
              <w:spacing w:after="0"/>
              <w:rPr>
                <w:sz w:val="20"/>
                <w:szCs w:val="20"/>
                <w:color w:val="auto"/>
              </w:rPr>
            </w:pPr>
            <w:r>
              <w:rPr>
                <w:rFonts w:ascii="Arial" w:cs="Arial" w:eastAsia="Arial" w:hAnsi="Arial"/>
                <w:sz w:val="15"/>
                <w:szCs w:val="15"/>
                <w:color w:val="auto"/>
              </w:rPr>
              <w:t>SER-262</w:t>
            </w:r>
          </w:p>
        </w:tc>
        <w:tc>
          <w:tcPr>
            <w:tcW w:w="1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652</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0"/>
              <w:spacing w:after="0"/>
              <w:rPr>
                <w:sz w:val="20"/>
                <w:szCs w:val="20"/>
                <w:color w:val="auto"/>
              </w:rPr>
            </w:pPr>
            <w:r>
              <w:rPr>
                <w:rFonts w:ascii="Arial" w:cs="Arial" w:eastAsia="Arial" w:hAnsi="Arial"/>
                <w:sz w:val="15"/>
                <w:szCs w:val="15"/>
                <w:color w:val="auto"/>
              </w:rPr>
              <w:t>Total research and development expenses</w:t>
            </w:r>
          </w:p>
        </w:tc>
        <w:tc>
          <w:tcPr>
            <w:tcW w:w="1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2040" w:type="dxa"/>
            <w:vAlign w:val="bottom"/>
            <w:gridSpan w:val="2"/>
          </w:tcPr>
          <w:p>
            <w:pPr>
              <w:jc w:val="right"/>
              <w:ind w:right="522"/>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10,718</w:t>
            </w:r>
          </w:p>
        </w:tc>
        <w:tc>
          <w:tcPr>
            <w:tcW w:w="54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4,805</w:t>
            </w:r>
          </w:p>
        </w:tc>
        <w:tc>
          <w:tcPr>
            <w:tcW w:w="20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5,913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300" w:firstLine="520"/>
        <w:spacing w:after="0" w:line="262" w:lineRule="auto"/>
        <w:rPr>
          <w:sz w:val="20"/>
          <w:szCs w:val="20"/>
          <w:color w:val="auto"/>
        </w:rPr>
      </w:pPr>
      <w:r>
        <w:rPr>
          <w:rFonts w:ascii="Arial" w:cs="Arial" w:eastAsia="Arial" w:hAnsi="Arial"/>
          <w:sz w:val="15"/>
          <w:szCs w:val="15"/>
          <w:color w:val="auto"/>
        </w:rPr>
        <w:t>Research and development expenses were $10.7 million for the year ended December 31, 2014, compared to $4.8 million for the year ended December 31, 2013. The increase of $5.9 million was due primarily to the following:</w:t>
      </w:r>
    </w:p>
    <w:p>
      <w:pPr>
        <w:spacing w:after="0" w:line="61" w:lineRule="exact"/>
        <w:rPr>
          <w:sz w:val="20"/>
          <w:szCs w:val="20"/>
          <w:color w:val="auto"/>
        </w:rPr>
      </w:pPr>
    </w:p>
    <w:p>
      <w:pPr>
        <w:jc w:val="both"/>
        <w:ind w:left="1040" w:right="380" w:hanging="518"/>
        <w:spacing w:after="0" w:line="252" w:lineRule="auto"/>
        <w:tabs>
          <w:tab w:leader="none" w:pos="10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 increase of $4.2 million in research expenses related to our microbiome therapeutics platform, due primarily to higher payroll and consultant costs of $2.1 million, which included an increase in stock-based compensation expense of $0.9 million; an increase in laboratory supply costs of $0.7 million; an increase in facility-related costs of $0.5 million; and an increase in licensing costs of $0.3 million;</w:t>
      </w:r>
    </w:p>
    <w:p>
      <w:pPr>
        <w:spacing w:after="0" w:line="69" w:lineRule="exact"/>
        <w:rPr>
          <w:rFonts w:ascii="Arial" w:cs="Arial" w:eastAsia="Arial" w:hAnsi="Arial"/>
          <w:sz w:val="15"/>
          <w:szCs w:val="15"/>
          <w:color w:val="auto"/>
        </w:rPr>
      </w:pPr>
    </w:p>
    <w:p>
      <w:pPr>
        <w:ind w:left="1040" w:right="20" w:hanging="518"/>
        <w:spacing w:after="0" w:line="262" w:lineRule="auto"/>
        <w:tabs>
          <w:tab w:leader="none" w:pos="10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 increase of $2.4 million in expenses related to our SER-109 program, due primarily to higher clinical trial costs of $2.1 million and higher contract manufacturing costs of $0.4 million, partially offset by lower animal studies costs; and</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decrease of $0.6 million in expenses of our SER-262 program due to our shifted focus to SER-109 and our microbiome therapeutics platform research.</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 Expenses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2014</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right"/>
              <w:ind w:right="370"/>
              <w:spacing w:after="0" w:line="122" w:lineRule="exact"/>
              <w:rPr>
                <w:sz w:val="20"/>
                <w:szCs w:val="20"/>
                <w:color w:val="auto"/>
              </w:rPr>
            </w:pPr>
            <w:r>
              <w:rPr>
                <w:rFonts w:ascii="Arial" w:cs="Arial" w:eastAsia="Arial" w:hAnsi="Arial"/>
                <w:sz w:val="12"/>
                <w:szCs w:val="12"/>
                <w:b w:val="1"/>
                <w:bCs w:val="1"/>
                <w:color w:val="auto"/>
              </w:rPr>
              <w:t>2013</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180"/>
              <w:spacing w:after="0" w:line="122" w:lineRule="exact"/>
              <w:rPr>
                <w:sz w:val="20"/>
                <w:szCs w:val="20"/>
                <w:color w:val="auto"/>
              </w:rPr>
            </w:pPr>
            <w:r>
              <w:rPr>
                <w:rFonts w:ascii="Arial" w:cs="Arial" w:eastAsia="Arial" w:hAnsi="Arial"/>
                <w:sz w:val="12"/>
                <w:szCs w:val="12"/>
                <w:b w:val="1"/>
                <w:bCs w:val="1"/>
                <w:color w:val="auto"/>
              </w:rPr>
              <w:t>(in thousands)</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FF0FC"/>
          </w:tcPr>
          <w:p>
            <w:pPr>
              <w:spacing w:after="0"/>
              <w:rPr>
                <w:sz w:val="20"/>
                <w:szCs w:val="20"/>
                <w:color w:val="auto"/>
              </w:rPr>
            </w:pPr>
            <w:r>
              <w:rPr>
                <w:rFonts w:ascii="Arial" w:cs="Arial" w:eastAsia="Arial" w:hAnsi="Arial"/>
                <w:sz w:val="15"/>
                <w:szCs w:val="15"/>
                <w:color w:val="auto"/>
              </w:rPr>
              <w:t>Personnel related (including stock-based compensation)</w:t>
            </w:r>
          </w:p>
        </w:tc>
        <w:tc>
          <w:tcPr>
            <w:tcW w:w="1760" w:type="dxa"/>
            <w:vAlign w:val="bottom"/>
            <w:gridSpan w:val="2"/>
            <w:shd w:val="clear" w:color="auto" w:fill="CFF0FC"/>
          </w:tcPr>
          <w:p>
            <w:pPr>
              <w:jc w:val="right"/>
              <w:ind w:right="562"/>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2,047</w:t>
            </w:r>
          </w:p>
        </w:tc>
        <w:tc>
          <w:tcPr>
            <w:tcW w:w="540" w:type="dxa"/>
            <w:vAlign w:val="bottom"/>
            <w:gridSpan w:val="2"/>
            <w:shd w:val="clear" w:color="auto" w:fill="CFF0FC"/>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419</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5"/>
                <w:szCs w:val="15"/>
                <w:color w:val="auto"/>
              </w:rPr>
              <w:t>Professional fees</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1,785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FF0FC"/>
          </w:tcPr>
          <w:p>
            <w:pPr>
              <w:spacing w:after="0"/>
              <w:rPr>
                <w:sz w:val="20"/>
                <w:szCs w:val="20"/>
                <w:color w:val="auto"/>
              </w:rPr>
            </w:pPr>
            <w:r>
              <w:rPr>
                <w:rFonts w:ascii="Arial" w:cs="Arial" w:eastAsia="Arial" w:hAnsi="Arial"/>
                <w:sz w:val="15"/>
                <w:szCs w:val="15"/>
                <w:color w:val="auto"/>
              </w:rPr>
              <w:t>Facility-related and other</w:t>
            </w:r>
          </w:p>
        </w:tc>
        <w:tc>
          <w:tcPr>
            <w:tcW w:w="1080" w:type="dxa"/>
            <w:vAlign w:val="bottom"/>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532</w:t>
            </w:r>
          </w:p>
        </w:tc>
        <w:tc>
          <w:tcPr>
            <w:tcW w:w="2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137</w:t>
            </w:r>
          </w:p>
        </w:tc>
        <w:tc>
          <w:tcPr>
            <w:tcW w:w="2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340" w:type="dxa"/>
            <w:vAlign w:val="bottom"/>
          </w:tcPr>
          <w:p>
            <w:pPr>
              <w:ind w:left="200"/>
              <w:spacing w:after="0"/>
              <w:rPr>
                <w:sz w:val="20"/>
                <w:szCs w:val="20"/>
                <w:color w:val="auto"/>
              </w:rPr>
            </w:pPr>
            <w:r>
              <w:rPr>
                <w:rFonts w:ascii="Arial" w:cs="Arial" w:eastAsia="Arial" w:hAnsi="Arial"/>
                <w:sz w:val="15"/>
                <w:szCs w:val="15"/>
                <w:color w:val="auto"/>
              </w:rPr>
              <w:t>Total general and administrative expenses</w:t>
            </w:r>
          </w:p>
        </w:tc>
        <w:tc>
          <w:tcPr>
            <w:tcW w:w="1760" w:type="dxa"/>
            <w:vAlign w:val="bottom"/>
            <w:gridSpan w:val="2"/>
          </w:tcPr>
          <w:p>
            <w:pPr>
              <w:jc w:val="right"/>
              <w:ind w:right="562"/>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4,364</w:t>
            </w:r>
          </w:p>
        </w:tc>
        <w:tc>
          <w:tcPr>
            <w:tcW w:w="54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1,247</w:t>
            </w:r>
          </w:p>
        </w:tc>
        <w:tc>
          <w:tcPr>
            <w:tcW w:w="20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60" w:firstLine="520"/>
        <w:spacing w:after="0" w:line="268" w:lineRule="auto"/>
        <w:rPr>
          <w:sz w:val="20"/>
          <w:szCs w:val="20"/>
          <w:color w:val="auto"/>
        </w:rPr>
      </w:pPr>
      <w:r>
        <w:rPr>
          <w:rFonts w:ascii="Arial" w:cs="Arial" w:eastAsia="Arial" w:hAnsi="Arial"/>
          <w:sz w:val="14"/>
          <w:szCs w:val="14"/>
          <w:color w:val="auto"/>
        </w:rPr>
        <w:t>General and administrative expenses were $4.4 million for the year ended December 31, 2014, compared to $1.2 million for the year ended December 31, 2013. The increase of $3.2 million was primarily due to an increase in personnel related costs of $1.6 million, which included an increase of $1.0 million in stock-based compensation, an increase in professional fees of $1.1 million and an increase in facility-related and other costs of $0.4 million. Personnel related costs increased primarily due to the hiring of 11 new employees to support corporate operations and business development activities, including the hiring of our Chief Executive Officer in June 2014 and our Chief Financial Officer in November 2014. The increase in professional fees was due to an increase in accounting, audit and legal fees as a result of ongoing business activities. The increase in facility-related and other costs was primarily due to an increase in rent expense resulting from exercising an option of our lease to increase the rentable square footage.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90" w:lineRule="exact"/>
        <w:rPr>
          <w:sz w:val="20"/>
          <w:szCs w:val="20"/>
          <w:color w:val="auto"/>
        </w:rPr>
      </w:pPr>
    </w:p>
    <w:p>
      <w:pPr>
        <w:ind w:firstLine="520"/>
        <w:spacing w:after="0" w:line="270" w:lineRule="auto"/>
        <w:rPr>
          <w:sz w:val="20"/>
          <w:szCs w:val="20"/>
          <w:color w:val="auto"/>
        </w:rPr>
      </w:pPr>
      <w:r>
        <w:rPr>
          <w:rFonts w:ascii="Arial" w:cs="Arial" w:eastAsia="Arial" w:hAnsi="Arial"/>
          <w:sz w:val="14"/>
          <w:szCs w:val="14"/>
          <w:color w:val="auto"/>
        </w:rPr>
        <w:t>Other income (expense), net for the year ended December 31, 2014 was an expense of $1.6 million, compared to an expense of $0.1 million for the year ended December 31, 2013. During the year ended December 31, 2014, there was an increase of $0.2 million in interest expense incurred on borrowings under our loan and security agreement, as compared to the year ended December 31, 2013. In addition, the revaluation of preferred stock warrant liability for the year ended December 31, 2014 consisted of a $1.4 million loss to adjust the fair value of our preferred stock warrant liability due primarily to an increase in the fair value of the underlying Series A-2 convertible preferred stock over that period. This preferred stock warrant liability relates to a warrant we issued in September 2013 in connection with entering into the loan and security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599" w:right="2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5"/>
          <w:szCs w:val="15"/>
          <w:b w:val="1"/>
          <w:bCs w:val="1"/>
          <w:color w:val="auto"/>
        </w:rPr>
        <w:t>Liquidity and Capital Resources</w:t>
      </w:r>
    </w:p>
    <w:p>
      <w:pPr>
        <w:spacing w:after="0" w:line="182" w:lineRule="exact"/>
        <w:rPr>
          <w:sz w:val="20"/>
          <w:szCs w:val="20"/>
          <w:color w:val="auto"/>
        </w:rPr>
      </w:pPr>
    </w:p>
    <w:p>
      <w:pPr>
        <w:jc w:val="both"/>
        <w:ind w:right="160" w:firstLine="520"/>
        <w:spacing w:after="0" w:line="279" w:lineRule="auto"/>
        <w:rPr>
          <w:sz w:val="20"/>
          <w:szCs w:val="20"/>
          <w:color w:val="auto"/>
        </w:rPr>
      </w:pPr>
      <w:r>
        <w:rPr>
          <w:rFonts w:ascii="Arial" w:cs="Arial" w:eastAsia="Arial" w:hAnsi="Arial"/>
          <w:sz w:val="14"/>
          <w:szCs w:val="14"/>
          <w:color w:val="auto"/>
        </w:rPr>
        <w:t>Since our inception, we have not generated any revenue and have incurred recurring net losses.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obtain from additional financings, public offerings, research funding, collaborations, contract and grant revenue or other sources.</w:t>
      </w:r>
    </w:p>
    <w:p>
      <w:pPr>
        <w:spacing w:after="0" w:line="139" w:lineRule="exact"/>
        <w:rPr>
          <w:sz w:val="20"/>
          <w:szCs w:val="20"/>
          <w:color w:val="auto"/>
        </w:rPr>
      </w:pPr>
    </w:p>
    <w:p>
      <w:pPr>
        <w:ind w:right="20" w:firstLine="520"/>
        <w:spacing w:after="0" w:line="252" w:lineRule="auto"/>
        <w:rPr>
          <w:sz w:val="20"/>
          <w:szCs w:val="20"/>
          <w:color w:val="auto"/>
        </w:rPr>
      </w:pPr>
      <w:r>
        <w:rPr>
          <w:rFonts w:ascii="Arial" w:cs="Arial" w:eastAsia="Arial" w:hAnsi="Arial"/>
          <w:sz w:val="15"/>
          <w:szCs w:val="15"/>
          <w:color w:val="auto"/>
        </w:rPr>
        <w:t>From our inception through June 30, 2015, we had financed our operations through private placements of our convertible preferred stock, the issuance of convertible promissory notes and borrowings under the loan and security agreement. Through June 30, 2015, we had received gross proceeds of $137.0 million from such transactions and we had repaid $1.0 million of the total $3.0 million borrowed under the loan and security agreement.</w:t>
      </w:r>
    </w:p>
    <w:p>
      <w:pPr>
        <w:spacing w:after="0" w:line="157" w:lineRule="exact"/>
        <w:rPr>
          <w:sz w:val="20"/>
          <w:szCs w:val="20"/>
          <w:color w:val="auto"/>
        </w:rPr>
      </w:pPr>
    </w:p>
    <w:p>
      <w:pPr>
        <w:ind w:right="20" w:firstLine="520"/>
        <w:spacing w:after="0" w:line="266" w:lineRule="auto"/>
        <w:rPr>
          <w:sz w:val="20"/>
          <w:szCs w:val="20"/>
          <w:color w:val="auto"/>
        </w:rPr>
      </w:pPr>
      <w:r>
        <w:rPr>
          <w:rFonts w:ascii="Arial" w:cs="Arial" w:eastAsia="Arial" w:hAnsi="Arial"/>
          <w:sz w:val="14"/>
          <w:szCs w:val="14"/>
          <w:color w:val="auto"/>
        </w:rPr>
        <w:t>On July 1, 2015, we completed the initial public offering of our common stock, or IPO, and issued and sold 8.5 million shares of our common stock at a public offering price of $18.00 per share, resulting in net proceeds of approximately $139.3 million after deducting underwriting discounts and commissions and estimated offering expenses. The shares issued upon closing of the IPO included 1.1 million shares of our common stock, which were sold pursuant to the underwriters’ full exercise of their option to purchase additional shares of our common stock. Upon the listing of our common stock on NASDAQ on June 26, 2015, all outstanding shares of our convertible preferred stock automatically converted into 22.9 million shares of our common stock. On September 17, 2015, we made a payment of $1.8 million to Comerica to satisfy all amounts owed under the loan and security agreement. The extinguishment amount was comprised of $1.7 million of outstanding principal and $0.1 million of final payment fees and accrued interest. Upon payment, Comerica released us of all security interests held in our assets, except for the cash collateral securing our corporate cards and standby letters of credit, and terminated all loan documents related to the loan and security agreement (other than any indemnification obligations and other provisions which survive termination).</w:t>
      </w:r>
    </w:p>
    <w:p>
      <w:pPr>
        <w:spacing w:after="0" w:line="148" w:lineRule="exact"/>
        <w:rPr>
          <w:sz w:val="20"/>
          <w:szCs w:val="20"/>
          <w:color w:val="auto"/>
        </w:rPr>
      </w:pPr>
    </w:p>
    <w:p>
      <w:pPr>
        <w:ind w:right="160" w:firstLine="520"/>
        <w:spacing w:after="0" w:line="262" w:lineRule="auto"/>
        <w:rPr>
          <w:sz w:val="20"/>
          <w:szCs w:val="20"/>
          <w:color w:val="auto"/>
        </w:rPr>
      </w:pPr>
      <w:r>
        <w:rPr>
          <w:rFonts w:ascii="Arial" w:cs="Arial" w:eastAsia="Arial" w:hAnsi="Arial"/>
          <w:sz w:val="15"/>
          <w:szCs w:val="15"/>
          <w:color w:val="auto"/>
        </w:rPr>
        <w:t>In connection with the extinguishment of the loan and security agreement, we recorded a loss on extinguishment of $0.1 million, which has been recorded as interest expense in the year ended December 31, 2015.</w:t>
      </w:r>
    </w:p>
    <w:p>
      <w:pPr>
        <w:spacing w:after="0" w:line="148" w:lineRule="exact"/>
        <w:rPr>
          <w:sz w:val="20"/>
          <w:szCs w:val="20"/>
          <w:color w:val="auto"/>
        </w:rPr>
      </w:pPr>
    </w:p>
    <w:p>
      <w:pPr>
        <w:jc w:val="both"/>
        <w:ind w:right="100" w:firstLine="520"/>
        <w:spacing w:after="0" w:line="249" w:lineRule="auto"/>
        <w:rPr>
          <w:sz w:val="20"/>
          <w:szCs w:val="20"/>
          <w:color w:val="auto"/>
        </w:rPr>
      </w:pPr>
      <w:r>
        <w:rPr>
          <w:rFonts w:ascii="Arial" w:cs="Arial" w:eastAsia="Arial" w:hAnsi="Arial"/>
          <w:sz w:val="15"/>
          <w:szCs w:val="15"/>
          <w:color w:val="auto"/>
        </w:rPr>
        <w:t>In January 2016 we entered into the License Agreement with NHS, for the development and commercialization of certain of our product candidates in development for the treatment and management of CDI and IBD, including ulcerative colitis and Crohn’s disease. The License Agreement will support the development of our portfolio of products for CDI and IBD in the Licensed Territory, and is expected to provide substantial financial support for our ongoing research and development. We have retained full commercial rights to our entire portfolio of product candidates with respect to the United States and Canada, where we plan to build our own commercial organization.</w:t>
      </w:r>
    </w:p>
    <w:p>
      <w:pPr>
        <w:spacing w:after="0" w:line="159" w:lineRule="exact"/>
        <w:rPr>
          <w:sz w:val="20"/>
          <w:szCs w:val="20"/>
          <w:color w:val="auto"/>
        </w:rPr>
      </w:pPr>
    </w:p>
    <w:p>
      <w:pPr>
        <w:ind w:firstLine="520"/>
        <w:spacing w:after="0" w:line="265" w:lineRule="auto"/>
        <w:rPr>
          <w:sz w:val="20"/>
          <w:szCs w:val="20"/>
          <w:color w:val="auto"/>
        </w:rPr>
      </w:pPr>
      <w:r>
        <w:rPr>
          <w:rFonts w:ascii="Arial" w:cs="Arial" w:eastAsia="Arial" w:hAnsi="Arial"/>
          <w:sz w:val="14"/>
          <w:szCs w:val="14"/>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the parties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Collaboration Product in certain non-EU countries within the Licensed Territory may revert to us if NHS either elects not to pursue commercialization of such Collaboration Product in such country, or fails to meet certain agreed upon milestones for commercialization of such Collaboration Product in such country. If the licensed rights in any country revert to us in this way, then we would pay to NHS a royalty in the mid-single digits on net sales of such Collaboration Product in such country.</w:t>
      </w:r>
    </w:p>
    <w:p>
      <w:pPr>
        <w:spacing w:after="0" w:line="150" w:lineRule="exact"/>
        <w:rPr>
          <w:sz w:val="20"/>
          <w:szCs w:val="20"/>
          <w:color w:val="auto"/>
        </w:rPr>
      </w:pPr>
    </w:p>
    <w:p>
      <w:pPr>
        <w:ind w:right="20" w:firstLine="520"/>
        <w:spacing w:after="0" w:line="268" w:lineRule="auto"/>
        <w:rPr>
          <w:sz w:val="20"/>
          <w:szCs w:val="20"/>
          <w:color w:val="auto"/>
        </w:rPr>
      </w:pPr>
      <w:r>
        <w:rPr>
          <w:rFonts w:ascii="Arial" w:cs="Arial" w:eastAsia="Arial" w:hAnsi="Arial"/>
          <w:sz w:val="14"/>
          <w:szCs w:val="14"/>
          <w:color w:val="auto"/>
        </w:rPr>
        <w:t>In exchange for the license, NHS is obligated to pay the Company an upfront cash payment of $120 million, which the Company received in February 2016. NHS has also agreed to pay the Company tiered royalties, at percentages ranging from the high single digits to high teens, of net sales of NHS Collaboration Products in the Licensed Territory. Additionally, NHS has agreed to pay the Company up to $660 million for the achievement of certain development and regulatory milestones and up to an aggregate of $1.125 billion for the achievement of certain commercial milestones related to the sales of NHS Collaboration Products. We expect to receive a total of $30 million in milestone payments in 2016 associated with the planned initiation of a Phase 1b study for SER-262 in CDI and the anticipated initiation of the Phase 3 clinical trial for SER-109 in CDI. The full potential value of the up-front payment and milestone payments payable by NHS is over $1.9 billion, assuming all products receive regulatory approval and are successfully commercialized.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81" w:name="page82"/>
    <w:bookmarkEnd w:id="81"/>
    <w:p>
      <w:pPr>
        <w:ind w:right="200" w:firstLine="520"/>
        <w:spacing w:after="0" w:line="249" w:lineRule="auto"/>
        <w:rPr>
          <w:sz w:val="20"/>
          <w:szCs w:val="20"/>
          <w:color w:val="auto"/>
        </w:rPr>
      </w:pPr>
      <w:r>
        <w:rPr>
          <w:rFonts w:ascii="Arial" w:cs="Arial" w:eastAsia="Arial" w:hAnsi="Arial"/>
          <w:sz w:val="15"/>
          <w:szCs w:val="15"/>
          <w:color w:val="auto"/>
        </w:rPr>
        <w:t>For the development of NHS Collaboration Products for IBD under a global development plan, we are obligated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will pay the costs of such activities to support approval in the United States and Canada, and NHS will bear the cost of such activities to support approval of NHS Collaboration Products in the Licensed Territory.</w:t>
      </w:r>
    </w:p>
    <w:p>
      <w:pPr>
        <w:spacing w:after="0" w:line="159" w:lineRule="exact"/>
        <w:rPr>
          <w:sz w:val="20"/>
          <w:szCs w:val="20"/>
          <w:color w:val="auto"/>
        </w:rPr>
      </w:pPr>
    </w:p>
    <w:p>
      <w:pPr>
        <w:ind w:right="100" w:firstLine="520"/>
        <w:spacing w:after="0" w:line="270" w:lineRule="auto"/>
        <w:rPr>
          <w:sz w:val="20"/>
          <w:szCs w:val="20"/>
          <w:color w:val="auto"/>
        </w:rPr>
      </w:pPr>
      <w:r>
        <w:rPr>
          <w:rFonts w:ascii="Arial" w:cs="Arial" w:eastAsia="Arial" w:hAnsi="Arial"/>
          <w:sz w:val="14"/>
          <w:szCs w:val="14"/>
          <w:color w:val="auto"/>
        </w:rPr>
        <w:t>With respect to development of NHS Collaboration Products for CDI under a global development plan, we agreed to pay all costs of an ongoing Phase 2 clinical trial for SER-109 and of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December 31, 2015, we had cash, cash equivalents and investments totaling $205.1 million and an accumulated deficit of $82.6 million.</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our sources and uses of cash for each of the periods presented:</w:t>
      </w:r>
    </w:p>
    <w:p>
      <w:pPr>
        <w:spacing w:after="0" w:line="23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8"/>
              </w:rPr>
              <w:t>Year Ended December 31,</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72"/>
              <w:spacing w:after="0" w:line="122" w:lineRule="exact"/>
              <w:rPr>
                <w:sz w:val="20"/>
                <w:szCs w:val="20"/>
                <w:color w:val="auto"/>
              </w:rPr>
            </w:pPr>
            <w:r>
              <w:rPr>
                <w:rFonts w:ascii="Arial" w:cs="Arial" w:eastAsia="Arial" w:hAnsi="Arial"/>
                <w:sz w:val="12"/>
                <w:szCs w:val="12"/>
                <w:b w:val="1"/>
                <w:bCs w:val="1"/>
                <w:color w:val="auto"/>
                <w:w w:val="82"/>
              </w:rPr>
              <w:t>2014</w:t>
            </w: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0"/>
                <w:szCs w:val="10"/>
                <w:color w:val="auto"/>
              </w:rPr>
            </w:pPr>
          </w:p>
        </w:tc>
      </w:tr>
      <w:tr>
        <w:trPr>
          <w:trHeight w:val="122"/>
        </w:trPr>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w w:val="84"/>
              </w:rPr>
              <w:t>(in thousands)</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7"/>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Cash used in operating activities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(40,844)</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(10,358)</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(5,321)</w:t>
            </w:r>
          </w:p>
        </w:tc>
      </w:tr>
      <w:tr>
        <w:trPr>
          <w:trHeight w:val="197"/>
        </w:trPr>
        <w:tc>
          <w:tcPr>
            <w:tcW w:w="4220" w:type="dxa"/>
            <w:vAlign w:val="bottom"/>
          </w:tcPr>
          <w:p>
            <w:pPr>
              <w:spacing w:after="0"/>
              <w:rPr>
                <w:sz w:val="20"/>
                <w:szCs w:val="20"/>
                <w:color w:val="auto"/>
              </w:rPr>
            </w:pPr>
            <w:r>
              <w:rPr>
                <w:rFonts w:ascii="Arial" w:cs="Arial" w:eastAsia="Arial" w:hAnsi="Arial"/>
                <w:sz w:val="15"/>
                <w:szCs w:val="15"/>
                <w:color w:val="auto"/>
              </w:rPr>
              <w:t>Cash used in investing activities</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(137,133)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(1,103)</w:t>
            </w: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(184)</w:t>
            </w:r>
          </w:p>
        </w:tc>
      </w:tr>
      <w:tr>
        <w:trPr>
          <w:trHeight w:val="197"/>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Cash provided by financing activities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137,725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123,992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944</w:t>
            </w:r>
          </w:p>
        </w:tc>
        <w:tc>
          <w:tcPr>
            <w:tcW w:w="100" w:type="dxa"/>
            <w:vAlign w:val="bottom"/>
            <w:shd w:val="clear" w:color="auto" w:fill="CFF0FC"/>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422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(40,252)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112,531</w:t>
            </w:r>
          </w:p>
        </w:tc>
        <w:tc>
          <w:tcPr>
            <w:tcW w:w="20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(4,561)</w:t>
            </w: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right="40" w:firstLine="520"/>
        <w:spacing w:after="0" w:line="247" w:lineRule="auto"/>
        <w:rPr>
          <w:sz w:val="20"/>
          <w:szCs w:val="20"/>
          <w:color w:val="auto"/>
        </w:rPr>
      </w:pPr>
      <w:r>
        <w:rPr>
          <w:rFonts w:ascii="Arial" w:cs="Arial" w:eastAsia="Arial" w:hAnsi="Arial"/>
          <w:sz w:val="15"/>
          <w:szCs w:val="15"/>
          <w:i w:val="1"/>
          <w:iCs w:val="1"/>
          <w:color w:val="auto"/>
        </w:rPr>
        <w:t>Operating Activities</w:t>
      </w:r>
      <w:r>
        <w:rPr>
          <w:rFonts w:ascii="Arial" w:cs="Arial" w:eastAsia="Arial" w:hAnsi="Arial"/>
          <w:sz w:val="15"/>
          <w:szCs w:val="15"/>
          <w:color w:val="auto"/>
        </w:rPr>
        <w:t>. During the year ended December 31, 2015, operating activities used $40.8 million of cash, primarily resulting from our net loss of $54.8 million and cash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by changes in our operating assets and liabilities of $3.1 million, partially offset by non-cash charges of $10.8 million. Net cash provided by changes in our operating assets and liabilities during the year ended December 31, 2015 consisted of a $2.5 million increase in prepaid expenses and other current assets, a $2.7 million increase in accounts payable and a $2.9 million increase in accrued expenses and other current liabilities. The increases in our accounts payable and accrued expenses were due to the timing of payments, an increase in payroll related costs and an increase in amounts accrued for clinical trial and contracted manufacturing expenses. The increase in prepaid expenses and other current assets was due primarily to prepayments made for clinical trial activities.</w:t>
      </w:r>
    </w:p>
    <w:p>
      <w:pPr>
        <w:spacing w:after="0" w:line="160" w:lineRule="exact"/>
        <w:rPr>
          <w:sz w:val="20"/>
          <w:szCs w:val="20"/>
          <w:color w:val="auto"/>
        </w:rPr>
      </w:pPr>
    </w:p>
    <w:p>
      <w:pPr>
        <w:ind w:firstLine="520"/>
        <w:spacing w:after="0" w:line="247" w:lineRule="auto"/>
        <w:rPr>
          <w:sz w:val="20"/>
          <w:szCs w:val="20"/>
          <w:color w:val="auto"/>
        </w:rPr>
      </w:pPr>
      <w:r>
        <w:rPr>
          <w:rFonts w:ascii="Arial" w:cs="Arial" w:eastAsia="Arial" w:hAnsi="Arial"/>
          <w:sz w:val="15"/>
          <w:szCs w:val="15"/>
          <w:color w:val="auto"/>
        </w:rPr>
        <w:t>During the year ended December 31, 2014, operating activities used $10.4 million of cash, primarily resulting from our net loss of $16.7 million, partially offset by non-cash charges of $4.1 million and by cash provided by changes in our operating assets and liabilities of $2.3 million. Net cash provided by changes in our operating assets and liabilities during the year ended December 31, 2014 consisted primarily of a $0.8 million increase in accounts payable and a $1.5 million increase in accrued expenses and other current liabilities. The increase in accounts payable was due to an overall increase in our development activities, primarily driven by expenditures in connection with advancing the development of SER-109. The increase in accrued expenses and other current liabilities was due to an increase in accruals for development and manufacturing costs related to SER-109; payroll and payroll-related costs due primarily to bonuses; legal and audit-related professional fees; and facility- related costs.</w:t>
      </w:r>
    </w:p>
    <w:p>
      <w:pPr>
        <w:spacing w:after="0" w:line="160" w:lineRule="exact"/>
        <w:rPr>
          <w:sz w:val="20"/>
          <w:szCs w:val="20"/>
          <w:color w:val="auto"/>
        </w:rPr>
      </w:pPr>
    </w:p>
    <w:p>
      <w:pPr>
        <w:jc w:val="both"/>
        <w:ind w:right="140" w:firstLine="520"/>
        <w:spacing w:after="0" w:line="332" w:lineRule="auto"/>
        <w:rPr>
          <w:sz w:val="20"/>
          <w:szCs w:val="20"/>
          <w:color w:val="auto"/>
        </w:rPr>
      </w:pPr>
      <w:r>
        <w:rPr>
          <w:rFonts w:ascii="Arial" w:cs="Arial" w:eastAsia="Arial" w:hAnsi="Arial"/>
          <w:sz w:val="12"/>
          <w:szCs w:val="12"/>
          <w:color w:val="auto"/>
        </w:rPr>
        <w:t>During the year ended December 31, 2013, operating activities used $5.3 million of cash, resulting from our net loss of $6.1 million, partially offset by non-cash charges of $0.3 million and from cash provided by changes in our operating assets and liabilities of $0.5 million. Net cash provided by changes in our operating assets and liabilities during the year ended December 31, 2013 consisted primarily of a $0.3 million increase in accounts payable and a $0.2 million increase in accrued expenses and other current liabilities. The increase in accounts payable was due to the timing of vendor invoicing and payments. The increase in accrued expenses and other current liabilities was primarily due to an increase in our accruals for consultant fees.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654" w:right="239" w:bottom="1440" w:gutter="0" w:footer="0" w:header="0"/>
        </w:sectPr>
      </w:pPr>
    </w:p>
    <w:bookmarkStart w:id="82" w:name="page83"/>
    <w:bookmarkEnd w:id="82"/>
    <w:p>
      <w:pPr>
        <w:ind w:right="300" w:firstLine="520"/>
        <w:spacing w:after="0" w:line="387" w:lineRule="auto"/>
        <w:rPr>
          <w:sz w:val="20"/>
          <w:szCs w:val="20"/>
          <w:color w:val="auto"/>
        </w:rPr>
      </w:pPr>
      <w:r>
        <w:rPr>
          <w:rFonts w:ascii="Arial" w:cs="Arial" w:eastAsia="Arial" w:hAnsi="Arial"/>
          <w:sz w:val="12"/>
          <w:szCs w:val="12"/>
          <w:i w:val="1"/>
          <w:iCs w:val="1"/>
          <w:color w:val="auto"/>
        </w:rPr>
        <w:t>Investing Activities</w:t>
      </w:r>
      <w:r>
        <w:rPr>
          <w:rFonts w:ascii="Arial" w:cs="Arial" w:eastAsia="Arial" w:hAnsi="Arial"/>
          <w:sz w:val="12"/>
          <w:szCs w:val="12"/>
          <w:color w:val="auto"/>
        </w:rPr>
        <w:t>. During the year ended December 31, 2015, we used $137.1 million of cash in investing activities, consisting of purchases of investments of $267.8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purchases of property and equipment of $4.4 million, and an increase in our restricted cash balance of $1.4 million; these increases were offset by maturities of investments of $136.4 million.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year ended December 31, 2014, we used $1.1 million of cash in investing activities, primarily consisting of purchases of property and equipment of $1.0 million.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During the years ended December 31, 2013, we used $0.2 million of cash in investing activities, primarily for purchases of property and equipment.</w:t>
      </w:r>
    </w:p>
    <w:p>
      <w:pPr>
        <w:spacing w:after="0" w:line="178" w:lineRule="exact"/>
        <w:rPr>
          <w:sz w:val="20"/>
          <w:szCs w:val="20"/>
          <w:color w:val="auto"/>
        </w:rPr>
      </w:pPr>
    </w:p>
    <w:p>
      <w:pPr>
        <w:ind w:firstLine="520"/>
        <w:spacing w:after="0" w:line="346" w:lineRule="auto"/>
        <w:rPr>
          <w:sz w:val="20"/>
          <w:szCs w:val="20"/>
          <w:color w:val="auto"/>
        </w:rPr>
      </w:pPr>
      <w:r>
        <w:rPr>
          <w:rFonts w:ascii="Arial" w:cs="Arial" w:eastAsia="Arial" w:hAnsi="Arial"/>
          <w:sz w:val="12"/>
          <w:szCs w:val="12"/>
          <w:i w:val="1"/>
          <w:iCs w:val="1"/>
          <w:color w:val="auto"/>
        </w:rPr>
        <w:t>Financing Activities</w:t>
      </w:r>
      <w:r>
        <w:rPr>
          <w:rFonts w:ascii="Arial" w:cs="Arial" w:eastAsia="Arial" w:hAnsi="Arial"/>
          <w:sz w:val="12"/>
          <w:szCs w:val="12"/>
          <w:color w:val="auto"/>
        </w:rPr>
        <w:t>. During the year ended December 31, 2015, net cash provided by financing activities was $137.7 million as a result of proceeds from the issuance of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in connection with our IPO of $143.0 million and proceeds of $0.3 million in connection with the exercise of options and warrants to purchase our common stock. These increases were partially offset by principal repayments of $2.6 million of borrowings under our loan and security agreement and payments of costs in connection with the IPO of $2.9 million.</w:t>
      </w:r>
    </w:p>
    <w:p>
      <w:pPr>
        <w:spacing w:after="0" w:line="103" w:lineRule="exact"/>
        <w:rPr>
          <w:sz w:val="20"/>
          <w:szCs w:val="20"/>
          <w:color w:val="auto"/>
        </w:rPr>
      </w:pPr>
    </w:p>
    <w:p>
      <w:pPr>
        <w:ind w:right="140" w:firstLine="520"/>
        <w:spacing w:after="0" w:line="252" w:lineRule="auto"/>
        <w:rPr>
          <w:sz w:val="20"/>
          <w:szCs w:val="20"/>
          <w:color w:val="auto"/>
        </w:rPr>
      </w:pPr>
      <w:r>
        <w:rPr>
          <w:rFonts w:ascii="Arial" w:cs="Arial" w:eastAsia="Arial" w:hAnsi="Arial"/>
          <w:sz w:val="15"/>
          <w:szCs w:val="15"/>
          <w:color w:val="auto"/>
        </w:rPr>
        <w:t>During the year ended December 31, 2014, net cash provided by financing activities was $124.0 million as a result of net proceeds of $123.2 million received from our sale of Series B, Series C, Series D and Series D-1 convertible preferred stock and $2.0 million from borrowings under our loan and security agreement. These amounts were partially offset by principal repayments of $0.4 million of borrowings under our loan and security agreement and payments of IPO costs of $0.8 million.</w:t>
      </w:r>
    </w:p>
    <w:p>
      <w:pPr>
        <w:spacing w:after="0" w:line="157" w:lineRule="exact"/>
        <w:rPr>
          <w:sz w:val="20"/>
          <w:szCs w:val="20"/>
          <w:color w:val="auto"/>
        </w:rPr>
      </w:pPr>
    </w:p>
    <w:p>
      <w:pPr>
        <w:ind w:right="160" w:firstLine="520"/>
        <w:spacing w:after="0" w:line="262" w:lineRule="auto"/>
        <w:rPr>
          <w:sz w:val="20"/>
          <w:szCs w:val="20"/>
          <w:color w:val="auto"/>
        </w:rPr>
      </w:pPr>
      <w:r>
        <w:rPr>
          <w:rFonts w:ascii="Arial" w:cs="Arial" w:eastAsia="Arial" w:hAnsi="Arial"/>
          <w:sz w:val="15"/>
          <w:szCs w:val="15"/>
          <w:color w:val="auto"/>
        </w:rPr>
        <w:t>During the year ended December 31, 2013, net cash provided by financing activities was $0.9 million as a result of net proceeds of $0.9 million borrowings under our loan and security agreement.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Funding Requirements</w:t>
      </w:r>
    </w:p>
    <w:p>
      <w:pPr>
        <w:spacing w:after="0" w:line="90" w:lineRule="exact"/>
        <w:rPr>
          <w:sz w:val="20"/>
          <w:szCs w:val="20"/>
          <w:color w:val="auto"/>
        </w:rPr>
      </w:pPr>
    </w:p>
    <w:p>
      <w:pPr>
        <w:ind w:right="320" w:firstLine="520"/>
        <w:spacing w:after="0" w:line="252" w:lineRule="auto"/>
        <w:rPr>
          <w:sz w:val="20"/>
          <w:szCs w:val="20"/>
          <w:color w:val="auto"/>
        </w:rPr>
      </w:pPr>
      <w:r>
        <w:rPr>
          <w:rFonts w:ascii="Arial" w:cs="Arial" w:eastAsia="Arial" w:hAnsi="Arial"/>
          <w:sz w:val="15"/>
          <w:szCs w:val="15"/>
          <w:color w:val="auto"/>
        </w:rPr>
        <w:t>We expect our expenses to increase substantially in connection with our ongoing development activities related to SER-109, which is still in clinical development, and our follow-on therapeutics and other programs. In addition we expect to continue to incur additional costs associated with operating as a public company. We anticipate that our expenses will increase substantially if and as we:</w:t>
      </w:r>
    </w:p>
    <w:p>
      <w:pPr>
        <w:spacing w:after="0" w:line="69" w:lineRule="exact"/>
        <w:rPr>
          <w:sz w:val="20"/>
          <w:szCs w:val="20"/>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conduct our Phase 2 clinical study of SER-109, our lead product candidate, and potentially advance to Phase 3 clinical studies;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conduct our Phase 1 clinical study of SER-287;</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commencing clinical trials for SER-262;</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seek to enhance our microbiome therapeutics platform and discover and develop additional product candidates, including SER-155;</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90" w:lineRule="exact"/>
        <w:rPr>
          <w:rFonts w:ascii="Arial" w:cs="Arial" w:eastAsia="Arial" w:hAnsi="Arial"/>
          <w:sz w:val="15"/>
          <w:szCs w:val="15"/>
          <w:color w:val="auto"/>
        </w:rPr>
      </w:pPr>
    </w:p>
    <w:p>
      <w:pPr>
        <w:ind w:left="1040" w:right="20" w:hanging="518"/>
        <w:spacing w:after="0" w:line="262" w:lineRule="auto"/>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manufacturing capabilities to commercialize any products for which we may obtain regulatory approval;</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90" w:lineRule="exact"/>
        <w:rPr>
          <w:rFonts w:ascii="Arial" w:cs="Arial" w:eastAsia="Arial" w:hAnsi="Arial"/>
          <w:sz w:val="15"/>
          <w:szCs w:val="15"/>
          <w:color w:val="auto"/>
        </w:rPr>
      </w:pPr>
    </w:p>
    <w:p>
      <w:pPr>
        <w:ind w:left="1040" w:right="140" w:hanging="518"/>
        <w:spacing w:after="0" w:line="262" w:lineRule="auto"/>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experience any delays or encounter any issues with any of the above, including but not limited to failed studies, complex results, safety issues or other regulatory challenges; and</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perform our obligations under the collaboration agreement with Nestlé.</w:t>
      </w:r>
    </w:p>
    <w:p>
      <w:pPr>
        <w:spacing w:after="0" w:line="178" w:lineRule="exact"/>
        <w:rPr>
          <w:sz w:val="20"/>
          <w:szCs w:val="20"/>
          <w:color w:val="auto"/>
        </w:rPr>
      </w:pPr>
    </w:p>
    <w:p>
      <w:pPr>
        <w:ind w:right="100" w:firstLine="520"/>
        <w:spacing w:after="0" w:line="279" w:lineRule="auto"/>
        <w:rPr>
          <w:sz w:val="20"/>
          <w:szCs w:val="20"/>
          <w:color w:val="auto"/>
        </w:rPr>
      </w:pPr>
      <w:r>
        <w:rPr>
          <w:rFonts w:ascii="Arial" w:cs="Arial" w:eastAsia="Arial" w:hAnsi="Arial"/>
          <w:sz w:val="14"/>
          <w:szCs w:val="14"/>
          <w:color w:val="auto"/>
        </w:rPr>
        <w:t>We expect that our existing cash, cash equivalents and investments will enable us to fund our operating expenses and capital expenditure requirements into 2018. We have based this estimate on assumptions that may prove to be wrong, and we may use our available capital resources sooner than we currently expect. Because of the numerous risks and uncertainties associated with the development of SER-109 or our follow-on programs, we are unable to estimate the amounts of increased capital outlays and operating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654" w:right="279" w:bottom="1440" w:gutter="0" w:footer="0" w:header="0"/>
        </w:sectPr>
      </w:pPr>
    </w:p>
    <w:bookmarkStart w:id="83" w:name="page84"/>
    <w:bookmarkEnd w:id="83"/>
    <w:p>
      <w:pPr>
        <w:ind w:right="280"/>
        <w:spacing w:after="0" w:line="262" w:lineRule="auto"/>
        <w:rPr>
          <w:sz w:val="20"/>
          <w:szCs w:val="20"/>
          <w:color w:val="auto"/>
        </w:rPr>
      </w:pPr>
      <w:r>
        <w:rPr>
          <w:rFonts w:ascii="Arial" w:cs="Arial" w:eastAsia="Arial" w:hAnsi="Arial"/>
          <w:sz w:val="15"/>
          <w:szCs w:val="15"/>
          <w:color w:val="auto"/>
        </w:rPr>
        <w:t>expenses associated with completing the research and development of our product candidates. Our future capital requirements for SER-109 or our other programs will depend on many factors, including:</w:t>
      </w:r>
    </w:p>
    <w:p>
      <w:pPr>
        <w:spacing w:after="0" w:line="61" w:lineRule="exact"/>
        <w:rPr>
          <w:sz w:val="20"/>
          <w:szCs w:val="20"/>
          <w:color w:val="auto"/>
        </w:rPr>
      </w:pPr>
    </w:p>
    <w:p>
      <w:pPr>
        <w:ind w:left="1040" w:hanging="51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progress and results of our Phase 2 clinical study of SER-109;</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progress and results of our Phase 1 clinical study of SER-287;</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90" w:lineRule="exact"/>
        <w:rPr>
          <w:rFonts w:ascii="Arial" w:cs="Arial" w:eastAsia="Arial" w:hAnsi="Arial"/>
          <w:sz w:val="15"/>
          <w:szCs w:val="15"/>
          <w:color w:val="auto"/>
        </w:rPr>
      </w:pPr>
    </w:p>
    <w:p>
      <w:pPr>
        <w:ind w:left="1040" w:hanging="518"/>
        <w:spacing w:after="0"/>
        <w:tabs>
          <w:tab w:leader="none" w:pos="10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development, laboratory testing and clinical trials for our other product candidates, including SER-262 and SER-155;</w:t>
      </w:r>
    </w:p>
    <w:p>
      <w:pPr>
        <w:spacing w:after="0" w:line="124" w:lineRule="exact"/>
        <w:rPr>
          <w:rFonts w:ascii="Arial" w:cs="Arial" w:eastAsia="Arial" w:hAnsi="Arial"/>
          <w:sz w:val="12"/>
          <w:szCs w:val="12"/>
          <w:color w:val="auto"/>
        </w:rPr>
      </w:pPr>
    </w:p>
    <w:p>
      <w:pPr>
        <w:ind w:left="1040" w:hanging="51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90" w:lineRule="exact"/>
        <w:rPr>
          <w:rFonts w:ascii="Arial" w:cs="Arial" w:eastAsia="Arial" w:hAnsi="Arial"/>
          <w:sz w:val="15"/>
          <w:szCs w:val="15"/>
          <w:color w:val="auto"/>
        </w:rPr>
      </w:pPr>
    </w:p>
    <w:p>
      <w:pPr>
        <w:ind w:left="1040" w:right="260" w:hanging="518"/>
        <w:spacing w:after="0" w:line="262" w:lineRule="auto"/>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90" w:lineRule="exact"/>
        <w:rPr>
          <w:rFonts w:ascii="Arial" w:cs="Arial" w:eastAsia="Arial" w:hAnsi="Arial"/>
          <w:sz w:val="15"/>
          <w:szCs w:val="15"/>
          <w:color w:val="auto"/>
        </w:rPr>
      </w:pPr>
    </w:p>
    <w:p>
      <w:pPr>
        <w:ind w:left="1040" w:right="220" w:hanging="518"/>
        <w:spacing w:after="0" w:line="262" w:lineRule="auto"/>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60" w:lineRule="exact"/>
        <w:rPr>
          <w:rFonts w:ascii="Arial" w:cs="Arial" w:eastAsia="Arial" w:hAnsi="Arial"/>
          <w:sz w:val="15"/>
          <w:szCs w:val="15"/>
          <w:color w:val="auto"/>
        </w:rPr>
      </w:pPr>
    </w:p>
    <w:p>
      <w:pPr>
        <w:ind w:left="1040" w:hanging="51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90" w:lineRule="exact"/>
        <w:rPr>
          <w:rFonts w:ascii="Arial" w:cs="Arial" w:eastAsia="Arial" w:hAnsi="Arial"/>
          <w:sz w:val="15"/>
          <w:szCs w:val="15"/>
          <w:color w:val="auto"/>
        </w:rPr>
      </w:pPr>
    </w:p>
    <w:p>
      <w:pPr>
        <w:ind w:left="1040" w:right="20" w:hanging="518"/>
        <w:spacing w:after="0" w:line="262" w:lineRule="auto"/>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extent to which we acquire or invest in businesses, products and technologies, including entering into licensing or collaboration arrangements for product candidates, although we currently have no commitments or agreements to complete any such transactions.</w:t>
      </w:r>
    </w:p>
    <w:p>
      <w:pPr>
        <w:spacing w:after="0" w:line="148" w:lineRule="exact"/>
        <w:rPr>
          <w:sz w:val="20"/>
          <w:szCs w:val="20"/>
          <w:color w:val="auto"/>
        </w:rPr>
      </w:pPr>
    </w:p>
    <w:p>
      <w:pPr>
        <w:jc w:val="both"/>
        <w:ind w:right="180" w:firstLine="520"/>
        <w:spacing w:after="0" w:line="249" w:lineRule="auto"/>
        <w:rPr>
          <w:sz w:val="20"/>
          <w:szCs w:val="20"/>
          <w:color w:val="auto"/>
        </w:rPr>
      </w:pPr>
      <w:r>
        <w:rPr>
          <w:rFonts w:ascii="Arial" w:cs="Arial" w:eastAsia="Arial" w:hAnsi="Arial"/>
          <w:sz w:val="15"/>
          <w:szCs w:val="15"/>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59"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59" w:lineRule="exact"/>
        <w:rPr>
          <w:sz w:val="20"/>
          <w:szCs w:val="20"/>
          <w:color w:val="auto"/>
        </w:rPr>
      </w:pPr>
    </w:p>
    <w:p>
      <w:pPr>
        <w:ind w:right="80" w:firstLine="520"/>
        <w:spacing w:after="0" w:line="273" w:lineRule="auto"/>
        <w:rPr>
          <w:sz w:val="20"/>
          <w:szCs w:val="20"/>
          <w:color w:val="auto"/>
        </w:rPr>
      </w:pPr>
      <w:r>
        <w:rPr>
          <w:rFonts w:ascii="Arial" w:cs="Arial" w:eastAsia="Arial" w:hAnsi="Arial"/>
          <w:sz w:val="14"/>
          <w:szCs w:val="14"/>
          <w:color w:val="auto"/>
        </w:rPr>
        <w:t>If we raise additional funds through collaborations, strategic alliances or licensing arrangements with third parties, in addition to the collaboration with Nestlé,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 summarizes our contractual obligations at December 31, 2015 and the effect such obligations are expected to have on our liquidity and cash flows in future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Payments Due by Period</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5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jc w:val="right"/>
              <w:ind w:right="354"/>
              <w:spacing w:after="0" w:line="105" w:lineRule="exact"/>
              <w:rPr>
                <w:sz w:val="20"/>
                <w:szCs w:val="20"/>
                <w:color w:val="auto"/>
              </w:rPr>
            </w:pPr>
            <w:r>
              <w:rPr>
                <w:rFonts w:ascii="Arial" w:cs="Arial" w:eastAsia="Arial" w:hAnsi="Arial"/>
                <w:sz w:val="12"/>
                <w:szCs w:val="12"/>
                <w:b w:val="1"/>
                <w:bCs w:val="1"/>
                <w:color w:val="auto"/>
              </w:rPr>
              <w:t>1 Year</w:t>
            </w: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center"/>
              <w:ind w:right="114"/>
              <w:spacing w:after="0" w:line="105" w:lineRule="exact"/>
              <w:rPr>
                <w:sz w:val="20"/>
                <w:szCs w:val="20"/>
                <w:color w:val="auto"/>
              </w:rPr>
            </w:pPr>
            <w:r>
              <w:rPr>
                <w:rFonts w:ascii="Arial" w:cs="Arial" w:eastAsia="Arial" w:hAnsi="Arial"/>
                <w:sz w:val="12"/>
                <w:szCs w:val="12"/>
                <w:b w:val="1"/>
                <w:bCs w:val="1"/>
                <w:color w:val="auto"/>
                <w:w w:val="92"/>
              </w:rPr>
              <w:t>More Than</w:t>
            </w:r>
          </w:p>
        </w:tc>
        <w:tc>
          <w:tcPr>
            <w:tcW w:w="100" w:type="dxa"/>
            <w:vAlign w:val="bottom"/>
          </w:tcPr>
          <w:p>
            <w:pPr>
              <w:spacing w:after="0"/>
              <w:rPr>
                <w:sz w:val="9"/>
                <w:szCs w:val="9"/>
                <w:color w:val="auto"/>
              </w:rPr>
            </w:pPr>
          </w:p>
        </w:tc>
      </w:tr>
      <w:tr>
        <w:trPr>
          <w:trHeight w:val="138"/>
        </w:trPr>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12"/>
              <w:spacing w:after="0"/>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11"/>
                <w:szCs w:val="11"/>
                <w:color w:val="auto"/>
              </w:rPr>
            </w:pPr>
          </w:p>
        </w:tc>
        <w:tc>
          <w:tcPr>
            <w:tcW w:w="940" w:type="dxa"/>
            <w:vAlign w:val="bottom"/>
          </w:tcPr>
          <w:p>
            <w:pPr>
              <w:jc w:val="right"/>
              <w:ind w:right="274"/>
              <w:spacing w:after="0"/>
              <w:rPr>
                <w:sz w:val="20"/>
                <w:szCs w:val="20"/>
                <w:color w:val="auto"/>
              </w:rPr>
            </w:pPr>
            <w:r>
              <w:rPr>
                <w:rFonts w:ascii="Arial" w:cs="Arial" w:eastAsia="Arial" w:hAnsi="Arial"/>
                <w:sz w:val="12"/>
                <w:szCs w:val="12"/>
                <w:b w:val="1"/>
                <w:bCs w:val="1"/>
                <w:color w:val="auto"/>
                <w:w w:val="97"/>
              </w:rPr>
              <w:t>Less Than</w:t>
            </w:r>
          </w:p>
        </w:tc>
        <w:tc>
          <w:tcPr>
            <w:tcW w:w="280" w:type="dxa"/>
            <w:vAlign w:val="bottom"/>
          </w:tcPr>
          <w:p>
            <w:pPr>
              <w:spacing w:after="0"/>
              <w:rPr>
                <w:sz w:val="11"/>
                <w:szCs w:val="11"/>
                <w:color w:val="auto"/>
              </w:rPr>
            </w:pPr>
          </w:p>
        </w:tc>
        <w:tc>
          <w:tcPr>
            <w:tcW w:w="1080" w:type="dxa"/>
            <w:vAlign w:val="bottom"/>
          </w:tcPr>
          <w:p>
            <w:pPr>
              <w:jc w:val="center"/>
              <w:ind w:right="254"/>
              <w:spacing w:after="0"/>
              <w:rPr>
                <w:sz w:val="20"/>
                <w:szCs w:val="20"/>
                <w:color w:val="auto"/>
              </w:rPr>
            </w:pPr>
            <w:r>
              <w:rPr>
                <w:rFonts w:ascii="Arial" w:cs="Arial" w:eastAsia="Arial" w:hAnsi="Arial"/>
                <w:sz w:val="12"/>
                <w:szCs w:val="12"/>
                <w:b w:val="1"/>
                <w:bCs w:val="1"/>
                <w:color w:val="auto"/>
                <w:w w:val="86"/>
              </w:rPr>
              <w:t>1 - 3 Years</w:t>
            </w:r>
          </w:p>
        </w:tc>
        <w:tc>
          <w:tcPr>
            <w:tcW w:w="220" w:type="dxa"/>
            <w:vAlign w:val="bottom"/>
          </w:tcPr>
          <w:p>
            <w:pPr>
              <w:spacing w:after="0"/>
              <w:rPr>
                <w:sz w:val="11"/>
                <w:szCs w:val="11"/>
                <w:color w:val="auto"/>
              </w:rPr>
            </w:pPr>
          </w:p>
        </w:tc>
        <w:tc>
          <w:tcPr>
            <w:tcW w:w="980" w:type="dxa"/>
            <w:vAlign w:val="bottom"/>
          </w:tcPr>
          <w:p>
            <w:pPr>
              <w:jc w:val="right"/>
              <w:ind w:right="312"/>
              <w:spacing w:after="0"/>
              <w:rPr>
                <w:sz w:val="20"/>
                <w:szCs w:val="20"/>
                <w:color w:val="auto"/>
              </w:rPr>
            </w:pPr>
            <w:r>
              <w:rPr>
                <w:rFonts w:ascii="Arial" w:cs="Arial" w:eastAsia="Arial" w:hAnsi="Arial"/>
                <w:sz w:val="12"/>
                <w:szCs w:val="12"/>
                <w:b w:val="1"/>
                <w:bCs w:val="1"/>
                <w:color w:val="auto"/>
                <w:w w:val="96"/>
              </w:rPr>
              <w:t>4 - 5 Years</w:t>
            </w:r>
          </w:p>
        </w:tc>
        <w:tc>
          <w:tcPr>
            <w:tcW w:w="26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4"/>
              </w:rPr>
              <w:t>5 Years</w:t>
            </w:r>
          </w:p>
        </w:tc>
      </w:tr>
      <w:tr>
        <w:trPr>
          <w:trHeight w:val="122"/>
        </w:trPr>
        <w:tc>
          <w:tcPr>
            <w:tcW w:w="5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14"/>
              <w:spacing w:after="0" w:line="122" w:lineRule="exact"/>
              <w:rPr>
                <w:sz w:val="20"/>
                <w:szCs w:val="20"/>
                <w:color w:val="auto"/>
              </w:rPr>
            </w:pPr>
            <w:r>
              <w:rPr>
                <w:rFonts w:ascii="Arial" w:cs="Arial" w:eastAsia="Arial" w:hAnsi="Arial"/>
                <w:sz w:val="12"/>
                <w:szCs w:val="12"/>
                <w:b w:val="1"/>
                <w:bCs w:val="1"/>
                <w:color w:val="auto"/>
                <w:w w:val="87"/>
              </w:rPr>
              <w:t>(in thousands)</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commitments</w:t>
            </w:r>
            <w:r>
              <w:rPr>
                <w:rFonts w:ascii="Arial" w:cs="Arial" w:eastAsia="Arial" w:hAnsi="Arial"/>
                <w:sz w:val="12"/>
                <w:szCs w:val="12"/>
                <w:color w:val="auto"/>
              </w:rPr>
              <w:t>(1)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rPr>
              <w:t>3,637</w:t>
            </w:r>
          </w:p>
        </w:tc>
        <w:tc>
          <w:tcPr>
            <w:tcW w:w="28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ind w:right="14"/>
              <w:spacing w:after="0"/>
              <w:rPr>
                <w:sz w:val="20"/>
                <w:szCs w:val="20"/>
                <w:color w:val="auto"/>
              </w:rPr>
            </w:pPr>
            <w:r>
              <w:rPr>
                <w:rFonts w:ascii="Arial" w:cs="Arial" w:eastAsia="Arial" w:hAnsi="Arial"/>
                <w:sz w:val="15"/>
                <w:szCs w:val="15"/>
                <w:color w:val="auto"/>
              </w:rPr>
              <w:t>1,274</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ind w:right="114"/>
              <w:spacing w:after="0"/>
              <w:rPr>
                <w:sz w:val="20"/>
                <w:szCs w:val="20"/>
                <w:color w:val="auto"/>
              </w:rPr>
            </w:pPr>
            <w:r>
              <w:rPr>
                <w:rFonts w:ascii="Arial" w:cs="Arial" w:eastAsia="Arial" w:hAnsi="Arial"/>
                <w:sz w:val="15"/>
                <w:szCs w:val="15"/>
                <w:color w:val="auto"/>
              </w:rPr>
              <w:t>1,805</w:t>
            </w:r>
          </w:p>
        </w:tc>
        <w:tc>
          <w:tcPr>
            <w:tcW w:w="22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5"/>
                <w:szCs w:val="15"/>
                <w:color w:val="auto"/>
              </w:rPr>
              <w:t>558</w:t>
            </w:r>
          </w:p>
        </w:tc>
        <w:tc>
          <w:tcPr>
            <w:tcW w:w="2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ind w:left="740"/>
              <w:spacing w:after="0"/>
              <w:rPr>
                <w:sz w:val="20"/>
                <w:szCs w:val="20"/>
                <w:color w:val="auto"/>
              </w:rPr>
            </w:pPr>
            <w:r>
              <w:rPr>
                <w:rFonts w:ascii="Arial" w:cs="Arial" w:eastAsia="Arial" w:hAnsi="Arial"/>
                <w:sz w:val="15"/>
                <w:szCs w:val="15"/>
                <w:color w:val="auto"/>
              </w:rPr>
              <w:t>—</w:t>
            </w:r>
          </w:p>
        </w:tc>
      </w:tr>
      <w:tr>
        <w:trPr>
          <w:trHeight w:val="186"/>
        </w:trPr>
        <w:tc>
          <w:tcPr>
            <w:tcW w:w="530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2"/>
              <w:spacing w:after="0"/>
              <w:rPr>
                <w:sz w:val="20"/>
                <w:szCs w:val="20"/>
                <w:color w:val="auto"/>
              </w:rPr>
            </w:pPr>
            <w:r>
              <w:rPr>
                <w:rFonts w:ascii="Arial" w:cs="Arial" w:eastAsia="Arial" w:hAnsi="Arial"/>
                <w:sz w:val="15"/>
                <w:szCs w:val="15"/>
                <w:color w:val="auto"/>
              </w:rPr>
              <w:t>3,637</w:t>
            </w:r>
          </w:p>
        </w:tc>
        <w:tc>
          <w:tcPr>
            <w:tcW w:w="2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4"/>
              <w:spacing w:after="0"/>
              <w:rPr>
                <w:sz w:val="20"/>
                <w:szCs w:val="20"/>
                <w:color w:val="auto"/>
              </w:rPr>
            </w:pPr>
            <w:r>
              <w:rPr>
                <w:rFonts w:ascii="Arial" w:cs="Arial" w:eastAsia="Arial" w:hAnsi="Arial"/>
                <w:sz w:val="15"/>
                <w:szCs w:val="15"/>
                <w:color w:val="auto"/>
              </w:rPr>
              <w:t>1,274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14"/>
              <w:spacing w:after="0"/>
              <w:rPr>
                <w:sz w:val="20"/>
                <w:szCs w:val="20"/>
                <w:color w:val="auto"/>
              </w:rPr>
            </w:pPr>
            <w:r>
              <w:rPr>
                <w:rFonts w:ascii="Arial" w:cs="Arial" w:eastAsia="Arial" w:hAnsi="Arial"/>
                <w:sz w:val="15"/>
                <w:szCs w:val="15"/>
                <w:color w:val="auto"/>
              </w:rPr>
              <w:t>1,805</w:t>
            </w:r>
          </w:p>
        </w:tc>
        <w:tc>
          <w:tcPr>
            <w:tcW w:w="2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2"/>
              <w:spacing w:after="0"/>
              <w:rPr>
                <w:sz w:val="20"/>
                <w:szCs w:val="20"/>
                <w:color w:val="auto"/>
              </w:rPr>
            </w:pPr>
            <w:r>
              <w:rPr>
                <w:rFonts w:ascii="Arial" w:cs="Arial" w:eastAsia="Arial" w:hAnsi="Arial"/>
                <w:sz w:val="15"/>
                <w:szCs w:val="15"/>
                <w:color w:val="auto"/>
              </w:rPr>
              <w:t>558</w:t>
            </w:r>
          </w:p>
        </w:tc>
        <w:tc>
          <w:tcPr>
            <w:tcW w:w="2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4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21539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15390" cy="6985"/>
                    </a:xfrm>
                    <a:prstGeom prst="rect">
                      <a:avLst/>
                    </a:prstGeom>
                    <a:noFill/>
                  </pic:spPr>
                </pic:pic>
              </a:graphicData>
            </a:graphic>
          </wp:anchor>
        </w:drawing>
      </w:r>
    </w:p>
    <w:p>
      <w:pPr>
        <w:spacing w:after="0" w:line="100" w:lineRule="exact"/>
        <w:rPr>
          <w:sz w:val="20"/>
          <w:szCs w:val="20"/>
          <w:color w:val="auto"/>
        </w:rPr>
      </w:pPr>
    </w:p>
    <w:p>
      <w:pPr>
        <w:ind w:right="500"/>
        <w:spacing w:after="0" w:line="262" w:lineRule="auto"/>
        <w:rPr>
          <w:sz w:val="20"/>
          <w:szCs w:val="20"/>
          <w:color w:val="auto"/>
        </w:rPr>
      </w:pPr>
      <w:r>
        <w:rPr>
          <w:rFonts w:ascii="Arial" w:cs="Arial" w:eastAsia="Arial" w:hAnsi="Arial"/>
          <w:sz w:val="15"/>
          <w:szCs w:val="15"/>
          <w:color w:val="auto"/>
        </w:rPr>
        <w:t>Amounts in the table reflect payments due for (i) our laboratory and office space in Cambridge, Massachusetts under an operating lease agreement that expires on January 31, 2018, (ii) our sublease for office space in Cambridge, Massachusetts, with a term expiring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654" w:right="219" w:bottom="1440" w:gutter="0" w:footer="0" w:header="0"/>
        </w:sectPr>
      </w:pPr>
    </w:p>
    <w:bookmarkStart w:id="84" w:name="page85"/>
    <w:bookmarkEnd w:id="84"/>
    <w:p>
      <w:pPr>
        <w:ind w:right="20"/>
        <w:spacing w:after="0" w:line="249" w:lineRule="auto"/>
        <w:rPr>
          <w:sz w:val="20"/>
          <w:szCs w:val="20"/>
          <w:color w:val="auto"/>
        </w:rPr>
      </w:pPr>
      <w:r>
        <w:rPr>
          <w:rFonts w:ascii="Arial" w:cs="Arial" w:eastAsia="Arial" w:hAnsi="Arial"/>
          <w:sz w:val="15"/>
          <w:szCs w:val="15"/>
          <w:color w:val="auto"/>
        </w:rPr>
        <w:t>in May 2016, and (iii) our lease for office and laboratory space in Cambridge, Massachusetts with a term expiring April 2020. The table does not include our lease for office, laboratory and pilot manufacturing space at 200 Sidney Street in Cambridge, Massachusetts with a term commencing in March 2016 and expiring in November 2023. Amounts due under this lease total $41.8 million, with $0.9 million due in less than 1 year, $11.2 million due in 1-3 years, $11.9 million due in 4-5 years and $17.8 million due in more than 5 years. These amounts are not included within the table above as our lease for the Sidney Street facility had not commenced as of December 31, 2015.</w:t>
      </w:r>
    </w:p>
    <w:p>
      <w:pPr>
        <w:spacing w:after="0" w:line="159" w:lineRule="exact"/>
        <w:rPr>
          <w:sz w:val="20"/>
          <w:szCs w:val="20"/>
          <w:color w:val="auto"/>
        </w:rPr>
      </w:pPr>
    </w:p>
    <w:p>
      <w:pPr>
        <w:ind w:firstLine="520"/>
        <w:spacing w:after="0" w:line="387" w:lineRule="auto"/>
        <w:rPr>
          <w:sz w:val="20"/>
          <w:szCs w:val="20"/>
          <w:color w:val="auto"/>
        </w:rPr>
      </w:pPr>
      <w:r>
        <w:rPr>
          <w:rFonts w:ascii="Arial" w:cs="Arial" w:eastAsia="Arial" w:hAnsi="Arial"/>
          <w:sz w:val="12"/>
          <w:szCs w:val="12"/>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 cancelable obligations under these agreements are not material.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Off-Balance Sheet Arrangements</w:t>
      </w:r>
    </w:p>
    <w:p>
      <w:pPr>
        <w:spacing w:after="0" w:line="182" w:lineRule="exact"/>
        <w:rPr>
          <w:sz w:val="20"/>
          <w:szCs w:val="20"/>
          <w:color w:val="auto"/>
        </w:rPr>
      </w:pPr>
    </w:p>
    <w:p>
      <w:pPr>
        <w:ind w:right="240" w:firstLine="520"/>
        <w:spacing w:after="0" w:line="262" w:lineRule="auto"/>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in the rules and regulations of the Securities and Exchange Commission.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a discussion of recent accounting standards see Note 2, Summary of Significant Accounting Policies, to our consolidated financial statements included in this report.</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Fluctuation Risk</w:t>
      </w:r>
    </w:p>
    <w:p>
      <w:pPr>
        <w:spacing w:after="0" w:line="90" w:lineRule="exact"/>
        <w:rPr>
          <w:sz w:val="20"/>
          <w:szCs w:val="20"/>
          <w:color w:val="auto"/>
        </w:rPr>
      </w:pPr>
    </w:p>
    <w:p>
      <w:pPr>
        <w:ind w:firstLine="520"/>
        <w:spacing w:after="0" w:line="273" w:lineRule="auto"/>
        <w:rPr>
          <w:sz w:val="20"/>
          <w:szCs w:val="20"/>
          <w:color w:val="auto"/>
        </w:rPr>
      </w:pPr>
      <w:r>
        <w:rPr>
          <w:rFonts w:ascii="Arial" w:cs="Arial" w:eastAsia="Arial" w:hAnsi="Arial"/>
          <w:sz w:val="14"/>
          <w:szCs w:val="14"/>
          <w:color w:val="auto"/>
        </w:rPr>
        <w:t>We are exposed to market risk related to changes in interest rates. As of December 31, 2015, our cash, cash equivalents and investments consisted of cash, money market accounts and investments in corporate bonds and commercial paper with remaining maturities of less than one year.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financial statements required to be filed pursuant to this Item 8 are appended to this report. An index of those financial statements is found in Item 15.</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Limitations on Effectiveness of Controls and Procedures</w:t>
      </w:r>
    </w:p>
    <w:p>
      <w:pPr>
        <w:spacing w:after="0" w:line="90" w:lineRule="exact"/>
        <w:rPr>
          <w:sz w:val="20"/>
          <w:szCs w:val="20"/>
          <w:color w:val="auto"/>
        </w:rPr>
      </w:pPr>
    </w:p>
    <w:p>
      <w:pPr>
        <w:jc w:val="both"/>
        <w:ind w:right="60" w:firstLine="764"/>
        <w:spacing w:after="0" w:line="279"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90" w:lineRule="exact"/>
        <w:rPr>
          <w:sz w:val="20"/>
          <w:szCs w:val="20"/>
          <w:color w:val="auto"/>
        </w:rPr>
      </w:pPr>
    </w:p>
    <w:p>
      <w:pPr>
        <w:ind w:right="120" w:firstLine="520"/>
        <w:spacing w:after="0" w:line="249"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the reasonable assurance level.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479" w:right="239" w:bottom="1440" w:gutter="0" w:footer="0" w:header="0"/>
        </w:sectPr>
      </w:pPr>
    </w:p>
    <w:bookmarkStart w:id="85" w:name="page86"/>
    <w:bookmarkEnd w:id="85"/>
    <w:p>
      <w:pPr>
        <w:ind w:left="260"/>
        <w:spacing w:after="0"/>
        <w:rPr>
          <w:sz w:val="20"/>
          <w:szCs w:val="20"/>
          <w:color w:val="auto"/>
        </w:rPr>
      </w:pPr>
      <w:r>
        <w:rPr>
          <w:rFonts w:ascii="Arial" w:cs="Arial" w:eastAsia="Arial" w:hAnsi="Arial"/>
          <w:sz w:val="15"/>
          <w:szCs w:val="15"/>
          <w:b w:val="1"/>
          <w:bCs w:val="1"/>
          <w:i w:val="1"/>
          <w:iCs w:val="1"/>
          <w:color w:val="auto"/>
        </w:rPr>
        <w:t>Management’s Annual Report on Internal Control Over Financial Reporting</w:t>
      </w:r>
    </w:p>
    <w:p>
      <w:pPr>
        <w:spacing w:after="0" w:line="90"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This Annual Report on Form 10-K does not include a report of management’s assessment regarding internal control over financial reporting or an attestation report of our registered public accounting firm due to a transition period established by the rules of the SEC for newly public companies.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90" w:lineRule="exact"/>
        <w:rPr>
          <w:sz w:val="20"/>
          <w:szCs w:val="20"/>
          <w:color w:val="auto"/>
        </w:rPr>
      </w:pPr>
    </w:p>
    <w:p>
      <w:pPr>
        <w:ind w:right="120" w:firstLine="520"/>
        <w:spacing w:after="0" w:line="262" w:lineRule="auto"/>
        <w:rPr>
          <w:sz w:val="20"/>
          <w:szCs w:val="20"/>
          <w:color w:val="auto"/>
        </w:rPr>
      </w:pPr>
      <w:r>
        <w:rPr>
          <w:rFonts w:ascii="Arial" w:cs="Arial" w:eastAsia="Arial" w:hAnsi="Arial"/>
          <w:sz w:val="15"/>
          <w:szCs w:val="15"/>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None.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741"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5"/>
          <w:szCs w:val="15"/>
          <w:b w:val="1"/>
          <w:bCs w:val="1"/>
          <w:color w:val="auto"/>
        </w:rPr>
        <w:t>PART III</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82" w:lineRule="exact"/>
        <w:rPr>
          <w:sz w:val="20"/>
          <w:szCs w:val="20"/>
          <w:color w:val="auto"/>
        </w:rPr>
      </w:pPr>
    </w:p>
    <w:p>
      <w:pPr>
        <w:ind w:firstLine="291"/>
        <w:spacing w:after="0" w:line="249" w:lineRule="auto"/>
        <w:rPr>
          <w:sz w:val="20"/>
          <w:szCs w:val="20"/>
          <w:color w:val="auto"/>
        </w:rPr>
      </w:pPr>
      <w:r>
        <w:rPr>
          <w:rFonts w:ascii="Arial" w:cs="Arial" w:eastAsia="Arial" w:hAnsi="Arial"/>
          <w:sz w:val="15"/>
          <w:szCs w:val="15"/>
          <w:color w:val="auto"/>
        </w:rPr>
        <w:t>Our board of directors has adopted a Code of Business Conduct and Ethics applicable to all officers, directors and employees, which is available on our website at www.serestherapeutics.com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159" w:lineRule="exact"/>
        <w:rPr>
          <w:sz w:val="20"/>
          <w:szCs w:val="20"/>
          <w:color w:val="auto"/>
        </w:rPr>
      </w:pPr>
    </w:p>
    <w:p>
      <w:pPr>
        <w:ind w:right="100" w:firstLine="291"/>
        <w:spacing w:after="0" w:line="387" w:lineRule="auto"/>
        <w:rPr>
          <w:sz w:val="20"/>
          <w:szCs w:val="20"/>
          <w:color w:val="auto"/>
        </w:rPr>
      </w:pPr>
      <w:r>
        <w:rPr>
          <w:rFonts w:ascii="Arial" w:cs="Arial" w:eastAsia="Arial" w:hAnsi="Arial"/>
          <w:sz w:val="12"/>
          <w:szCs w:val="12"/>
          <w:color w:val="auto"/>
        </w:rPr>
        <w:t>The information in response to this item is contained in part under the caption “Executive Officers of the Registrant” at the end of Part I of this Annual Report on Form 10-K. The remainder of the response to this item is contained in the Proxy Statement for our Annual Meeting of Stockholders scheduled to be held on June 15, 2016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94" w:lineRule="exact"/>
        <w:rPr>
          <w:sz w:val="20"/>
          <w:szCs w:val="20"/>
          <w:color w:val="auto"/>
        </w:rPr>
      </w:pPr>
    </w:p>
    <w:p>
      <w:pPr>
        <w:ind w:right="120" w:firstLine="286"/>
        <w:spacing w:after="0" w:line="262" w:lineRule="auto"/>
        <w:rPr>
          <w:sz w:val="20"/>
          <w:szCs w:val="20"/>
          <w:color w:val="auto"/>
        </w:rPr>
      </w:pPr>
      <w:r>
        <w:rPr>
          <w:rFonts w:ascii="Arial" w:cs="Arial" w:eastAsia="Arial" w:hAnsi="Arial"/>
          <w:sz w:val="15"/>
          <w:szCs w:val="15"/>
          <w:color w:val="auto"/>
        </w:rPr>
        <w:t>The information required to be disclosed by this item is contained in the Proxy Statement for our Annual Meeting of Stockholders scheduled to be held on June 15, 2016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120" w:firstLine="279"/>
        <w:spacing w:after="0" w:line="262" w:lineRule="auto"/>
        <w:rPr>
          <w:sz w:val="20"/>
          <w:szCs w:val="20"/>
          <w:color w:val="auto"/>
        </w:rPr>
      </w:pPr>
      <w:r>
        <w:rPr>
          <w:rFonts w:ascii="Arial" w:cs="Arial" w:eastAsia="Arial" w:hAnsi="Arial"/>
          <w:sz w:val="15"/>
          <w:szCs w:val="15"/>
          <w:color w:val="auto"/>
        </w:rPr>
        <w:t>The information required to be disclosed by this item is contained in the Proxy Statement for our Annual Meeting of Stockholders scheduled to be held on June 15, 2016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94" w:lineRule="exact"/>
        <w:rPr>
          <w:sz w:val="20"/>
          <w:szCs w:val="20"/>
          <w:color w:val="auto"/>
        </w:rPr>
      </w:pPr>
    </w:p>
    <w:p>
      <w:pPr>
        <w:ind w:right="120" w:firstLine="286"/>
        <w:spacing w:after="0" w:line="262" w:lineRule="auto"/>
        <w:rPr>
          <w:sz w:val="20"/>
          <w:szCs w:val="20"/>
          <w:color w:val="auto"/>
        </w:rPr>
      </w:pPr>
      <w:r>
        <w:rPr>
          <w:rFonts w:ascii="Arial" w:cs="Arial" w:eastAsia="Arial" w:hAnsi="Arial"/>
          <w:sz w:val="15"/>
          <w:szCs w:val="15"/>
          <w:color w:val="auto"/>
        </w:rPr>
        <w:t>The information required to be disclosed by this item is contained in the Proxy Statement for our Annual Meeting of Stockholders scheduled to be held on June 15, 2016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82" w:lineRule="exact"/>
        <w:rPr>
          <w:sz w:val="20"/>
          <w:szCs w:val="20"/>
          <w:color w:val="auto"/>
        </w:rPr>
      </w:pPr>
    </w:p>
    <w:p>
      <w:pPr>
        <w:ind w:right="120" w:firstLine="286"/>
        <w:spacing w:after="0" w:line="262" w:lineRule="auto"/>
        <w:rPr>
          <w:sz w:val="20"/>
          <w:szCs w:val="20"/>
          <w:color w:val="auto"/>
        </w:rPr>
      </w:pPr>
      <w:r>
        <w:rPr>
          <w:rFonts w:ascii="Arial" w:cs="Arial" w:eastAsia="Arial" w:hAnsi="Arial"/>
          <w:sz w:val="15"/>
          <w:szCs w:val="15"/>
          <w:color w:val="auto"/>
        </w:rPr>
        <w:t>The information required to be disclosed by this item is contained in the Proxy Statement for our Annual Meeting of Stockholders scheduled to be held on June 15, 2016 and is incorporated herein by reference.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475" w:right="259" w:bottom="1440" w:gutter="0" w:footer="0" w:header="0"/>
        </w:sectPr>
      </w:pPr>
    </w:p>
    <w:bookmarkStart w:id="87" w:name="page88"/>
    <w:bookmarkEnd w:id="87"/>
    <w:p>
      <w:pPr>
        <w:jc w:val="center"/>
        <w:ind w:right="-79"/>
        <w:spacing w:after="0"/>
        <w:rPr>
          <w:sz w:val="20"/>
          <w:szCs w:val="20"/>
          <w:color w:val="auto"/>
        </w:rPr>
      </w:pPr>
      <w:r>
        <w:rPr>
          <w:rFonts w:ascii="Arial" w:cs="Arial" w:eastAsia="Arial" w:hAnsi="Arial"/>
          <w:sz w:val="15"/>
          <w:szCs w:val="15"/>
          <w:b w:val="1"/>
          <w:bCs w:val="1"/>
          <w:color w:val="auto"/>
        </w:rPr>
        <w:t>PART IV</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Statements and Schedules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(a)(1) Financial Statements.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See the “Index to Consolidated Financial Statements” on page F-1 below for the list of financial statements filed as part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(a)(2) Financial Statement Schedules.</w:t>
      </w:r>
    </w:p>
    <w:p>
      <w:pPr>
        <w:spacing w:after="0" w:line="90" w:lineRule="exact"/>
        <w:rPr>
          <w:sz w:val="20"/>
          <w:szCs w:val="20"/>
          <w:color w:val="auto"/>
        </w:rPr>
      </w:pPr>
    </w:p>
    <w:p>
      <w:pPr>
        <w:ind w:right="280" w:firstLine="520"/>
        <w:spacing w:after="0" w:line="262" w:lineRule="auto"/>
        <w:rPr>
          <w:sz w:val="20"/>
          <w:szCs w:val="20"/>
          <w:color w:val="auto"/>
        </w:rPr>
      </w:pPr>
      <w:r>
        <w:rPr>
          <w:rFonts w:ascii="Arial" w:cs="Arial" w:eastAsia="Arial" w:hAnsi="Arial"/>
          <w:sz w:val="15"/>
          <w:szCs w:val="15"/>
          <w:color w:val="auto"/>
        </w:rPr>
        <w:t>All schedules have been omitted because they are not required or because the required information is given in the Consolidated Financial Statements or Notes thereto set forth below beginning on page F-1.</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(a)(3) Exhibits.</w:t>
      </w:r>
    </w:p>
    <w:p>
      <w:pPr>
        <w:spacing w:after="0" w:line="90"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See the Exhibit Index immediately following the signature page of this Annual Report on Form 10-K. The exhibits listed in the Exhibit Index below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80"/>
          </w:cols>
          <w:pgMar w:left="220" w:top="475" w:right="29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0" w:type="dxa"/>
            <w:vAlign w:val="bottom"/>
            <w:gridSpan w:val="7"/>
            <w:vMerge w:val="restart"/>
          </w:tcPr>
          <w:p>
            <w:pPr>
              <w:spacing w:after="0"/>
              <w:rPr>
                <w:rFonts w:ascii="Arial" w:cs="Arial" w:eastAsia="Arial" w:hAnsi="Arial"/>
                <w:sz w:val="15"/>
                <w:szCs w:val="15"/>
                <w:color w:val="0000EE"/>
              </w:rPr>
            </w:pPr>
            <w:hyperlink w:anchor="page90">
              <w:r>
                <w:rPr>
                  <w:rFonts w:ascii="Arial" w:cs="Arial" w:eastAsia="Arial" w:hAnsi="Arial"/>
                  <w:sz w:val="15"/>
                  <w:szCs w:val="15"/>
                  <w:color w:val="0000EE"/>
                </w:rPr>
                <w:t>Report of Independent Registered Public Accounting Firm</w:t>
              </w:r>
            </w:hyperlink>
          </w:p>
        </w:tc>
        <w:tc>
          <w:tcPr>
            <w:tcW w:w="880" w:type="dxa"/>
            <w:vAlign w:val="bottom"/>
            <w:gridSpan w:val="2"/>
          </w:tcPr>
          <w:p>
            <w:pPr>
              <w:ind w:left="3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33"/>
        </w:trPr>
        <w:tc>
          <w:tcPr>
            <w:tcW w:w="10600" w:type="dxa"/>
            <w:vAlign w:val="bottom"/>
            <w:gridSpan w:val="7"/>
            <w:vMerge w:val="continue"/>
          </w:tcPr>
          <w:p>
            <w:pPr>
              <w:spacing w:after="0"/>
              <w:rPr>
                <w:sz w:val="11"/>
                <w:szCs w:val="11"/>
                <w:color w:val="auto"/>
              </w:rPr>
            </w:pPr>
          </w:p>
        </w:tc>
        <w:tc>
          <w:tcPr>
            <w:tcW w:w="860" w:type="dxa"/>
            <w:vAlign w:val="bottom"/>
            <w:tcBorders>
              <w:top w:val="single" w:sz="8" w:color="auto"/>
            </w:tcBorders>
          </w:tcPr>
          <w:p>
            <w:pPr>
              <w:ind w:left="660"/>
              <w:spacing w:after="0" w:line="133" w:lineRule="exact"/>
              <w:rPr>
                <w:sz w:val="20"/>
                <w:szCs w:val="20"/>
                <w:color w:val="auto"/>
              </w:rPr>
            </w:pPr>
            <w:r>
              <w:rPr>
                <w:rFonts w:ascii="Arial" w:cs="Arial" w:eastAsia="Arial" w:hAnsi="Arial"/>
                <w:sz w:val="15"/>
                <w:szCs w:val="15"/>
                <w:color w:val="auto"/>
                <w:w w:val="79"/>
              </w:rPr>
              <w:t>F-2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tcBorders>
              <w:bottom w:val="single" w:sz="8" w:color="0000EE"/>
            </w:tcBorders>
            <w:gridSpan w:val="3"/>
          </w:tcPr>
          <w:p>
            <w:pPr>
              <w:spacing w:after="0" w:line="155" w:lineRule="exact"/>
              <w:rPr>
                <w:rFonts w:ascii="Arial" w:cs="Arial" w:eastAsia="Arial" w:hAnsi="Arial"/>
                <w:sz w:val="15"/>
                <w:szCs w:val="15"/>
                <w:color w:val="0000EE"/>
                <w:w w:val="86"/>
              </w:rPr>
            </w:pPr>
            <w:hyperlink w:anchor="page91">
              <w:r>
                <w:rPr>
                  <w:rFonts w:ascii="Arial" w:cs="Arial" w:eastAsia="Arial" w:hAnsi="Arial"/>
                  <w:sz w:val="15"/>
                  <w:szCs w:val="15"/>
                  <w:color w:val="0000EE"/>
                  <w:w w:val="86"/>
                </w:rPr>
                <w:t>Consolidated Balance Sheets as of December 31, 2015 and 2014</w:t>
              </w:r>
            </w:hyperlink>
          </w:p>
        </w:tc>
        <w:tc>
          <w:tcPr>
            <w:tcW w:w="6820" w:type="dxa"/>
            <w:vAlign w:val="bottom"/>
            <w:gridSpan w:val="4"/>
          </w:tcPr>
          <w:p>
            <w:pPr>
              <w:spacing w:after="0"/>
              <w:rPr>
                <w:sz w:val="13"/>
                <w:szCs w:val="13"/>
                <w:color w:val="auto"/>
              </w:rPr>
            </w:pPr>
          </w:p>
        </w:tc>
        <w:tc>
          <w:tcPr>
            <w:tcW w:w="880" w:type="dxa"/>
            <w:vAlign w:val="bottom"/>
            <w:gridSpan w:val="2"/>
          </w:tcPr>
          <w:p>
            <w:pPr>
              <w:ind w:left="660"/>
              <w:spacing w:after="0" w:line="155" w:lineRule="exact"/>
              <w:rPr>
                <w:sz w:val="20"/>
                <w:szCs w:val="20"/>
                <w:color w:val="auto"/>
              </w:rPr>
            </w:pPr>
            <w:r>
              <w:rPr>
                <w:rFonts w:ascii="Arial" w:cs="Arial" w:eastAsia="Arial" w:hAnsi="Arial"/>
                <w:sz w:val="15"/>
                <w:szCs w:val="15"/>
                <w:color w:val="auto"/>
                <w:w w:val="88"/>
              </w:rPr>
              <w:t>F-3</w:t>
            </w:r>
          </w:p>
        </w:tc>
        <w:tc>
          <w:tcPr>
            <w:tcW w:w="0" w:type="dxa"/>
            <w:vAlign w:val="bottom"/>
          </w:tcPr>
          <w:p>
            <w:pPr>
              <w:spacing w:after="0"/>
              <w:rPr>
                <w:sz w:val="1"/>
                <w:szCs w:val="1"/>
                <w:color w:val="auto"/>
              </w:rPr>
            </w:pPr>
          </w:p>
        </w:tc>
      </w:tr>
      <w:tr>
        <w:trPr>
          <w:trHeight w:val="155"/>
        </w:trPr>
        <w:tc>
          <w:tcPr>
            <w:tcW w:w="10600" w:type="dxa"/>
            <w:vAlign w:val="bottom"/>
            <w:gridSpan w:val="7"/>
          </w:tcPr>
          <w:p>
            <w:pPr>
              <w:spacing w:after="0" w:line="155" w:lineRule="exact"/>
              <w:rPr>
                <w:rFonts w:ascii="Arial" w:cs="Arial" w:eastAsia="Arial" w:hAnsi="Arial"/>
                <w:sz w:val="15"/>
                <w:szCs w:val="15"/>
                <w:color w:val="0000EE"/>
              </w:rPr>
            </w:pPr>
            <w:hyperlink w:anchor="page92">
              <w:r>
                <w:rPr>
                  <w:rFonts w:ascii="Arial" w:cs="Arial" w:eastAsia="Arial" w:hAnsi="Arial"/>
                  <w:sz w:val="15"/>
                  <w:szCs w:val="15"/>
                  <w:color w:val="0000EE"/>
                </w:rPr>
                <w:t>Consolidated Statements of Operations and Comprehensive Loss for the years ended December 31, 2015, 2014 and 2013</w:t>
              </w:r>
            </w:hyperlink>
          </w:p>
        </w:tc>
        <w:tc>
          <w:tcPr>
            <w:tcW w:w="880" w:type="dxa"/>
            <w:vAlign w:val="bottom"/>
            <w:gridSpan w:val="2"/>
          </w:tcPr>
          <w:p>
            <w:pPr>
              <w:ind w:left="660"/>
              <w:spacing w:after="0" w:line="155" w:lineRule="exact"/>
              <w:rPr>
                <w:sz w:val="20"/>
                <w:szCs w:val="20"/>
                <w:color w:val="auto"/>
              </w:rPr>
            </w:pPr>
            <w:r>
              <w:rPr>
                <w:rFonts w:ascii="Arial" w:cs="Arial" w:eastAsia="Arial" w:hAnsi="Arial"/>
                <w:sz w:val="15"/>
                <w:szCs w:val="15"/>
                <w:color w:val="auto"/>
                <w:w w:val="88"/>
              </w:rPr>
              <w:t>F-4</w:t>
            </w:r>
          </w:p>
        </w:tc>
        <w:tc>
          <w:tcPr>
            <w:tcW w:w="0" w:type="dxa"/>
            <w:vAlign w:val="bottom"/>
          </w:tcPr>
          <w:p>
            <w:pPr>
              <w:spacing w:after="0"/>
              <w:rPr>
                <w:sz w:val="1"/>
                <w:szCs w:val="1"/>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0" w:type="dxa"/>
            <w:vAlign w:val="bottom"/>
            <w:gridSpan w:val="7"/>
          </w:tcPr>
          <w:p>
            <w:pPr>
              <w:spacing w:after="0" w:line="155" w:lineRule="exact"/>
              <w:rPr>
                <w:rFonts w:ascii="Arial" w:cs="Arial" w:eastAsia="Arial" w:hAnsi="Arial"/>
                <w:sz w:val="15"/>
                <w:szCs w:val="15"/>
                <w:color w:val="0000EE"/>
              </w:rPr>
            </w:pPr>
            <w:hyperlink w:anchor="page93">
              <w:r>
                <w:rPr>
                  <w:rFonts w:ascii="Arial" w:cs="Arial" w:eastAsia="Arial" w:hAnsi="Arial"/>
                  <w:sz w:val="15"/>
                  <w:szCs w:val="15"/>
                  <w:color w:val="0000EE"/>
                </w:rPr>
                <w:t>Consolidated Statements of Convertible Preferred Stock and Stockholders’ Equity (Deficit) As of December 31, 2015, 2014 and 2013</w:t>
              </w:r>
            </w:hyperlink>
          </w:p>
        </w:tc>
        <w:tc>
          <w:tcPr>
            <w:tcW w:w="880" w:type="dxa"/>
            <w:vAlign w:val="bottom"/>
            <w:gridSpan w:val="2"/>
            <w:vMerge w:val="restart"/>
          </w:tcPr>
          <w:p>
            <w:pPr>
              <w:ind w:left="660"/>
              <w:spacing w:after="0"/>
              <w:rPr>
                <w:sz w:val="20"/>
                <w:szCs w:val="20"/>
                <w:color w:val="auto"/>
              </w:rPr>
            </w:pPr>
            <w:r>
              <w:rPr>
                <w:rFonts w:ascii="Arial" w:cs="Arial" w:eastAsia="Arial" w:hAnsi="Arial"/>
                <w:sz w:val="15"/>
                <w:szCs w:val="15"/>
                <w:color w:val="auto"/>
                <w:w w:val="88"/>
              </w:rPr>
              <w:t>F-5</w:t>
            </w:r>
          </w:p>
        </w:tc>
        <w:tc>
          <w:tcPr>
            <w:tcW w:w="0" w:type="dxa"/>
            <w:vAlign w:val="bottom"/>
          </w:tcPr>
          <w:p>
            <w:pPr>
              <w:spacing w:after="0"/>
              <w:rPr>
                <w:sz w:val="1"/>
                <w:szCs w:val="1"/>
                <w:color w:val="auto"/>
              </w:rPr>
            </w:pPr>
          </w:p>
        </w:tc>
      </w:tr>
      <w:tr>
        <w:trPr>
          <w:trHeight w:val="177"/>
        </w:trPr>
        <w:tc>
          <w:tcPr>
            <w:tcW w:w="25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2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7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600" w:type="dxa"/>
            <w:vAlign w:val="bottom"/>
            <w:gridSpan w:val="7"/>
          </w:tcPr>
          <w:p>
            <w:pPr>
              <w:spacing w:after="0" w:line="153" w:lineRule="exact"/>
              <w:rPr>
                <w:rFonts w:ascii="Arial" w:cs="Arial" w:eastAsia="Arial" w:hAnsi="Arial"/>
                <w:sz w:val="15"/>
                <w:szCs w:val="15"/>
                <w:color w:val="0000EE"/>
              </w:rPr>
            </w:pPr>
            <w:hyperlink w:anchor="page94">
              <w:r>
                <w:rPr>
                  <w:rFonts w:ascii="Arial" w:cs="Arial" w:eastAsia="Arial" w:hAnsi="Arial"/>
                  <w:sz w:val="15"/>
                  <w:szCs w:val="15"/>
                  <w:color w:val="0000EE"/>
                </w:rPr>
                <w:t>Consolidated Statements of Cash Flows for the years ended December 31, 2015, 2014 and 2013</w:t>
              </w:r>
            </w:hyperlink>
          </w:p>
        </w:tc>
        <w:tc>
          <w:tcPr>
            <w:tcW w:w="880" w:type="dxa"/>
            <w:vAlign w:val="bottom"/>
            <w:gridSpan w:val="2"/>
          </w:tcPr>
          <w:p>
            <w:pPr>
              <w:ind w:left="660"/>
              <w:spacing w:after="0" w:line="153" w:lineRule="exact"/>
              <w:rPr>
                <w:sz w:val="20"/>
                <w:szCs w:val="20"/>
                <w:color w:val="auto"/>
              </w:rPr>
            </w:pPr>
            <w:r>
              <w:rPr>
                <w:rFonts w:ascii="Arial" w:cs="Arial" w:eastAsia="Arial" w:hAnsi="Arial"/>
                <w:sz w:val="15"/>
                <w:szCs w:val="15"/>
                <w:color w:val="auto"/>
                <w:w w:val="88"/>
              </w:rPr>
              <w:t>F-6</w:t>
            </w:r>
          </w:p>
        </w:tc>
        <w:tc>
          <w:tcPr>
            <w:tcW w:w="0" w:type="dxa"/>
            <w:vAlign w:val="bottom"/>
          </w:tcPr>
          <w:p>
            <w:pPr>
              <w:spacing w:after="0"/>
              <w:rPr>
                <w:sz w:val="1"/>
                <w:szCs w:val="1"/>
                <w:color w:val="auto"/>
              </w:rPr>
            </w:pPr>
          </w:p>
        </w:tc>
      </w:tr>
      <w:tr>
        <w:trPr>
          <w:trHeight w:val="155"/>
        </w:trPr>
        <w:tc>
          <w:tcPr>
            <w:tcW w:w="5600" w:type="dxa"/>
            <w:vAlign w:val="bottom"/>
            <w:tcBorders>
              <w:top w:val="single" w:sz="8" w:color="0000EE"/>
            </w:tcBorders>
            <w:gridSpan w:val="4"/>
          </w:tcPr>
          <w:p>
            <w:pPr>
              <w:spacing w:after="0" w:line="155" w:lineRule="exact"/>
              <w:rPr>
                <w:rFonts w:ascii="Arial" w:cs="Arial" w:eastAsia="Arial" w:hAnsi="Arial"/>
                <w:sz w:val="15"/>
                <w:szCs w:val="15"/>
                <w:color w:val="0000EE"/>
              </w:rPr>
            </w:pPr>
            <w:hyperlink w:anchor="page95">
              <w:r>
                <w:rPr>
                  <w:rFonts w:ascii="Arial" w:cs="Arial" w:eastAsia="Arial" w:hAnsi="Arial"/>
                  <w:sz w:val="15"/>
                  <w:szCs w:val="15"/>
                  <w:color w:val="0000EE"/>
                </w:rPr>
                <w:t>Notes to Consolidated Financial Statements</w:t>
              </w:r>
            </w:hyperlink>
          </w:p>
        </w:tc>
        <w:tc>
          <w:tcPr>
            <w:tcW w:w="5000" w:type="dxa"/>
            <w:vAlign w:val="bottom"/>
            <w:gridSpan w:val="3"/>
          </w:tcPr>
          <w:p>
            <w:pPr>
              <w:spacing w:after="0"/>
              <w:rPr>
                <w:sz w:val="13"/>
                <w:szCs w:val="13"/>
                <w:color w:val="auto"/>
              </w:rPr>
            </w:pPr>
          </w:p>
        </w:tc>
        <w:tc>
          <w:tcPr>
            <w:tcW w:w="880" w:type="dxa"/>
            <w:vAlign w:val="bottom"/>
            <w:gridSpan w:val="2"/>
          </w:tcPr>
          <w:p>
            <w:pPr>
              <w:ind w:left="660"/>
              <w:spacing w:after="0" w:line="155" w:lineRule="exact"/>
              <w:rPr>
                <w:sz w:val="20"/>
                <w:szCs w:val="20"/>
                <w:color w:val="auto"/>
              </w:rPr>
            </w:pPr>
            <w:r>
              <w:rPr>
                <w:rFonts w:ascii="Arial" w:cs="Arial" w:eastAsia="Arial" w:hAnsi="Arial"/>
                <w:sz w:val="15"/>
                <w:szCs w:val="15"/>
                <w:color w:val="auto"/>
                <w:w w:val="88"/>
              </w:rPr>
              <w:t>F-7</w:t>
            </w:r>
          </w:p>
        </w:tc>
        <w:tc>
          <w:tcPr>
            <w:tcW w:w="0" w:type="dxa"/>
            <w:vAlign w:val="bottom"/>
          </w:tcPr>
          <w:p>
            <w:pPr>
              <w:spacing w:after="0"/>
              <w:rPr>
                <w:sz w:val="1"/>
                <w:szCs w:val="1"/>
                <w:color w:val="auto"/>
              </w:rPr>
            </w:pPr>
          </w:p>
        </w:tc>
      </w:tr>
      <w:tr>
        <w:trPr>
          <w:trHeight w:val="888"/>
        </w:trPr>
        <w:tc>
          <w:tcPr>
            <w:tcW w:w="25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Arial" w:cs="Arial" w:eastAsia="Arial" w:hAnsi="Arial"/>
                <w:sz w:val="15"/>
                <w:szCs w:val="15"/>
                <w:color w:val="auto"/>
              </w:rPr>
              <w:t>F-1</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5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75" w:right="1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Seres Therapeutics, Inc.</w:t>
      </w:r>
    </w:p>
    <w:p>
      <w:pPr>
        <w:spacing w:after="0" w:line="167" w:lineRule="exact"/>
        <w:rPr>
          <w:sz w:val="20"/>
          <w:szCs w:val="20"/>
          <w:color w:val="auto"/>
        </w:rPr>
      </w:pPr>
    </w:p>
    <w:p>
      <w:pPr>
        <w:ind w:firstLine="520"/>
        <w:spacing w:after="0" w:line="266" w:lineRule="auto"/>
        <w:rPr>
          <w:sz w:val="20"/>
          <w:szCs w:val="20"/>
          <w:color w:val="auto"/>
        </w:rPr>
      </w:pPr>
      <w:r>
        <w:rPr>
          <w:rFonts w:ascii="Arial" w:cs="Arial" w:eastAsia="Arial" w:hAnsi="Arial"/>
          <w:sz w:val="14"/>
          <w:szCs w:val="14"/>
          <w:color w:val="auto"/>
        </w:rPr>
        <w:t>In our opinion, the accompanying consolidated balance sheets and the related consolidated statements of operations and comprehensive loss, of convertible preferred stock and stockholders’ equity (deficit) and of cash flows present fairly, in all material respects, the financial position of Seres Therapeutics, Inc. and its subsidiaries at December 31, 2015 and 2014, and the results of their operations and their cash flows for each of the three years in the period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March 14, 2016</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47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2"/>
                <w:szCs w:val="12"/>
                <w:b w:val="1"/>
                <w:bCs w:val="1"/>
                <w:color w:val="auto"/>
              </w:rPr>
              <w:t>December 31,</w:t>
            </w:r>
          </w:p>
        </w:tc>
        <w:tc>
          <w:tcPr>
            <w:tcW w:w="1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560" w:type="dxa"/>
            <w:vAlign w:val="bottom"/>
            <w:tcBorders>
              <w:bottom w:val="single" w:sz="8" w:color="CFF0FC"/>
            </w:tcBorders>
          </w:tcPr>
          <w:p>
            <w:pPr>
              <w:spacing w:after="0"/>
              <w:rPr>
                <w:sz w:val="10"/>
                <w:szCs w:val="10"/>
                <w:color w:val="auto"/>
              </w:rPr>
            </w:pPr>
          </w:p>
        </w:tc>
        <w:tc>
          <w:tcPr>
            <w:tcW w:w="1340" w:type="dxa"/>
            <w:vAlign w:val="bottom"/>
            <w:tcBorders>
              <w:bottom w:val="single" w:sz="8" w:color="CFF0FC"/>
            </w:tcBorders>
          </w:tcPr>
          <w:p>
            <w:pPr>
              <w:spacing w:after="0"/>
              <w:rPr>
                <w:sz w:val="10"/>
                <w:szCs w:val="10"/>
                <w:color w:val="auto"/>
              </w:rPr>
            </w:pPr>
          </w:p>
        </w:tc>
        <w:tc>
          <w:tcPr>
            <w:tcW w:w="980" w:type="dxa"/>
            <w:vAlign w:val="bottom"/>
            <w:tcBorders>
              <w:bottom w:val="single" w:sz="8" w:color="auto"/>
            </w:tcBorders>
          </w:tcPr>
          <w:p>
            <w:pPr>
              <w:jc w:val="right"/>
              <w:ind w:right="22"/>
              <w:spacing w:after="0" w:line="122" w:lineRule="exact"/>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08"/>
              <w:spacing w:after="0" w:line="122" w:lineRule="exact"/>
              <w:rPr>
                <w:sz w:val="20"/>
                <w:szCs w:val="20"/>
                <w:color w:val="auto"/>
              </w:rPr>
            </w:pPr>
            <w:r>
              <w:rPr>
                <w:rFonts w:ascii="Arial" w:cs="Arial" w:eastAsia="Arial" w:hAnsi="Arial"/>
                <w:sz w:val="12"/>
                <w:szCs w:val="12"/>
                <w:b w:val="1"/>
                <w:bCs w:val="1"/>
                <w:color w:val="auto"/>
              </w:rPr>
              <w:t>2014</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5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Assets</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Current assets: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2320" w:type="dxa"/>
            <w:vAlign w:val="bottom"/>
            <w:gridSpan w:val="2"/>
            <w:shd w:val="clear" w:color="auto" w:fill="CFF0FC"/>
          </w:tcPr>
          <w:p>
            <w:pPr>
              <w:jc w:val="right"/>
              <w:ind w:right="862"/>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73,933</w:t>
            </w: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08"/>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114,185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5"/>
                <w:szCs w:val="15"/>
                <w:color w:val="auto"/>
              </w:rPr>
              <w:t>Investments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131,149</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1340" w:type="dxa"/>
            <w:vAlign w:val="bottom"/>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2,528</w:t>
            </w:r>
          </w:p>
        </w:tc>
        <w:tc>
          <w:tcPr>
            <w:tcW w:w="30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60" w:type="dxa"/>
            <w:vAlign w:val="bottom"/>
          </w:tcPr>
          <w:p>
            <w:pPr>
              <w:ind w:left="400"/>
              <w:spacing w:after="0"/>
              <w:rPr>
                <w:sz w:val="20"/>
                <w:szCs w:val="20"/>
                <w:color w:val="auto"/>
              </w:rPr>
            </w:pPr>
            <w:r>
              <w:rPr>
                <w:rFonts w:ascii="Arial" w:cs="Arial" w:eastAsia="Arial" w:hAnsi="Arial"/>
                <w:sz w:val="15"/>
                <w:szCs w:val="15"/>
                <w:color w:val="auto"/>
              </w:rPr>
              <w:t>Total current assets</w:t>
            </w: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207,610</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114,243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net</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7,751</w:t>
            </w: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Restricted cash</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1,539</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Deferred offering costs</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Deferred financing costs</w:t>
            </w:r>
          </w:p>
        </w:tc>
        <w:tc>
          <w:tcPr>
            <w:tcW w:w="134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Total assets</w:t>
            </w:r>
          </w:p>
        </w:tc>
        <w:tc>
          <w:tcPr>
            <w:tcW w:w="2320" w:type="dxa"/>
            <w:vAlign w:val="bottom"/>
            <w:gridSpan w:val="2"/>
            <w:shd w:val="clear" w:color="auto" w:fill="CFF0FC"/>
          </w:tcPr>
          <w:p>
            <w:pPr>
              <w:jc w:val="right"/>
              <w:ind w:right="862"/>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216,900</w:t>
            </w: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308"/>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Liabilities, Convertible Preferred Stock and Stockholders’ Equity (Deficit)</w:t>
            </w:r>
          </w:p>
        </w:tc>
        <w:tc>
          <w:tcPr>
            <w:tcW w:w="13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5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Current liabilities:</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2320" w:type="dxa"/>
            <w:vAlign w:val="bottom"/>
            <w:gridSpan w:val="2"/>
          </w:tcPr>
          <w:p>
            <w:pPr>
              <w:jc w:val="right"/>
              <w:ind w:right="862"/>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5,397</w:t>
            </w:r>
          </w:p>
        </w:tc>
        <w:tc>
          <w:tcPr>
            <w:tcW w:w="300" w:type="dxa"/>
            <w:vAlign w:val="bottom"/>
          </w:tcPr>
          <w:p>
            <w:pPr>
              <w:spacing w:after="0"/>
              <w:rPr>
                <w:sz w:val="16"/>
                <w:szCs w:val="16"/>
                <w:color w:val="auto"/>
              </w:rPr>
            </w:pPr>
          </w:p>
        </w:tc>
        <w:tc>
          <w:tcPr>
            <w:tcW w:w="420" w:type="dxa"/>
            <w:vAlign w:val="bottom"/>
          </w:tcPr>
          <w:p>
            <w:pPr>
              <w:jc w:val="right"/>
              <w:ind w:right="308"/>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2,166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5,523</w:t>
            </w: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5"/>
                <w:szCs w:val="15"/>
                <w:color w:val="auto"/>
              </w:rPr>
              <w:t>Notes payable; current portion</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60" w:type="dxa"/>
            <w:vAlign w:val="bottom"/>
            <w:tcBorders>
              <w:top w:val="single" w:sz="8" w:color="CFF0FC"/>
            </w:tcBorders>
            <w:shd w:val="clear" w:color="auto" w:fill="CFF0FC"/>
          </w:tcPr>
          <w:p>
            <w:pPr>
              <w:ind w:left="400"/>
              <w:spacing w:after="0"/>
              <w:rPr>
                <w:sz w:val="20"/>
                <w:szCs w:val="20"/>
                <w:color w:val="auto"/>
              </w:rPr>
            </w:pPr>
            <w:r>
              <w:rPr>
                <w:rFonts w:ascii="Arial" w:cs="Arial" w:eastAsia="Arial" w:hAnsi="Arial"/>
                <w:sz w:val="15"/>
                <w:szCs w:val="15"/>
                <w:color w:val="auto"/>
              </w:rPr>
              <w:t>Total current liabilities</w:t>
            </w:r>
          </w:p>
        </w:tc>
        <w:tc>
          <w:tcPr>
            <w:tcW w:w="134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10,920</w:t>
            </w:r>
          </w:p>
        </w:tc>
        <w:tc>
          <w:tcPr>
            <w:tcW w:w="30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5,103</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Lease incentive obligation</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586</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Notes payable, net of discount</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Preferred stock warrant liability</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60" w:type="dxa"/>
            <w:vAlign w:val="bottom"/>
            <w:tcBorders>
              <w:top w:val="single" w:sz="8" w:color="CFF0FC"/>
            </w:tcBorders>
            <w:shd w:val="clear" w:color="auto" w:fill="CFF0FC"/>
          </w:tcPr>
          <w:p>
            <w:pPr>
              <w:ind w:left="400"/>
              <w:spacing w:after="0"/>
              <w:rPr>
                <w:sz w:val="20"/>
                <w:szCs w:val="20"/>
                <w:color w:val="auto"/>
              </w:rPr>
            </w:pPr>
            <w:r>
              <w:rPr>
                <w:rFonts w:ascii="Arial" w:cs="Arial" w:eastAsia="Arial" w:hAnsi="Arial"/>
                <w:sz w:val="15"/>
                <w:szCs w:val="15"/>
                <w:color w:val="auto"/>
              </w:rPr>
              <w:t>Total liabilities</w:t>
            </w:r>
          </w:p>
        </w:tc>
        <w:tc>
          <w:tcPr>
            <w:tcW w:w="134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11,506</w:t>
            </w:r>
          </w:p>
        </w:tc>
        <w:tc>
          <w:tcPr>
            <w:tcW w:w="30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7,989</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56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Convertible preferred stock (Series A, A-2, B, C, D and D-1), $0.001 par value;</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10,000,000 and 24,348,003 shares authorized at December 31, 2015 and 2014,</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respectively; 0 and 22,866,987 shares issued and outstanding at December 31, 2015</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and 2014, respectively; aggregate liquidation preference of $0 an $137,283 at</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December 31, 2015 and 2014, respectively</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136,077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Stockholders’ equity (deficit):</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Common stock, $0.001 par value; 200,000,000 and 38,000,000 shares authorized at</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320"/>
              <w:spacing w:after="0"/>
              <w:rPr>
                <w:sz w:val="20"/>
                <w:szCs w:val="20"/>
                <w:color w:val="auto"/>
              </w:rPr>
            </w:pPr>
            <w:r>
              <w:rPr>
                <w:rFonts w:ascii="Arial" w:cs="Arial" w:eastAsia="Arial" w:hAnsi="Arial"/>
                <w:sz w:val="15"/>
                <w:szCs w:val="15"/>
                <w:color w:val="auto"/>
              </w:rPr>
              <w:t>December 31, 2015 and 2014, respectively; 39,082,017 and 6,890,250 shares issued</w:t>
            </w: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320"/>
              <w:spacing w:after="0"/>
              <w:rPr>
                <w:sz w:val="20"/>
                <w:szCs w:val="20"/>
                <w:color w:val="auto"/>
              </w:rPr>
            </w:pPr>
            <w:r>
              <w:rPr>
                <w:rFonts w:ascii="Arial" w:cs="Arial" w:eastAsia="Arial" w:hAnsi="Arial"/>
                <w:sz w:val="15"/>
                <w:szCs w:val="15"/>
                <w:color w:val="auto"/>
              </w:rPr>
              <w:t>and outstanding at December 31, 2015 and 2014, respectively</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287,937</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Accumulated other comprehensive income (loss)</w:t>
            </w:r>
          </w:p>
        </w:tc>
        <w:tc>
          <w:tcPr>
            <w:tcW w:w="13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5"/>
                <w:szCs w:val="15"/>
                <w:color w:val="auto"/>
              </w:rPr>
              <w:t>Accumulated deficit</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(82,612)</w:t>
            </w:r>
          </w:p>
        </w:tc>
        <w:tc>
          <w:tcPr>
            <w:tcW w:w="4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(27,832)</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ind w:left="400"/>
              <w:spacing w:after="0"/>
              <w:rPr>
                <w:sz w:val="20"/>
                <w:szCs w:val="20"/>
                <w:color w:val="auto"/>
              </w:rPr>
            </w:pPr>
            <w:r>
              <w:rPr>
                <w:rFonts w:ascii="Arial" w:cs="Arial" w:eastAsia="Arial" w:hAnsi="Arial"/>
                <w:sz w:val="15"/>
                <w:szCs w:val="15"/>
                <w:color w:val="auto"/>
              </w:rPr>
              <w:t>Total stockholders’ equity (deficit)</w:t>
            </w:r>
          </w:p>
        </w:tc>
        <w:tc>
          <w:tcPr>
            <w:tcW w:w="1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205,394</w:t>
            </w: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(26,721)</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00"/>
              <w:spacing w:after="0"/>
              <w:rPr>
                <w:sz w:val="20"/>
                <w:szCs w:val="20"/>
                <w:color w:val="auto"/>
              </w:rPr>
            </w:pPr>
            <w:r>
              <w:rPr>
                <w:rFonts w:ascii="Arial" w:cs="Arial" w:eastAsia="Arial" w:hAnsi="Arial"/>
                <w:sz w:val="15"/>
                <w:szCs w:val="15"/>
                <w:color w:val="auto"/>
              </w:rPr>
              <w:t>Total liabilities, convertible preferred stock and stockholders’ equity (deficit)</w:t>
            </w:r>
          </w:p>
        </w:tc>
        <w:tc>
          <w:tcPr>
            <w:tcW w:w="1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tcPr>
          <w:p>
            <w:pPr>
              <w:spacing w:after="0"/>
              <w:rPr>
                <w:sz w:val="15"/>
                <w:szCs w:val="15"/>
                <w:color w:val="auto"/>
              </w:rPr>
            </w:pPr>
          </w:p>
        </w:tc>
        <w:tc>
          <w:tcPr>
            <w:tcW w:w="2320" w:type="dxa"/>
            <w:vAlign w:val="bottom"/>
            <w:gridSpan w:val="2"/>
          </w:tcPr>
          <w:p>
            <w:pPr>
              <w:jc w:val="right"/>
              <w:ind w:right="862"/>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216,900</w:t>
            </w:r>
          </w:p>
        </w:tc>
        <w:tc>
          <w:tcPr>
            <w:tcW w:w="300" w:type="dxa"/>
            <w:vAlign w:val="bottom"/>
          </w:tcPr>
          <w:p>
            <w:pPr>
              <w:spacing w:after="0"/>
              <w:rPr>
                <w:sz w:val="15"/>
                <w:szCs w:val="15"/>
                <w:color w:val="auto"/>
              </w:rPr>
            </w:pPr>
          </w:p>
        </w:tc>
        <w:tc>
          <w:tcPr>
            <w:tcW w:w="420" w:type="dxa"/>
            <w:vAlign w:val="bottom"/>
          </w:tcPr>
          <w:p>
            <w:pPr>
              <w:jc w:val="right"/>
              <w:ind w:right="308"/>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117,345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5" w:right="219" w:bottom="1440" w:gutter="0" w:footer="0" w:header="0"/>
        </w:sectPr>
      </w:pPr>
    </w:p>
    <w:bookmarkStart w:id="91" w:name="page92"/>
    <w:bookmarkEnd w:id="91"/>
    <w:p>
      <w:pPr>
        <w:jc w:val="center"/>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w w:val="88"/>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78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8"/>
              <w:spacing w:after="0" w:line="122" w:lineRule="exact"/>
              <w:rPr>
                <w:sz w:val="20"/>
                <w:szCs w:val="20"/>
                <w:color w:val="auto"/>
              </w:rPr>
            </w:pPr>
            <w:r>
              <w:rPr>
                <w:rFonts w:ascii="Arial" w:cs="Arial" w:eastAsia="Arial" w:hAnsi="Arial"/>
                <w:sz w:val="12"/>
                <w:szCs w:val="12"/>
                <w:b w:val="1"/>
                <w:bCs w:val="1"/>
                <w:color w:val="auto"/>
              </w:rPr>
              <w:t>2015</w:t>
            </w:r>
          </w:p>
        </w:tc>
        <w:tc>
          <w:tcPr>
            <w:tcW w:w="16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8"/>
              <w:spacing w:after="0" w:line="122"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08"/>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6780" w:type="dxa"/>
            <w:vAlign w:val="bottom"/>
          </w:tcPr>
          <w:p>
            <w:pPr>
              <w:spacing w:after="0"/>
              <w:rPr>
                <w:sz w:val="20"/>
                <w:szCs w:val="20"/>
                <w:color w:val="auto"/>
              </w:rPr>
            </w:pPr>
            <w:r>
              <w:rPr>
                <w:rFonts w:ascii="Arial" w:cs="Arial" w:eastAsia="Arial" w:hAnsi="Arial"/>
                <w:sz w:val="15"/>
                <w:szCs w:val="15"/>
                <w:color w:val="auto"/>
              </w:rPr>
              <w:t>Operating expenses: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 expenses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38,095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10,718</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General and administrative expenses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16,761</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4,364</w:t>
            </w:r>
          </w:p>
        </w:tc>
        <w:tc>
          <w:tcPr>
            <w:tcW w:w="2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Total operating expenses</w:t>
            </w: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54,856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15,082</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80" w:type="dxa"/>
            <w:vAlign w:val="bottom"/>
          </w:tcPr>
          <w:p>
            <w:pPr>
              <w:spacing w:after="0"/>
              <w:rPr>
                <w:sz w:val="20"/>
                <w:szCs w:val="20"/>
                <w:color w:val="auto"/>
              </w:rPr>
            </w:pPr>
            <w:r>
              <w:rPr>
                <w:rFonts w:ascii="Arial" w:cs="Arial" w:eastAsia="Arial" w:hAnsi="Arial"/>
                <w:sz w:val="15"/>
                <w:szCs w:val="15"/>
                <w:color w:val="auto"/>
              </w:rPr>
              <w:t>Loss from operations</w:t>
            </w:r>
          </w:p>
        </w:tc>
        <w:tc>
          <w:tcPr>
            <w:tcW w:w="3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(54,856)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(15,082)</w:t>
            </w:r>
          </w:p>
        </w:tc>
        <w:tc>
          <w:tcPr>
            <w:tcW w:w="3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177"/>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income (expense):</w:t>
            </w: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8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7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Interest expense</w:t>
            </w:r>
          </w:p>
        </w:tc>
        <w:tc>
          <w:tcPr>
            <w:tcW w:w="3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(555)</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(209)</w:t>
            </w: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6"/>
        </w:trPr>
        <w:tc>
          <w:tcPr>
            <w:tcW w:w="6780" w:type="dxa"/>
            <w:vAlign w:val="bottom"/>
          </w:tcPr>
          <w:p>
            <w:pPr>
              <w:ind w:left="200"/>
              <w:spacing w:after="0"/>
              <w:rPr>
                <w:sz w:val="20"/>
                <w:szCs w:val="20"/>
                <w:color w:val="auto"/>
              </w:rPr>
            </w:pPr>
            <w:r>
              <w:rPr>
                <w:rFonts w:ascii="Arial" w:cs="Arial" w:eastAsia="Arial" w:hAnsi="Arial"/>
                <w:sz w:val="15"/>
                <w:szCs w:val="15"/>
                <w:color w:val="auto"/>
              </w:rPr>
              <w:t>Revaluation of preferred stock warrant liability</w:t>
            </w:r>
          </w:p>
        </w:tc>
        <w:tc>
          <w:tcPr>
            <w:tcW w:w="3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(1,418)</w:t>
            </w:r>
          </w:p>
        </w:tc>
        <w:tc>
          <w:tcPr>
            <w:tcW w:w="3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ind w:left="400"/>
              <w:spacing w:after="0"/>
              <w:rPr>
                <w:sz w:val="20"/>
                <w:szCs w:val="20"/>
                <w:color w:val="auto"/>
              </w:rPr>
            </w:pPr>
            <w:r>
              <w:rPr>
                <w:rFonts w:ascii="Arial" w:cs="Arial" w:eastAsia="Arial" w:hAnsi="Arial"/>
                <w:sz w:val="15"/>
                <w:szCs w:val="15"/>
                <w:color w:val="auto"/>
              </w:rPr>
              <w:t>Total other income (expense), net</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80" w:type="dxa"/>
            <w:vAlign w:val="bottom"/>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(1,627)</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80" w:type="dxa"/>
            <w:vAlign w:val="bottom"/>
            <w:vMerge w:val="continue"/>
          </w:tcPr>
          <w:p>
            <w:pPr>
              <w:spacing w:after="0"/>
              <w:rPr>
                <w:sz w:val="15"/>
                <w:szCs w:val="15"/>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(54,780)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(16,709)</w:t>
            </w:r>
          </w:p>
        </w:tc>
        <w:tc>
          <w:tcPr>
            <w:tcW w:w="3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(6,102)</w:t>
            </w:r>
          </w:p>
        </w:tc>
        <w:tc>
          <w:tcPr>
            <w:tcW w:w="0" w:type="dxa"/>
            <w:vAlign w:val="bottom"/>
          </w:tcPr>
          <w:p>
            <w:pPr>
              <w:spacing w:after="0"/>
              <w:rPr>
                <w:sz w:val="1"/>
                <w:szCs w:val="1"/>
                <w:color w:val="auto"/>
              </w:rPr>
            </w:pPr>
          </w:p>
        </w:tc>
      </w:tr>
      <w:tr>
        <w:trPr>
          <w:trHeight w:val="186"/>
        </w:trPr>
        <w:tc>
          <w:tcPr>
            <w:tcW w:w="67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Accretion of convertible preferred stock to redemption value</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(1,291)</w:t>
            </w: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5"/>
                <w:szCs w:val="15"/>
                <w:color w:val="auto"/>
              </w:rPr>
              <w:t>Net loss attributable to common stockholders</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(54,780)</w:t>
            </w:r>
          </w:p>
        </w:tc>
        <w:tc>
          <w:tcPr>
            <w:tcW w:w="40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(18,000)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(6,977)</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80" w:type="dxa"/>
            <w:vAlign w:val="bottom"/>
            <w:vMerge w:val="continue"/>
            <w:shd w:val="clear" w:color="auto" w:fill="CFF0FC"/>
          </w:tcPr>
          <w:p>
            <w:pPr>
              <w:spacing w:after="0"/>
              <w:rPr>
                <w:sz w:val="13"/>
                <w:szCs w:val="13"/>
                <w:color w:val="auto"/>
              </w:rPr>
            </w:pPr>
          </w:p>
        </w:tc>
        <w:tc>
          <w:tcPr>
            <w:tcW w:w="320" w:type="dxa"/>
            <w:vAlign w:val="bottom"/>
            <w:shd w:val="clear" w:color="auto" w:fill="CFF0FC"/>
          </w:tcPr>
          <w:p>
            <w:pPr>
              <w:jc w:val="right"/>
              <w:ind w:right="167"/>
              <w:spacing w:after="0" w:line="159"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5"/>
                <w:szCs w:val="15"/>
                <w:color w:val="auto"/>
              </w:rPr>
              <w:t>(2.33)</w:t>
            </w:r>
          </w:p>
        </w:tc>
        <w:tc>
          <w:tcPr>
            <w:tcW w:w="400" w:type="dxa"/>
            <w:vAlign w:val="bottom"/>
            <w:gridSpan w:val="2"/>
            <w:shd w:val="clear" w:color="auto" w:fill="CFF0FC"/>
          </w:tcPr>
          <w:p>
            <w:pPr>
              <w:jc w:val="right"/>
              <w:ind w:right="162"/>
              <w:spacing w:after="0" w:line="159"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00"/>
              <w:spacing w:after="0" w:line="159" w:lineRule="exact"/>
              <w:rPr>
                <w:sz w:val="20"/>
                <w:szCs w:val="20"/>
                <w:color w:val="auto"/>
              </w:rPr>
            </w:pPr>
            <w:r>
              <w:rPr>
                <w:rFonts w:ascii="Arial" w:cs="Arial" w:eastAsia="Arial" w:hAnsi="Arial"/>
                <w:sz w:val="15"/>
                <w:szCs w:val="15"/>
                <w:color w:val="auto"/>
              </w:rPr>
              <w:t>(2.67)</w:t>
            </w:r>
          </w:p>
        </w:tc>
        <w:tc>
          <w:tcPr>
            <w:tcW w:w="320" w:type="dxa"/>
            <w:vAlign w:val="bottom"/>
            <w:shd w:val="clear" w:color="auto" w:fill="CFF0FC"/>
          </w:tcPr>
          <w:p>
            <w:pPr>
              <w:jc w:val="right"/>
              <w:ind w:right="167"/>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Weighted average common shares outstanding,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80" w:type="dxa"/>
            <w:vAlign w:val="bottom"/>
            <w:tcBorders>
              <w:bottom w:val="single" w:sz="8" w:color="CFF0FC"/>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23,532,400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6,748,037</w:t>
            </w:r>
          </w:p>
        </w:tc>
        <w:tc>
          <w:tcPr>
            <w:tcW w:w="2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6,394,916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780" w:type="dxa"/>
            <w:vAlign w:val="bottom"/>
            <w:shd w:val="clear" w:color="auto" w:fill="CFF0FC"/>
          </w:tcPr>
          <w:p>
            <w:pPr>
              <w:spacing w:after="0" w:line="159" w:lineRule="exact"/>
              <w:rPr>
                <w:sz w:val="20"/>
                <w:szCs w:val="20"/>
                <w:color w:val="auto"/>
              </w:rPr>
            </w:pPr>
            <w:r>
              <w:rPr>
                <w:rFonts w:ascii="Arial" w:cs="Arial" w:eastAsia="Arial" w:hAnsi="Arial"/>
                <w:sz w:val="15"/>
                <w:szCs w:val="15"/>
                <w:color w:val="auto"/>
              </w:rPr>
              <w:t>Other comprehensive income (loss):</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7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Unrealized gain on investments, net of tax of $0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Total other comprehensive income</w:t>
            </w: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80" w:type="dxa"/>
            <w:vAlign w:val="bottom"/>
          </w:tcPr>
          <w:p>
            <w:pPr>
              <w:spacing w:after="0"/>
              <w:rPr>
                <w:sz w:val="20"/>
                <w:szCs w:val="20"/>
                <w:color w:val="auto"/>
              </w:rPr>
            </w:pPr>
            <w:r>
              <w:rPr>
                <w:rFonts w:ascii="Arial" w:cs="Arial" w:eastAsia="Arial" w:hAnsi="Arial"/>
                <w:sz w:val="15"/>
                <w:szCs w:val="15"/>
                <w:color w:val="auto"/>
              </w:rPr>
              <w:t>Comprehensive loss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(54,750)</w:t>
            </w:r>
          </w:p>
        </w:tc>
        <w:tc>
          <w:tcPr>
            <w:tcW w:w="40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(18,000)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(6,977)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5" w:right="21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CONVERTIBLE PREFERRED STOCK AND STOCKHOLDERS’ EQUITY (DEFICIT)</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00" w:type="dxa"/>
            <w:vAlign w:val="bottom"/>
          </w:tcPr>
          <w:p>
            <w:pPr>
              <w:spacing w:after="0"/>
              <w:rPr>
                <w:sz w:val="15"/>
                <w:szCs w:val="15"/>
                <w:color w:val="auto"/>
              </w:rPr>
            </w:pPr>
          </w:p>
        </w:tc>
        <w:tc>
          <w:tcPr>
            <w:tcW w:w="192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2"/>
                <w:szCs w:val="12"/>
                <w:b w:val="1"/>
                <w:bCs w:val="1"/>
                <w:color w:val="auto"/>
                <w:w w:val="88"/>
              </w:rPr>
              <w:t>Series A, A-2, B, C,</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140" w:type="dxa"/>
            <w:vAlign w:val="bottom"/>
            <w:gridSpan w:val="4"/>
          </w:tcPr>
          <w:p>
            <w:pPr>
              <w:jc w:val="center"/>
              <w:ind w:left="489"/>
              <w:spacing w:after="0" w:line="132" w:lineRule="exact"/>
              <w:rPr>
                <w:sz w:val="20"/>
                <w:szCs w:val="20"/>
                <w:color w:val="auto"/>
              </w:rPr>
            </w:pPr>
            <w:r>
              <w:rPr>
                <w:rFonts w:ascii="Arial" w:cs="Arial" w:eastAsia="Arial" w:hAnsi="Arial"/>
                <w:sz w:val="12"/>
                <w:szCs w:val="12"/>
                <w:b w:val="1"/>
                <w:bCs w:val="1"/>
                <w:color w:val="auto"/>
                <w:w w:val="89"/>
              </w:rPr>
              <w:t>D and D-1</w:t>
            </w: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1140" w:type="dxa"/>
            <w:vAlign w:val="bottom"/>
            <w:gridSpan w:val="4"/>
          </w:tcPr>
          <w:p>
            <w:pPr>
              <w:jc w:val="center"/>
              <w:ind w:left="489"/>
              <w:spacing w:after="0"/>
              <w:rPr>
                <w:sz w:val="20"/>
                <w:szCs w:val="20"/>
                <w:color w:val="auto"/>
              </w:rPr>
            </w:pPr>
            <w:r>
              <w:rPr>
                <w:rFonts w:ascii="Arial" w:cs="Arial" w:eastAsia="Arial" w:hAnsi="Arial"/>
                <w:sz w:val="12"/>
                <w:szCs w:val="12"/>
                <w:b w:val="1"/>
                <w:bCs w:val="1"/>
                <w:color w:val="auto"/>
                <w:w w:val="87"/>
              </w:rPr>
              <w:t>Convertible</w:t>
            </w: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8"/>
              </w:rPr>
              <w:t>Additional</w:t>
            </w:r>
          </w:p>
        </w:tc>
        <w:tc>
          <w:tcPr>
            <w:tcW w:w="160" w:type="dxa"/>
            <w:vAlign w:val="bottom"/>
          </w:tcPr>
          <w:p>
            <w:pPr>
              <w:spacing w:after="0"/>
              <w:rPr>
                <w:sz w:val="11"/>
                <w:szCs w:val="11"/>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10"/>
                <w:szCs w:val="10"/>
                <w:color w:val="auto"/>
              </w:rPr>
            </w:pPr>
          </w:p>
        </w:tc>
        <w:tc>
          <w:tcPr>
            <w:tcW w:w="1920" w:type="dxa"/>
            <w:vAlign w:val="bottom"/>
            <w:tcBorders>
              <w:right w:val="single" w:sz="8" w:color="auto"/>
            </w:tcBorders>
            <w:gridSpan w:val="6"/>
          </w:tcPr>
          <w:p>
            <w:pPr>
              <w:jc w:val="center"/>
              <w:ind w:right="220"/>
              <w:spacing w:after="0" w:line="122" w:lineRule="exact"/>
              <w:rPr>
                <w:sz w:val="20"/>
                <w:szCs w:val="20"/>
                <w:color w:val="auto"/>
              </w:rPr>
            </w:pPr>
            <w:r>
              <w:rPr>
                <w:rFonts w:ascii="Arial" w:cs="Arial" w:eastAsia="Arial" w:hAnsi="Arial"/>
                <w:sz w:val="12"/>
                <w:szCs w:val="12"/>
                <w:b w:val="1"/>
                <w:bCs w:val="1"/>
                <w:color w:val="auto"/>
                <w:w w:val="87"/>
              </w:rPr>
              <w:t>Preferred Stock</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4"/>
              <w:spacing w:after="0" w:line="122" w:lineRule="exact"/>
              <w:rPr>
                <w:sz w:val="20"/>
                <w:szCs w:val="20"/>
                <w:color w:val="auto"/>
              </w:rPr>
            </w:pPr>
            <w:r>
              <w:rPr>
                <w:rFonts w:ascii="Arial" w:cs="Arial" w:eastAsia="Arial" w:hAnsi="Arial"/>
                <w:sz w:val="12"/>
                <w:szCs w:val="12"/>
                <w:b w:val="1"/>
                <w:bCs w:val="1"/>
                <w:color w:val="auto"/>
              </w:rPr>
              <w:t>Par</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360"/>
              <w:spacing w:after="0" w:line="122" w:lineRule="exact"/>
              <w:rPr>
                <w:sz w:val="20"/>
                <w:szCs w:val="20"/>
                <w:color w:val="auto"/>
              </w:rPr>
            </w:pPr>
            <w:r>
              <w:rPr>
                <w:rFonts w:ascii="Arial" w:cs="Arial" w:eastAsia="Arial" w:hAnsi="Arial"/>
                <w:sz w:val="12"/>
                <w:szCs w:val="12"/>
                <w:b w:val="1"/>
                <w:bCs w:val="1"/>
                <w:color w:val="auto"/>
                <w:w w:val="94"/>
              </w:rPr>
              <w:t>Paid-in</w:t>
            </w:r>
          </w:p>
        </w:tc>
        <w:tc>
          <w:tcPr>
            <w:tcW w:w="980" w:type="dxa"/>
            <w:vAlign w:val="bottom"/>
            <w:gridSpan w:val="3"/>
          </w:tcPr>
          <w:p>
            <w:pPr>
              <w:jc w:val="center"/>
              <w:ind w:right="200"/>
              <w:spacing w:after="0" w:line="122" w:lineRule="exact"/>
              <w:rPr>
                <w:sz w:val="20"/>
                <w:szCs w:val="20"/>
                <w:color w:val="auto"/>
              </w:rPr>
            </w:pPr>
            <w:r>
              <w:rPr>
                <w:rFonts w:ascii="Arial" w:cs="Arial" w:eastAsia="Arial" w:hAnsi="Arial"/>
                <w:sz w:val="12"/>
                <w:szCs w:val="12"/>
                <w:b w:val="1"/>
                <w:bCs w:val="1"/>
                <w:color w:val="auto"/>
                <w:w w:val="86"/>
              </w:rPr>
              <w:t>Comprehensive</w:t>
            </w:r>
          </w:p>
        </w:tc>
        <w:tc>
          <w:tcPr>
            <w:tcW w:w="880" w:type="dxa"/>
            <w:vAlign w:val="bottom"/>
            <w:gridSpan w:val="3"/>
          </w:tcPr>
          <w:p>
            <w:pPr>
              <w:spacing w:after="0" w:line="122" w:lineRule="exact"/>
              <w:rPr>
                <w:sz w:val="20"/>
                <w:szCs w:val="20"/>
                <w:color w:val="auto"/>
              </w:rPr>
            </w:pPr>
            <w:r>
              <w:rPr>
                <w:rFonts w:ascii="Arial" w:cs="Arial" w:eastAsia="Arial" w:hAnsi="Arial"/>
                <w:sz w:val="12"/>
                <w:szCs w:val="12"/>
                <w:b w:val="1"/>
                <w:bCs w:val="1"/>
                <w:color w:val="auto"/>
              </w:rPr>
              <w:t>Accumulated</w:t>
            </w:r>
          </w:p>
        </w:tc>
        <w:tc>
          <w:tcPr>
            <w:tcW w:w="800" w:type="dxa"/>
            <w:vAlign w:val="bottom"/>
            <w:gridSpan w:val="3"/>
          </w:tcPr>
          <w:p>
            <w:pPr>
              <w:jc w:val="center"/>
              <w:ind w:right="120"/>
              <w:spacing w:after="0" w:line="122" w:lineRule="exact"/>
              <w:rPr>
                <w:sz w:val="20"/>
                <w:szCs w:val="20"/>
                <w:color w:val="auto"/>
              </w:rPr>
            </w:pPr>
            <w:r>
              <w:rPr>
                <w:rFonts w:ascii="Arial" w:cs="Arial" w:eastAsia="Arial" w:hAnsi="Arial"/>
                <w:sz w:val="12"/>
                <w:szCs w:val="12"/>
                <w:b w:val="1"/>
                <w:bCs w:val="1"/>
                <w:color w:val="auto"/>
                <w:w w:val="86"/>
              </w:rPr>
              <w:t>Stockholders'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w w:val="87"/>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10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w w:val="88"/>
              </w:rPr>
              <w:t>Amount</w:t>
            </w:r>
          </w:p>
        </w:tc>
        <w:tc>
          <w:tcPr>
            <w:tcW w:w="220" w:type="dxa"/>
            <w:vAlign w:val="bottom"/>
            <w:tcBorders>
              <w:bottom w:val="single" w:sz="8" w:color="CFF0FC"/>
              <w:right w:val="single" w:sz="8" w:color="auto"/>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Value</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4"/>
              </w:rPr>
              <w:t>Capital</w:t>
            </w:r>
          </w:p>
        </w:tc>
        <w:tc>
          <w:tcPr>
            <w:tcW w:w="20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2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w w:val="98"/>
              </w:rPr>
              <w:t>Deficit</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89"/>
              </w:rPr>
              <w:t>(Deficit)</w:t>
            </w:r>
          </w:p>
        </w:tc>
        <w:tc>
          <w:tcPr>
            <w:tcW w:w="100" w:type="dxa"/>
            <w:vAlign w:val="bottom"/>
            <w:tcBorders>
              <w:bottom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100" w:type="dxa"/>
            <w:vAlign w:val="bottom"/>
            <w:shd w:val="clear" w:color="auto" w:fill="CFF0FC"/>
          </w:tcPr>
          <w:p>
            <w:pPr>
              <w:jc w:val="center"/>
              <w:ind w:right="2147"/>
              <w:spacing w:after="0"/>
              <w:rPr>
                <w:sz w:val="20"/>
                <w:szCs w:val="20"/>
                <w:color w:val="auto"/>
              </w:rPr>
            </w:pPr>
            <w:r>
              <w:rPr>
                <w:rFonts w:ascii="Arial" w:cs="Arial" w:eastAsia="Arial" w:hAnsi="Arial"/>
                <w:sz w:val="15"/>
                <w:szCs w:val="15"/>
                <w:b w:val="1"/>
                <w:bCs w:val="1"/>
                <w:color w:val="auto"/>
                <w:w w:val="87"/>
              </w:rPr>
              <w:t>Balance at December 31, 2012</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10,478,189</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10,708</w:t>
            </w:r>
          </w:p>
        </w:tc>
        <w:tc>
          <w:tcPr>
            <w:tcW w:w="22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7,590,000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(4,355)</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(4,348)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Repurchase of unvested restricted common stock</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(735,000)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Stock-based compensation expense</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w w:val="97"/>
              </w:rPr>
              <w:t>Accretion of convertible preferred stock to redemption value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875</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(209)</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(666)</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(6,102)</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jc w:val="center"/>
              <w:ind w:right="2147"/>
              <w:spacing w:after="0"/>
              <w:rPr>
                <w:sz w:val="20"/>
                <w:szCs w:val="20"/>
                <w:color w:val="auto"/>
              </w:rPr>
            </w:pPr>
            <w:r>
              <w:rPr>
                <w:rFonts w:ascii="Arial" w:cs="Arial" w:eastAsia="Arial" w:hAnsi="Arial"/>
                <w:sz w:val="15"/>
                <w:szCs w:val="15"/>
                <w:b w:val="1"/>
                <w:bCs w:val="1"/>
                <w:color w:val="auto"/>
                <w:w w:val="87"/>
              </w:rPr>
              <w:t>Balance at December 31, 2013</w:t>
            </w: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10,478,189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11,583</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6,855,000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(11,123)</w:t>
            </w:r>
          </w:p>
        </w:tc>
        <w:tc>
          <w:tcPr>
            <w:tcW w:w="1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(11,116)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Issuance of Series B convertible preferred stock, net of</w:t>
            </w: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jc w:val="center"/>
              <w:ind w:right="2147"/>
              <w:spacing w:after="0"/>
              <w:rPr>
                <w:sz w:val="20"/>
                <w:szCs w:val="20"/>
                <w:color w:val="auto"/>
              </w:rPr>
            </w:pPr>
            <w:r>
              <w:rPr>
                <w:rFonts w:ascii="Arial" w:cs="Arial" w:eastAsia="Arial" w:hAnsi="Arial"/>
                <w:sz w:val="15"/>
                <w:szCs w:val="15"/>
                <w:color w:val="auto"/>
                <w:w w:val="85"/>
              </w:rPr>
              <w:t>issuance costs of $71</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4,831,359</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10,558</w:t>
            </w:r>
          </w:p>
        </w:tc>
        <w:tc>
          <w:tcPr>
            <w:tcW w:w="22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0"/>
              <w:spacing w:after="0"/>
              <w:rPr>
                <w:sz w:val="20"/>
                <w:szCs w:val="20"/>
                <w:color w:val="auto"/>
              </w:rPr>
            </w:pPr>
            <w:r>
              <w:rPr>
                <w:rFonts w:ascii="Arial" w:cs="Arial" w:eastAsia="Arial" w:hAnsi="Arial"/>
                <w:sz w:val="15"/>
                <w:szCs w:val="15"/>
                <w:color w:val="auto"/>
              </w:rPr>
              <w:t>Issuance of Series C convertible preferred stock, net of</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320"/>
              <w:spacing w:after="0"/>
              <w:rPr>
                <w:sz w:val="20"/>
                <w:szCs w:val="20"/>
                <w:color w:val="auto"/>
              </w:rPr>
            </w:pPr>
            <w:r>
              <w:rPr>
                <w:rFonts w:ascii="Arial" w:cs="Arial" w:eastAsia="Arial" w:hAnsi="Arial"/>
                <w:sz w:val="15"/>
                <w:szCs w:val="15"/>
                <w:color w:val="auto"/>
              </w:rPr>
              <w:t>issuance costs of $187</w:t>
            </w:r>
          </w:p>
        </w:tc>
        <w:tc>
          <w:tcPr>
            <w:tcW w:w="820" w:type="dxa"/>
            <w:vAlign w:val="bottom"/>
          </w:tcPr>
          <w:p>
            <w:pPr>
              <w:jc w:val="right"/>
              <w:spacing w:after="0"/>
              <w:rPr>
                <w:sz w:val="20"/>
                <w:szCs w:val="20"/>
                <w:color w:val="auto"/>
              </w:rPr>
            </w:pPr>
            <w:r>
              <w:rPr>
                <w:rFonts w:ascii="Arial" w:cs="Arial" w:eastAsia="Arial" w:hAnsi="Arial"/>
                <w:sz w:val="15"/>
                <w:szCs w:val="15"/>
                <w:color w:val="auto"/>
              </w:rPr>
              <w:t>3,946,328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47,813</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Issuance of Series D and D-1 convertible preferred stock,</w:t>
            </w: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320"/>
              <w:spacing w:after="0"/>
              <w:rPr>
                <w:sz w:val="20"/>
                <w:szCs w:val="20"/>
                <w:color w:val="auto"/>
              </w:rPr>
            </w:pPr>
            <w:r>
              <w:rPr>
                <w:rFonts w:ascii="Arial" w:cs="Arial" w:eastAsia="Arial" w:hAnsi="Arial"/>
                <w:sz w:val="15"/>
                <w:szCs w:val="15"/>
                <w:color w:val="auto"/>
              </w:rPr>
              <w:t>net of issuance costs of $168</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3,611,111</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64,832</w:t>
            </w:r>
          </w:p>
        </w:tc>
        <w:tc>
          <w:tcPr>
            <w:tcW w:w="22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Issuance of common stock upon exercise of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28,687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Issuance of common stock</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Issuance of common stock warrant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Stock-based compensation expense</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w w:val="97"/>
              </w:rPr>
              <w:t>Accretion of convertible preferred stock to redemption value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1,291</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(1,291)</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(1,291)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(16,709)</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(16,709)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jc w:val="center"/>
              <w:ind w:right="2147"/>
              <w:spacing w:after="0"/>
              <w:rPr>
                <w:sz w:val="20"/>
                <w:szCs w:val="20"/>
                <w:color w:val="auto"/>
              </w:rPr>
            </w:pPr>
            <w:r>
              <w:rPr>
                <w:rFonts w:ascii="Arial" w:cs="Arial" w:eastAsia="Arial" w:hAnsi="Arial"/>
                <w:sz w:val="15"/>
                <w:szCs w:val="15"/>
                <w:b w:val="1"/>
                <w:bCs w:val="1"/>
                <w:color w:val="auto"/>
                <w:w w:val="87"/>
              </w:rPr>
              <w:t>Balance at December 31, 2014</w:t>
            </w: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22,866,987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136,077</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6,890,250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354"/>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1,104</w:t>
            </w:r>
          </w:p>
        </w:tc>
        <w:tc>
          <w:tcPr>
            <w:tcW w:w="200" w:type="dxa"/>
            <w:vAlign w:val="bottom"/>
          </w:tcPr>
          <w:p>
            <w:pPr>
              <w:spacing w:after="0"/>
              <w:rPr>
                <w:sz w:val="18"/>
                <w:szCs w:val="18"/>
                <w:color w:val="auto"/>
              </w:rPr>
            </w:pPr>
          </w:p>
        </w:tc>
        <w:tc>
          <w:tcPr>
            <w:tcW w:w="16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(27,832)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(26,721)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00" w:type="dxa"/>
            <w:vAlign w:val="bottom"/>
            <w:tcBorders>
              <w:top w:val="single" w:sz="8" w:color="CFF0FC"/>
            </w:tcBorders>
            <w:shd w:val="clear" w:color="auto" w:fill="CFF0FC"/>
          </w:tcPr>
          <w:p>
            <w:pPr>
              <w:ind w:left="200"/>
              <w:spacing w:after="0" w:line="159" w:lineRule="exact"/>
              <w:rPr>
                <w:sz w:val="20"/>
                <w:szCs w:val="20"/>
                <w:color w:val="auto"/>
              </w:rPr>
            </w:pPr>
            <w:r>
              <w:rPr>
                <w:rFonts w:ascii="Arial" w:cs="Arial" w:eastAsia="Arial" w:hAnsi="Arial"/>
                <w:sz w:val="15"/>
                <w:szCs w:val="15"/>
                <w:color w:val="auto"/>
              </w:rPr>
              <w:t>Issuance of common stock upon exercise of stock options</w:t>
            </w:r>
          </w:p>
        </w:tc>
        <w:tc>
          <w:tcPr>
            <w:tcW w:w="82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232,970</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w w:val="93"/>
              </w:rPr>
              <w:t>—</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93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ind w:left="460"/>
              <w:spacing w:after="0" w:line="159" w:lineRule="exact"/>
              <w:rPr>
                <w:sz w:val="20"/>
                <w:szCs w:val="20"/>
                <w:color w:val="auto"/>
              </w:rPr>
            </w:pPr>
            <w:r>
              <w:rPr>
                <w:rFonts w:ascii="Arial" w:cs="Arial" w:eastAsia="Arial" w:hAnsi="Arial"/>
                <w:sz w:val="15"/>
                <w:szCs w:val="15"/>
                <w:color w:val="auto"/>
                <w:w w:val="93"/>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93</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0"/>
              <w:spacing w:after="0"/>
              <w:rPr>
                <w:sz w:val="20"/>
                <w:szCs w:val="20"/>
                <w:color w:val="auto"/>
              </w:rPr>
            </w:pPr>
            <w:r>
              <w:rPr>
                <w:rFonts w:ascii="Arial" w:cs="Arial" w:eastAsia="Arial" w:hAnsi="Arial"/>
                <w:sz w:val="15"/>
                <w:szCs w:val="15"/>
                <w:color w:val="auto"/>
                <w:w w:val="98"/>
              </w:rPr>
              <w:t>Issuance of common stock upon exercise of common stock</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warrant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546,672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w w:val="99"/>
              </w:rPr>
              <w:t>Issuance of common stock upon completion of initial public</w:t>
            </w: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offering, net of offering costs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8,545,138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139,259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139,267</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9,694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9,694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Series D convertible preferred stock issuance costs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(24)</w:t>
            </w:r>
          </w:p>
        </w:tc>
        <w:tc>
          <w:tcPr>
            <w:tcW w:w="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Reclassification of preferred stock warrant liability</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1,589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Conversion of convertible preferred stock upon listing</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(22,866,987)</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93"/>
              </w:rPr>
              <w:t>(136,053)</w:t>
            </w: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22,866,987</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3"/>
              </w:rPr>
              <w:t>23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136,030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136,053</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0"/>
              <w:spacing w:after="0"/>
              <w:rPr>
                <w:sz w:val="20"/>
                <w:szCs w:val="20"/>
                <w:color w:val="auto"/>
              </w:rPr>
            </w:pPr>
            <w:r>
              <w:rPr>
                <w:rFonts w:ascii="Arial" w:cs="Arial" w:eastAsia="Arial" w:hAnsi="Arial"/>
                <w:sz w:val="15"/>
                <w:szCs w:val="15"/>
                <w:color w:val="auto"/>
              </w:rPr>
              <w:t>Unrealized gain on investments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ind w:left="460"/>
              <w:spacing w:after="0"/>
              <w:rPr>
                <w:sz w:val="20"/>
                <w:szCs w:val="20"/>
                <w:color w:val="auto"/>
              </w:rPr>
            </w:pPr>
            <w:r>
              <w:rPr>
                <w:rFonts w:ascii="Arial" w:cs="Arial" w:eastAsia="Arial" w:hAnsi="Arial"/>
                <w:sz w:val="15"/>
                <w:szCs w:val="15"/>
                <w:color w:val="auto"/>
                <w:w w:val="83"/>
              </w:rPr>
              <w:t>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(54,780)</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(54,780)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jc w:val="center"/>
              <w:ind w:right="2147"/>
              <w:spacing w:after="0"/>
              <w:rPr>
                <w:sz w:val="20"/>
                <w:szCs w:val="20"/>
                <w:color w:val="auto"/>
              </w:rPr>
            </w:pPr>
            <w:r>
              <w:rPr>
                <w:rFonts w:ascii="Arial" w:cs="Arial" w:eastAsia="Arial" w:hAnsi="Arial"/>
                <w:sz w:val="15"/>
                <w:szCs w:val="15"/>
                <w:b w:val="1"/>
                <w:bCs w:val="1"/>
                <w:color w:val="auto"/>
                <w:w w:val="87"/>
              </w:rPr>
              <w:t>Balance at December 31, 2015</w:t>
            </w: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39,082,017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4"/>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83"/>
              </w:rPr>
              <w:t>39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287,937</w:t>
            </w:r>
          </w:p>
        </w:tc>
        <w:tc>
          <w:tcPr>
            <w:tcW w:w="2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60"/>
              <w:spacing w:after="0"/>
              <w:rPr>
                <w:sz w:val="20"/>
                <w:szCs w:val="20"/>
                <w:color w:val="auto"/>
              </w:rPr>
            </w:pPr>
            <w:r>
              <w:rPr>
                <w:rFonts w:ascii="Arial" w:cs="Arial" w:eastAsia="Arial" w:hAnsi="Arial"/>
                <w:sz w:val="15"/>
                <w:szCs w:val="15"/>
                <w:color w:val="auto"/>
                <w:w w:val="83"/>
              </w:rPr>
              <w:t>30</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(82,612)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205,394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ind w:left="400"/>
              <w:spacing w:after="0"/>
              <w:rPr>
                <w:sz w:val="20"/>
                <w:szCs w:val="20"/>
                <w:color w:val="auto"/>
              </w:rPr>
            </w:pPr>
            <w:r>
              <w:rPr>
                <w:rFonts w:ascii="Arial" w:cs="Arial" w:eastAsia="Arial" w:hAnsi="Arial"/>
                <w:sz w:val="15"/>
                <w:szCs w:val="15"/>
                <w:color w:val="auto"/>
              </w:rPr>
              <w:t>F-5</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75" w:right="19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w w:val="88"/>
              </w:rPr>
              <w:t>Year Ended December 31,</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440" w:type="dxa"/>
            <w:vAlign w:val="bottom"/>
            <w:tcBorders>
              <w:bottom w:val="single" w:sz="8" w:color="CFF0FC"/>
            </w:tcBorders>
          </w:tcPr>
          <w:p>
            <w:pPr>
              <w:spacing w:after="0"/>
              <w:rPr>
                <w:sz w:val="10"/>
                <w:szCs w:val="10"/>
                <w:color w:val="auto"/>
              </w:rPr>
            </w:pPr>
          </w:p>
        </w:tc>
        <w:tc>
          <w:tcPr>
            <w:tcW w:w="1340" w:type="dxa"/>
            <w:vAlign w:val="bottom"/>
            <w:tcBorders>
              <w:bottom w:val="single" w:sz="8" w:color="CFF0FC"/>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8"/>
              <w:spacing w:after="0" w:line="122" w:lineRule="exact"/>
              <w:rPr>
                <w:sz w:val="20"/>
                <w:szCs w:val="20"/>
                <w:color w:val="auto"/>
              </w:rPr>
            </w:pPr>
            <w:r>
              <w:rPr>
                <w:rFonts w:ascii="Arial" w:cs="Arial" w:eastAsia="Arial" w:hAnsi="Arial"/>
                <w:sz w:val="12"/>
                <w:szCs w:val="12"/>
                <w:b w:val="1"/>
                <w:bCs w:val="1"/>
                <w:color w:val="auto"/>
              </w:rPr>
              <w:t>2014</w:t>
            </w:r>
          </w:p>
        </w:tc>
        <w:tc>
          <w:tcPr>
            <w:tcW w:w="16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08"/>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Arial" w:cs="Arial" w:eastAsia="Arial" w:hAnsi="Arial"/>
                <w:sz w:val="15"/>
                <w:szCs w:val="15"/>
                <w:color w:val="auto"/>
              </w:rPr>
              <w:t>Net loss</w:t>
            </w:r>
          </w:p>
        </w:tc>
        <w:tc>
          <w:tcPr>
            <w:tcW w:w="2140" w:type="dxa"/>
            <w:vAlign w:val="bottom"/>
            <w:gridSpan w:val="2"/>
          </w:tcPr>
          <w:p>
            <w:pPr>
              <w:jc w:val="right"/>
              <w:ind w:right="662"/>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(54,780)</w:t>
            </w:r>
          </w:p>
        </w:tc>
        <w:tc>
          <w:tcPr>
            <w:tcW w:w="40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(16,709)</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Adjustments to reconcile net loss to net cash used in operating</w:t>
            </w: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320"/>
              <w:spacing w:after="0"/>
              <w:rPr>
                <w:sz w:val="20"/>
                <w:szCs w:val="20"/>
                <w:color w:val="auto"/>
              </w:rPr>
            </w:pPr>
            <w:r>
              <w:rPr>
                <w:rFonts w:ascii="Arial" w:cs="Arial" w:eastAsia="Arial" w:hAnsi="Arial"/>
                <w:sz w:val="15"/>
                <w:szCs w:val="15"/>
                <w:color w:val="auto"/>
              </w:rPr>
              <w:t>activities:</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400"/>
              <w:spacing w:after="0"/>
              <w:rPr>
                <w:sz w:val="20"/>
                <w:szCs w:val="20"/>
                <w:color w:val="auto"/>
              </w:rPr>
            </w:pPr>
            <w:r>
              <w:rPr>
                <w:rFonts w:ascii="Arial" w:cs="Arial" w:eastAsia="Arial" w:hAnsi="Arial"/>
                <w:sz w:val="15"/>
                <w:szCs w:val="15"/>
                <w:color w:val="auto"/>
              </w:rPr>
              <w:t>Stock-based compensation expense</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9,694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400"/>
              <w:spacing w:after="0"/>
              <w:rPr>
                <w:sz w:val="20"/>
                <w:szCs w:val="20"/>
                <w:color w:val="auto"/>
              </w:rPr>
            </w:pPr>
            <w:r>
              <w:rPr>
                <w:rFonts w:ascii="Arial" w:cs="Arial" w:eastAsia="Arial" w:hAnsi="Arial"/>
                <w:sz w:val="15"/>
                <w:szCs w:val="15"/>
                <w:color w:val="auto"/>
              </w:rPr>
              <w:t>Depreciation and amortization expense</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400"/>
              <w:spacing w:after="0"/>
              <w:rPr>
                <w:sz w:val="20"/>
                <w:szCs w:val="20"/>
                <w:color w:val="auto"/>
              </w:rPr>
            </w:pPr>
            <w:r>
              <w:rPr>
                <w:rFonts w:ascii="Arial" w:cs="Arial" w:eastAsia="Arial" w:hAnsi="Arial"/>
                <w:sz w:val="15"/>
                <w:szCs w:val="15"/>
                <w:color w:val="auto"/>
              </w:rPr>
              <w:t>Loss from revaluation of preferred stock warrant liability</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400"/>
              <w:spacing w:after="0"/>
              <w:rPr>
                <w:sz w:val="20"/>
                <w:szCs w:val="20"/>
                <w:color w:val="auto"/>
              </w:rPr>
            </w:pPr>
            <w:r>
              <w:rPr>
                <w:rFonts w:ascii="Arial" w:cs="Arial" w:eastAsia="Arial" w:hAnsi="Arial"/>
                <w:sz w:val="15"/>
                <w:szCs w:val="15"/>
                <w:color w:val="auto"/>
              </w:rPr>
              <w:t>Licensing fees paid in common stock warrant</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400"/>
              <w:spacing w:after="0"/>
              <w:rPr>
                <w:sz w:val="20"/>
                <w:szCs w:val="20"/>
                <w:color w:val="auto"/>
              </w:rPr>
            </w:pPr>
            <w:r>
              <w:rPr>
                <w:rFonts w:ascii="Arial" w:cs="Arial" w:eastAsia="Arial" w:hAnsi="Arial"/>
                <w:sz w:val="15"/>
                <w:szCs w:val="15"/>
                <w:color w:val="auto"/>
              </w:rPr>
              <w:t>Other non-cash expense</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Changes in operating assets and liabilities:</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600"/>
              <w:spacing w:after="0"/>
              <w:rPr>
                <w:sz w:val="20"/>
                <w:szCs w:val="20"/>
                <w:color w:val="auto"/>
              </w:rPr>
            </w:pPr>
            <w:r>
              <w:rPr>
                <w:rFonts w:ascii="Arial" w:cs="Arial" w:eastAsia="Arial" w:hAnsi="Arial"/>
                <w:sz w:val="15"/>
                <w:szCs w:val="15"/>
                <w:color w:val="auto"/>
              </w:rPr>
              <w:t>Prepaid expenses and other current assets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(2,470)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600"/>
              <w:spacing w:after="0"/>
              <w:rPr>
                <w:sz w:val="20"/>
                <w:szCs w:val="20"/>
                <w:color w:val="auto"/>
              </w:rPr>
            </w:pPr>
            <w:r>
              <w:rPr>
                <w:rFonts w:ascii="Arial" w:cs="Arial" w:eastAsia="Arial" w:hAnsi="Arial"/>
                <w:sz w:val="15"/>
                <w:szCs w:val="15"/>
                <w:color w:val="auto"/>
              </w:rPr>
              <w:t>Accounts payable</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2,682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Borders>
              <w:bottom w:val="single" w:sz="8" w:color="CFF0FC"/>
            </w:tcBorders>
          </w:tcPr>
          <w:p>
            <w:pPr>
              <w:ind w:left="600"/>
              <w:spacing w:after="0"/>
              <w:rPr>
                <w:sz w:val="20"/>
                <w:szCs w:val="20"/>
                <w:color w:val="auto"/>
              </w:rPr>
            </w:pPr>
            <w:r>
              <w:rPr>
                <w:rFonts w:ascii="Arial" w:cs="Arial" w:eastAsia="Arial" w:hAnsi="Arial"/>
                <w:sz w:val="15"/>
                <w:szCs w:val="15"/>
                <w:color w:val="auto"/>
              </w:rPr>
              <w:t>Accrued expenses and other liabilities</w:t>
            </w:r>
          </w:p>
        </w:tc>
        <w:tc>
          <w:tcPr>
            <w:tcW w:w="13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2,928</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1,474</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Net cash used in operating activities</w:t>
            </w: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(40,844)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(10,358)</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3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property and equipment</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(4,362)</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(1,001)</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Arial" w:cs="Arial" w:eastAsia="Arial" w:hAnsi="Arial"/>
                <w:sz w:val="15"/>
                <w:szCs w:val="15"/>
                <w:color w:val="auto"/>
              </w:rPr>
              <w:t>Purchases of Short-term investments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(267,761)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Maturities of Short-term investments</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136,390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Arial" w:cs="Arial" w:eastAsia="Arial" w:hAnsi="Arial"/>
                <w:sz w:val="15"/>
                <w:szCs w:val="15"/>
                <w:color w:val="auto"/>
              </w:rPr>
              <w:t>Changes in restricted cash</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(1,400)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ind w:left="400"/>
              <w:spacing w:after="0"/>
              <w:rPr>
                <w:sz w:val="20"/>
                <w:szCs w:val="20"/>
                <w:color w:val="auto"/>
              </w:rPr>
            </w:pPr>
            <w:r>
              <w:rPr>
                <w:rFonts w:ascii="Arial" w:cs="Arial" w:eastAsia="Arial" w:hAnsi="Arial"/>
                <w:sz w:val="15"/>
                <w:szCs w:val="15"/>
                <w:color w:val="auto"/>
              </w:rPr>
              <w:t>Net cash used in investing activities</w:t>
            </w:r>
          </w:p>
        </w:tc>
        <w:tc>
          <w:tcPr>
            <w:tcW w:w="13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40" w:type="dxa"/>
            <w:vAlign w:val="bottom"/>
            <w:vMerge w:val="continue"/>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90"/>
              </w:rPr>
              <w:t>(137,133)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(1,103)</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3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convertible preferred stock, net of</w:t>
            </w: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320"/>
              <w:spacing w:after="0"/>
              <w:rPr>
                <w:sz w:val="20"/>
                <w:szCs w:val="20"/>
                <w:color w:val="auto"/>
              </w:rPr>
            </w:pPr>
            <w:r>
              <w:rPr>
                <w:rFonts w:ascii="Arial" w:cs="Arial" w:eastAsia="Arial" w:hAnsi="Arial"/>
                <w:sz w:val="15"/>
                <w:szCs w:val="15"/>
                <w:color w:val="auto"/>
              </w:rPr>
              <w:t>issuance costs</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123,203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200"/>
              <w:spacing w:after="0"/>
              <w:rPr>
                <w:sz w:val="20"/>
                <w:szCs w:val="20"/>
                <w:color w:val="auto"/>
              </w:rPr>
            </w:pPr>
            <w:r>
              <w:rPr>
                <w:rFonts w:ascii="Arial" w:cs="Arial" w:eastAsia="Arial" w:hAnsi="Arial"/>
                <w:sz w:val="15"/>
                <w:szCs w:val="15"/>
                <w:color w:val="auto"/>
              </w:rPr>
              <w:t>Proceeds from issuance of notes payable and preferred stock</w:t>
            </w: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320"/>
              <w:spacing w:after="0"/>
              <w:rPr>
                <w:sz w:val="20"/>
                <w:szCs w:val="20"/>
                <w:color w:val="auto"/>
              </w:rPr>
            </w:pPr>
            <w:r>
              <w:rPr>
                <w:rFonts w:ascii="Arial" w:cs="Arial" w:eastAsia="Arial" w:hAnsi="Arial"/>
                <w:sz w:val="15"/>
                <w:szCs w:val="15"/>
                <w:color w:val="auto"/>
              </w:rPr>
              <w:t>warrant, net of issuance costs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exercise of stock options and warrants</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Arial" w:cs="Arial" w:eastAsia="Arial" w:hAnsi="Arial"/>
                <w:sz w:val="15"/>
                <w:szCs w:val="15"/>
                <w:color w:val="auto"/>
              </w:rPr>
              <w:t>Proceeds from Issuance of common stock in connection with IPO</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143,015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common stock and restricted common</w:t>
            </w: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320"/>
              <w:spacing w:after="0"/>
              <w:rPr>
                <w:sz w:val="20"/>
                <w:szCs w:val="20"/>
                <w:color w:val="auto"/>
              </w:rPr>
            </w:pPr>
            <w:r>
              <w:rPr>
                <w:rFonts w:ascii="Arial" w:cs="Arial" w:eastAsia="Arial" w:hAnsi="Arial"/>
                <w:sz w:val="15"/>
                <w:szCs w:val="15"/>
                <w:color w:val="auto"/>
              </w:rPr>
              <w:t>stock</w:t>
            </w:r>
          </w:p>
        </w:tc>
        <w:tc>
          <w:tcPr>
            <w:tcW w:w="1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Arial" w:cs="Arial" w:eastAsia="Arial" w:hAnsi="Arial"/>
                <w:sz w:val="15"/>
                <w:szCs w:val="15"/>
                <w:color w:val="auto"/>
              </w:rPr>
              <w:t>Repayment of notes payable</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(2,600)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of initial public offering costs</w:t>
            </w:r>
          </w:p>
        </w:tc>
        <w:tc>
          <w:tcPr>
            <w:tcW w:w="1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(2,928)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(821)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44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Net cash provided by financing activities</w:t>
            </w:r>
          </w:p>
        </w:tc>
        <w:tc>
          <w:tcPr>
            <w:tcW w:w="1340" w:type="dxa"/>
            <w:vAlign w:val="bottom"/>
            <w:tcBorders>
              <w:bottom w:val="single" w:sz="8" w:color="CFF0FC"/>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137,725</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123,992</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(40,252)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112,531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(4,561)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cash equivalents at beginning of year</w:t>
            </w:r>
          </w:p>
        </w:tc>
        <w:tc>
          <w:tcPr>
            <w:tcW w:w="13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114,185</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1,654</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6,215</w:t>
            </w:r>
          </w:p>
        </w:tc>
        <w:tc>
          <w:tcPr>
            <w:tcW w:w="10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end of year</w:t>
            </w:r>
          </w:p>
        </w:tc>
        <w:tc>
          <w:tcPr>
            <w:tcW w:w="2140" w:type="dxa"/>
            <w:vAlign w:val="bottom"/>
            <w:gridSpan w:val="2"/>
            <w:shd w:val="clear" w:color="auto" w:fill="CFF0FC"/>
          </w:tcPr>
          <w:p>
            <w:pPr>
              <w:jc w:val="right"/>
              <w:ind w:right="662"/>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73,933</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114,185</w:t>
            </w:r>
          </w:p>
        </w:tc>
        <w:tc>
          <w:tcPr>
            <w:tcW w:w="1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1,654</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3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for interest</w:t>
            </w:r>
          </w:p>
        </w:tc>
        <w:tc>
          <w:tcPr>
            <w:tcW w:w="2140" w:type="dxa"/>
            <w:vAlign w:val="bottom"/>
            <w:gridSpan w:val="2"/>
            <w:shd w:val="clear" w:color="auto" w:fill="CFF0FC"/>
          </w:tcPr>
          <w:p>
            <w:pPr>
              <w:jc w:val="right"/>
              <w:ind w:right="662"/>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w:t>
            </w:r>
          </w:p>
        </w:tc>
        <w:tc>
          <w:tcPr>
            <w:tcW w:w="16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line="172"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40" w:type="dxa"/>
            <w:vAlign w:val="bottom"/>
          </w:tcPr>
          <w:p>
            <w:pPr>
              <w:ind w:left="120"/>
              <w:spacing w:after="0"/>
              <w:rPr>
                <w:sz w:val="20"/>
                <w:szCs w:val="20"/>
                <w:color w:val="auto"/>
              </w:rPr>
            </w:pPr>
            <w:r>
              <w:rPr>
                <w:rFonts w:ascii="Arial" w:cs="Arial" w:eastAsia="Arial" w:hAnsi="Arial"/>
                <w:sz w:val="15"/>
                <w:szCs w:val="15"/>
                <w:b w:val="1"/>
                <w:bCs w:val="1"/>
                <w:color w:val="auto"/>
              </w:rPr>
              <w:t>activities: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Accretion of convertible preferred stock to redemption value</w:t>
            </w:r>
          </w:p>
        </w:tc>
        <w:tc>
          <w:tcPr>
            <w:tcW w:w="2140" w:type="dxa"/>
            <w:vAlign w:val="bottom"/>
            <w:gridSpan w:val="2"/>
            <w:shd w:val="clear" w:color="auto" w:fill="CFF0FC"/>
          </w:tcPr>
          <w:p>
            <w:pPr>
              <w:jc w:val="right"/>
              <w:ind w:right="662"/>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1,291</w:t>
            </w:r>
          </w:p>
        </w:tc>
        <w:tc>
          <w:tcPr>
            <w:tcW w:w="16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875</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200"/>
              <w:spacing w:after="0"/>
              <w:rPr>
                <w:sz w:val="20"/>
                <w:szCs w:val="20"/>
                <w:color w:val="auto"/>
              </w:rPr>
            </w:pPr>
            <w:r>
              <w:rPr>
                <w:rFonts w:ascii="Arial" w:cs="Arial" w:eastAsia="Arial" w:hAnsi="Arial"/>
                <w:sz w:val="15"/>
                <w:szCs w:val="15"/>
                <w:color w:val="auto"/>
              </w:rPr>
              <w:t>Issuance of preferred stock warrant in connection with notes</w:t>
            </w: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320"/>
              <w:spacing w:after="0"/>
              <w:rPr>
                <w:sz w:val="20"/>
                <w:szCs w:val="20"/>
                <w:color w:val="auto"/>
              </w:rPr>
            </w:pPr>
            <w:r>
              <w:rPr>
                <w:rFonts w:ascii="Arial" w:cs="Arial" w:eastAsia="Arial" w:hAnsi="Arial"/>
                <w:sz w:val="15"/>
                <w:szCs w:val="15"/>
                <w:color w:val="auto"/>
              </w:rPr>
              <w:t>payable</w:t>
            </w:r>
          </w:p>
        </w:tc>
        <w:tc>
          <w:tcPr>
            <w:tcW w:w="2140" w:type="dxa"/>
            <w:vAlign w:val="bottom"/>
            <w:gridSpan w:val="2"/>
          </w:tcPr>
          <w:p>
            <w:pPr>
              <w:jc w:val="right"/>
              <w:ind w:right="662"/>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offering costs included in accounts payable</w:t>
            </w:r>
          </w:p>
        </w:tc>
        <w:tc>
          <w:tcPr>
            <w:tcW w:w="2140" w:type="dxa"/>
            <w:vAlign w:val="bottom"/>
            <w:gridSpan w:val="2"/>
            <w:shd w:val="clear" w:color="auto" w:fill="CFF0FC"/>
          </w:tcPr>
          <w:p>
            <w:pPr>
              <w:jc w:val="right"/>
              <w:ind w:right="662"/>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863</w:t>
            </w:r>
          </w:p>
        </w:tc>
        <w:tc>
          <w:tcPr>
            <w:tcW w:w="16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Arial" w:cs="Arial" w:eastAsia="Arial" w:hAnsi="Arial"/>
                <w:sz w:val="15"/>
                <w:szCs w:val="15"/>
                <w:color w:val="auto"/>
                <w:w w:val="89"/>
              </w:rPr>
              <w:t>Property and equipment purchases included in accounts payable and accrued expenses</w:t>
            </w:r>
          </w:p>
        </w:tc>
        <w:tc>
          <w:tcPr>
            <w:tcW w:w="2140" w:type="dxa"/>
            <w:vAlign w:val="bottom"/>
            <w:gridSpan w:val="2"/>
          </w:tcPr>
          <w:p>
            <w:pPr>
              <w:jc w:val="right"/>
              <w:ind w:right="662"/>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2,953</w:t>
            </w:r>
          </w:p>
        </w:tc>
        <w:tc>
          <w:tcPr>
            <w:tcW w:w="160" w:type="dxa"/>
            <w:vAlign w:val="bottom"/>
          </w:tcPr>
          <w:p>
            <w:pPr>
              <w:spacing w:after="0"/>
              <w:rPr>
                <w:sz w:val="16"/>
                <w:szCs w:val="16"/>
                <w:color w:val="auto"/>
              </w:rPr>
            </w:pPr>
          </w:p>
        </w:tc>
        <w:tc>
          <w:tcPr>
            <w:tcW w:w="40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8"/>
        </w:trPr>
        <w:tc>
          <w:tcPr>
            <w:tcW w:w="5440" w:type="dxa"/>
            <w:vAlign w:val="bottom"/>
          </w:tcPr>
          <w:p>
            <w:pPr>
              <w:spacing w:after="0"/>
              <w:rPr>
                <w:sz w:val="24"/>
                <w:szCs w:val="24"/>
                <w:color w:val="auto"/>
              </w:rPr>
            </w:pPr>
          </w:p>
        </w:tc>
        <w:tc>
          <w:tcPr>
            <w:tcW w:w="2140" w:type="dxa"/>
            <w:vAlign w:val="bottom"/>
            <w:gridSpan w:val="2"/>
          </w:tcPr>
          <w:p>
            <w:pPr>
              <w:jc w:val="right"/>
              <w:ind w:right="1682"/>
              <w:spacing w:after="0"/>
              <w:rPr>
                <w:sz w:val="20"/>
                <w:szCs w:val="20"/>
                <w:color w:val="auto"/>
              </w:rPr>
            </w:pPr>
            <w:r>
              <w:rPr>
                <w:rFonts w:ascii="Arial" w:cs="Arial" w:eastAsia="Arial" w:hAnsi="Arial"/>
                <w:sz w:val="15"/>
                <w:szCs w:val="15"/>
                <w:color w:val="auto"/>
              </w:rPr>
              <w:t>F-6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4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803" w:right="19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338"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the Business and Basis of Presentation</w:t>
      </w:r>
    </w:p>
    <w:p>
      <w:pPr>
        <w:spacing w:after="0" w:line="94" w:lineRule="exact"/>
        <w:rPr>
          <w:sz w:val="20"/>
          <w:szCs w:val="20"/>
          <w:color w:val="auto"/>
        </w:rPr>
      </w:pPr>
    </w:p>
    <w:p>
      <w:pPr>
        <w:ind w:right="80" w:firstLine="520"/>
        <w:spacing w:after="0" w:line="318" w:lineRule="auto"/>
        <w:rPr>
          <w:sz w:val="20"/>
          <w:szCs w:val="20"/>
          <w:color w:val="auto"/>
        </w:rPr>
      </w:pPr>
      <w:r>
        <w:rPr>
          <w:rFonts w:ascii="Arial" w:cs="Arial" w:eastAsia="Arial" w:hAnsi="Arial"/>
          <w:sz w:val="12"/>
          <w:szCs w:val="12"/>
          <w:color w:val="auto"/>
        </w:rPr>
        <w:t xml:space="preserve">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restore health by repairing the function of a dysbiotic microbiome. The Company’s lead product candidate, SER-109, is designed to prevent further recurrences of </w:t>
      </w:r>
      <w:r>
        <w:rPr>
          <w:rFonts w:ascii="Arial" w:cs="Arial" w:eastAsia="Arial" w:hAnsi="Arial"/>
          <w:sz w:val="12"/>
          <w:szCs w:val="12"/>
          <w:i w:val="1"/>
          <w:iCs w:val="1"/>
          <w:color w:val="auto"/>
        </w:rPr>
        <w:t>Clostridium difficile</w:t>
      </w:r>
      <w:r>
        <w:rPr>
          <w:rFonts w:ascii="Arial" w:cs="Arial" w:eastAsia="Arial" w:hAnsi="Arial"/>
          <w:sz w:val="12"/>
          <w:szCs w:val="12"/>
          <w:color w:val="auto"/>
        </w:rPr>
        <w:t xml:space="preserve"> infection (“CDI”), a debilitating infection of the colon, and, if approved by the U.S. Food and Drug Administration (“FDA”), could be a first-in-field drug. Using its microbiome therapeutics platform, the Company is developing additional product candidates, including SER-262 to prevent an initial recurrence of primary CDI and SER-287 to treat ulcerative colitis, and other product candidates to treat enteric pathogens, such as antibiotic-resistant bacteria. The Company is also conducting research on metabolic diseases, such as early-stage, non-insulin dependent diabetes; other inflammatory diseases, such as Crohn’s disease; and infections related to antibiotic use, cancer chemotherapy and immune suppression.</w:t>
      </w:r>
    </w:p>
    <w:p>
      <w:pPr>
        <w:spacing w:after="0" w:line="120" w:lineRule="exact"/>
        <w:rPr>
          <w:sz w:val="20"/>
          <w:szCs w:val="20"/>
          <w:color w:val="auto"/>
        </w:rPr>
      </w:pPr>
    </w:p>
    <w:p>
      <w:pPr>
        <w:ind w:right="120" w:firstLine="520"/>
        <w:spacing w:after="0" w:line="249" w:lineRule="auto"/>
        <w:rPr>
          <w:sz w:val="20"/>
          <w:szCs w:val="20"/>
          <w:color w:val="auto"/>
        </w:rPr>
      </w:pPr>
      <w:r>
        <w:rPr>
          <w:rFonts w:ascii="Arial" w:cs="Arial" w:eastAsia="Arial" w:hAnsi="Arial"/>
          <w:sz w:val="15"/>
          <w:szCs w:val="15"/>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59" w:lineRule="exact"/>
        <w:rPr>
          <w:sz w:val="20"/>
          <w:szCs w:val="20"/>
          <w:color w:val="auto"/>
        </w:rPr>
      </w:pPr>
    </w:p>
    <w:p>
      <w:pPr>
        <w:ind w:right="40" w:firstLine="520"/>
        <w:spacing w:after="0" w:line="248" w:lineRule="auto"/>
        <w:rPr>
          <w:sz w:val="20"/>
          <w:szCs w:val="20"/>
          <w:color w:val="auto"/>
        </w:rPr>
      </w:pPr>
      <w:r>
        <w:rPr>
          <w:rFonts w:ascii="Arial" w:cs="Arial" w:eastAsia="Arial" w:hAnsi="Arial"/>
          <w:sz w:val="15"/>
          <w:szCs w:val="15"/>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59" w:lineRule="exact"/>
        <w:rPr>
          <w:sz w:val="20"/>
          <w:szCs w:val="20"/>
          <w:color w:val="auto"/>
        </w:rPr>
      </w:pPr>
    </w:p>
    <w:p>
      <w:pPr>
        <w:ind w:right="80" w:firstLine="520"/>
        <w:spacing w:after="0" w:line="325" w:lineRule="auto"/>
        <w:rPr>
          <w:sz w:val="20"/>
          <w:szCs w:val="20"/>
          <w:color w:val="auto"/>
        </w:rPr>
      </w:pPr>
      <w:r>
        <w:rPr>
          <w:rFonts w:ascii="Arial" w:cs="Arial" w:eastAsia="Arial" w:hAnsi="Arial"/>
          <w:sz w:val="12"/>
          <w:szCs w:val="12"/>
          <w:color w:val="auto"/>
        </w:rPr>
        <w:t>The Company’s consolidated financial statements have been prepared on the basis of continuity of operations, realization of assets and the satisfaction of liabilities in the ordinary course of business. The Company has experienced negative cash flows and had an accumulated deficit of $82,612 and $27,832 as of December 31, 2015 and 2014, respectively. The Company expects that its cash, cash equivalents and investments at December 31, 2015 of $205,082 will enable it to fund its operating expense and capital expenditure requirements through at least December 31, 2016.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116" w:lineRule="exact"/>
        <w:rPr>
          <w:sz w:val="20"/>
          <w:szCs w:val="20"/>
          <w:color w:val="auto"/>
        </w:rPr>
      </w:pPr>
    </w:p>
    <w:p>
      <w:pPr>
        <w:ind w:firstLine="520"/>
        <w:spacing w:after="0" w:line="268" w:lineRule="auto"/>
        <w:rPr>
          <w:sz w:val="20"/>
          <w:szCs w:val="20"/>
          <w:color w:val="auto"/>
        </w:rPr>
      </w:pPr>
      <w:r>
        <w:rPr>
          <w:rFonts w:ascii="Arial" w:cs="Arial" w:eastAsia="Arial" w:hAnsi="Arial"/>
          <w:sz w:val="14"/>
          <w:szCs w:val="14"/>
          <w:color w:val="auto"/>
        </w:rPr>
        <w:t>On July 1, 2015, the Company completed an initial public offering (“IPO”) of its common stock, and issued and sold 8,545,138 shares of common stock at a price to the public of $18.00 per share, resulting in net proceeds of approximately $139,267 after deducting underwriting discounts and commissions and offering expenses. The shares issued upon closing of the IPO included 1,114,583 shares of the Company’s common stock, which were sold to the underwriters pursuant to the full exercise of their option to purchase additional shares of common stock. Upon the listing of the Company’s common stock on the NASDAQ Global Select Market (“NASDAQ”) on June 26, 2015, all outstanding shares of the Company’s convertible preferred stock automatically converted into 22,866,987 shares of the Company’s common stock. In addition, at this time, the warrant to purchase shares of the Company’s Series A-2 convertible preferred stock was converted into a warrant to purchase shares of the Company’s common stock.</w:t>
      </w:r>
    </w:p>
    <w:p>
      <w:pPr>
        <w:spacing w:after="0" w:line="146" w:lineRule="exact"/>
        <w:rPr>
          <w:sz w:val="20"/>
          <w:szCs w:val="20"/>
          <w:color w:val="auto"/>
        </w:rPr>
      </w:pPr>
    </w:p>
    <w:p>
      <w:pPr>
        <w:ind w:right="400" w:firstLine="520"/>
        <w:spacing w:after="0" w:line="262" w:lineRule="auto"/>
        <w:rPr>
          <w:sz w:val="20"/>
          <w:szCs w:val="20"/>
          <w:color w:val="auto"/>
        </w:rPr>
      </w:pPr>
      <w:r>
        <w:rPr>
          <w:rFonts w:ascii="Arial" w:cs="Arial" w:eastAsia="Arial" w:hAnsi="Arial"/>
          <w:sz w:val="15"/>
          <w:szCs w:val="15"/>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338" w:lineRule="exact"/>
        <w:rPr>
          <w:sz w:val="20"/>
          <w:szCs w:val="20"/>
          <w:color w:val="auto"/>
        </w:rPr>
      </w:pPr>
    </w:p>
    <w:p>
      <w:pPr>
        <w:ind w:right="8160" w:firstLine="8"/>
        <w:spacing w:after="0" w:line="368" w:lineRule="auto"/>
        <w:tabs>
          <w:tab w:leader="none" w:pos="514"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Use of Estimates</w:t>
      </w:r>
    </w:p>
    <w:p>
      <w:pPr>
        <w:ind w:right="80" w:firstLine="520"/>
        <w:spacing w:after="0" w:line="248"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of research and development expenses and the valuation of common stock, stock-based awards and the preferred stock warrant liability. Estimates are periodically reviewed in light of changes in circumstances, facts and experience. Actual results could differ from the Company’s estimates.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w:t>
      </w:r>
    </w:p>
    <w:p>
      <w:pPr>
        <w:spacing w:after="0" w:line="94" w:lineRule="exact"/>
        <w:rPr>
          <w:sz w:val="20"/>
          <w:szCs w:val="20"/>
          <w:color w:val="auto"/>
        </w:rPr>
      </w:pPr>
    </w:p>
    <w:p>
      <w:pPr>
        <w:ind w:right="120" w:firstLine="520"/>
        <w:spacing w:after="0" w:line="298" w:lineRule="auto"/>
        <w:rPr>
          <w:sz w:val="20"/>
          <w:szCs w:val="20"/>
          <w:color w:val="auto"/>
        </w:rPr>
      </w:pPr>
      <w:r>
        <w:rPr>
          <w:rFonts w:ascii="Arial" w:cs="Arial" w:eastAsia="Arial" w:hAnsi="Arial"/>
          <w:sz w:val="14"/>
          <w:szCs w:val="14"/>
          <w:color w:val="auto"/>
        </w:rPr>
        <w:t>The Company considers all short-term, highly liquid investments with original maturities of 90 days or less at acquisition date to be cash equivalents. Cash equivalents, which consist of money market accounts, corporate bonds and commercial paper purchased with original maturities of less than 90 days from the date of purchase, are stated at fair value.</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Cash</w:t>
      </w:r>
    </w:p>
    <w:p>
      <w:pPr>
        <w:spacing w:after="0" w:line="94" w:lineRule="exact"/>
        <w:rPr>
          <w:sz w:val="20"/>
          <w:szCs w:val="20"/>
          <w:color w:val="auto"/>
        </w:rPr>
      </w:pPr>
    </w:p>
    <w:p>
      <w:pPr>
        <w:ind w:right="120" w:firstLine="520"/>
        <w:spacing w:after="0" w:line="387" w:lineRule="auto"/>
        <w:rPr>
          <w:sz w:val="20"/>
          <w:szCs w:val="20"/>
          <w:color w:val="auto"/>
        </w:rPr>
      </w:pPr>
      <w:r>
        <w:rPr>
          <w:rFonts w:ascii="Arial" w:cs="Arial" w:eastAsia="Arial" w:hAnsi="Arial"/>
          <w:sz w:val="12"/>
          <w:szCs w:val="12"/>
          <w:color w:val="auto"/>
        </w:rPr>
        <w:t>The Company held cash of $1,539 as of December 31, 2015 and $139 as of December 31, 2014 in a separate restricted bank account as a security deposit for the lease of the Company’s facilities and as collateral for the Company’s credit card program with Comerica Bank. The Company has classified these deposits as long-term restricted cash on its balance sheet.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its available-for-sale investments as current assets on the consolidated balance sheet if they mature within one year from the balance sheet date.</w:t>
      </w:r>
    </w:p>
    <w:p>
      <w:pPr>
        <w:spacing w:after="0" w:line="189" w:lineRule="exact"/>
        <w:rPr>
          <w:sz w:val="20"/>
          <w:szCs w:val="20"/>
          <w:color w:val="auto"/>
        </w:rPr>
      </w:pPr>
    </w:p>
    <w:p>
      <w:pPr>
        <w:ind w:firstLine="520"/>
        <w:spacing w:after="0" w:line="270" w:lineRule="auto"/>
        <w:rPr>
          <w:sz w:val="20"/>
          <w:szCs w:val="20"/>
          <w:color w:val="auto"/>
        </w:rPr>
      </w:pPr>
      <w:r>
        <w:rPr>
          <w:rFonts w:ascii="Arial" w:cs="Arial" w:eastAsia="Arial" w:hAnsi="Arial"/>
          <w:sz w:val="14"/>
          <w:szCs w:val="14"/>
          <w:color w:val="auto"/>
        </w:rPr>
        <w:t>The Company classifies all of its investments as available-for-sale securities. The Company’s investments are measured and reported at fair value using quoted prices in active markets for similar securities. Unrealized gains and losses on available-for-sale securities are reported as a separate component of stockholders’ equity (deficit). The cost of securities sold is determined on a specific identification 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 of Credit Risk and of Significant Suppliers</w:t>
      </w:r>
    </w:p>
    <w:p>
      <w:pPr>
        <w:spacing w:after="0" w:line="94" w:lineRule="exact"/>
        <w:rPr>
          <w:sz w:val="20"/>
          <w:szCs w:val="20"/>
          <w:color w:val="auto"/>
        </w:rPr>
      </w:pPr>
    </w:p>
    <w:p>
      <w:pPr>
        <w:ind w:right="120" w:firstLine="520"/>
        <w:spacing w:after="0" w:line="252"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primarily of cash, cash equivalents and investments. The Company has all cash, cash equivalents and investments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57" w:lineRule="exact"/>
        <w:rPr>
          <w:sz w:val="20"/>
          <w:szCs w:val="20"/>
          <w:color w:val="auto"/>
        </w:rPr>
      </w:pPr>
    </w:p>
    <w:p>
      <w:pPr>
        <w:ind w:right="340" w:firstLine="520"/>
        <w:spacing w:after="0" w:line="262" w:lineRule="auto"/>
        <w:rPr>
          <w:sz w:val="20"/>
          <w:szCs w:val="20"/>
          <w:color w:val="auto"/>
        </w:rPr>
      </w:pPr>
      <w:r>
        <w:rPr>
          <w:rFonts w:ascii="Arial" w:cs="Arial" w:eastAsia="Arial" w:hAnsi="Arial"/>
          <w:sz w:val="15"/>
          <w:szCs w:val="15"/>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94" w:lineRule="exact"/>
        <w:rPr>
          <w:sz w:val="20"/>
          <w:szCs w:val="20"/>
          <w:color w:val="auto"/>
        </w:rPr>
      </w:pPr>
    </w:p>
    <w:p>
      <w:pPr>
        <w:ind w:right="160" w:firstLine="520"/>
        <w:spacing w:after="0" w:line="332" w:lineRule="auto"/>
        <w:rPr>
          <w:sz w:val="20"/>
          <w:szCs w:val="20"/>
          <w:color w:val="auto"/>
        </w:rPr>
      </w:pPr>
      <w:r>
        <w:rPr>
          <w:rFonts w:ascii="Arial" w:cs="Arial" w:eastAsia="Arial" w:hAnsi="Arial"/>
          <w:sz w:val="12"/>
          <w:szCs w:val="12"/>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4" w:lineRule="exact"/>
        <w:rPr>
          <w:sz w:val="20"/>
          <w:szCs w:val="20"/>
          <w:color w:val="auto"/>
        </w:rPr>
      </w:pPr>
    </w:p>
    <w:p>
      <w:pPr>
        <w:ind w:left="1040" w:hanging="518"/>
        <w:spacing w:after="0"/>
        <w:tabs>
          <w:tab w:leader="none" w:pos="10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Level 1—Quoted prices in active markets for identical assets or liabilities.</w:t>
      </w:r>
    </w:p>
    <w:p>
      <w:pPr>
        <w:spacing w:after="0" w:line="90" w:lineRule="exact"/>
        <w:rPr>
          <w:rFonts w:ascii="Arial" w:cs="Arial" w:eastAsia="Arial" w:hAnsi="Arial"/>
          <w:sz w:val="15"/>
          <w:szCs w:val="15"/>
          <w:color w:val="auto"/>
        </w:rPr>
      </w:pPr>
    </w:p>
    <w:p>
      <w:pPr>
        <w:ind w:left="1040" w:right="80" w:hanging="518"/>
        <w:spacing w:after="0" w:line="262" w:lineRule="auto"/>
        <w:tabs>
          <w:tab w:leader="none" w:pos="10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0" w:lineRule="exact"/>
        <w:rPr>
          <w:rFonts w:ascii="Arial" w:cs="Arial" w:eastAsia="Arial" w:hAnsi="Arial"/>
          <w:sz w:val="15"/>
          <w:szCs w:val="15"/>
          <w:color w:val="auto"/>
        </w:rPr>
      </w:pPr>
    </w:p>
    <w:p>
      <w:pPr>
        <w:ind w:left="1040" w:right="180" w:hanging="518"/>
        <w:spacing w:after="0" w:line="262" w:lineRule="auto"/>
        <w:tabs>
          <w:tab w:leader="none" w:pos="10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8" w:lineRule="exact"/>
        <w:rPr>
          <w:sz w:val="20"/>
          <w:szCs w:val="20"/>
          <w:color w:val="auto"/>
        </w:rPr>
      </w:pPr>
    </w:p>
    <w:p>
      <w:pPr>
        <w:ind w:right="40" w:firstLine="520"/>
        <w:spacing w:after="0" w:line="270" w:lineRule="auto"/>
        <w:rPr>
          <w:sz w:val="20"/>
          <w:szCs w:val="20"/>
          <w:color w:val="auto"/>
        </w:rPr>
      </w:pPr>
      <w:r>
        <w:rPr>
          <w:rFonts w:ascii="Arial" w:cs="Arial" w:eastAsia="Arial" w:hAnsi="Arial"/>
          <w:sz w:val="14"/>
          <w:szCs w:val="14"/>
          <w:color w:val="auto"/>
        </w:rPr>
        <w:t>The Company’s cash equivalents, investments and preferred stock warrant liability are carried at fair value, determined according to the fair value hierarchy described above (see Note 3). The carrying values of the Company’s cash, prepaid expenses, accounts payable and accrued expenses approximate their fair value due to the short-term nature of these liabilities. The carrying value of the Company’s outstanding debt as of December 31, 2014 approximates fair value based on the variable interest rate for the borrowings outstanding as well as short duration of the term of the note. The fair value of the outstanding debt was estimated using a discounted cash flow analysis based on current market interest rates for debt issuances with similar remaining years to maturity, adjusted for credit risk, which represents a Level 3 measurement.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Offering Costs</w:t>
      </w:r>
    </w:p>
    <w:p>
      <w:pPr>
        <w:spacing w:after="0" w:line="94" w:lineRule="exact"/>
        <w:rPr>
          <w:sz w:val="20"/>
          <w:szCs w:val="20"/>
          <w:color w:val="auto"/>
        </w:rPr>
      </w:pPr>
    </w:p>
    <w:p>
      <w:pPr>
        <w:ind w:right="140" w:firstLine="520"/>
        <w:spacing w:after="0" w:line="273" w:lineRule="auto"/>
        <w:rPr>
          <w:sz w:val="20"/>
          <w:szCs w:val="20"/>
          <w:color w:val="auto"/>
        </w:rPr>
      </w:pPr>
      <w:r>
        <w:rPr>
          <w:rFonts w:ascii="Arial" w:cs="Arial" w:eastAsia="Arial" w:hAnsi="Arial"/>
          <w:sz w:val="14"/>
          <w:szCs w:val="14"/>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financing. As of December 31, 2015 and 2014 the Company had recorded $0 and $1,684, respectively, of deferred offering costs in contemplation of the IPO. On July 1, 2015, the Company reclassified $3,748 of deferred offering costs to additional paid in capital as a reduction of the proceeds from the IPO.</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w:t>
      </w:r>
    </w:p>
    <w:p>
      <w:pPr>
        <w:spacing w:after="0" w:line="94" w:lineRule="exact"/>
        <w:rPr>
          <w:sz w:val="20"/>
          <w:szCs w:val="20"/>
          <w:color w:val="auto"/>
        </w:rPr>
      </w:pPr>
    </w:p>
    <w:p>
      <w:pPr>
        <w:ind w:right="120" w:firstLine="520"/>
        <w:spacing w:after="0" w:line="332" w:lineRule="auto"/>
        <w:rPr>
          <w:sz w:val="20"/>
          <w:szCs w:val="20"/>
          <w:color w:val="auto"/>
        </w:rPr>
      </w:pPr>
      <w:r>
        <w:rPr>
          <w:rFonts w:ascii="Arial" w:cs="Arial" w:eastAsia="Arial" w:hAnsi="Arial"/>
          <w:sz w:val="12"/>
          <w:szCs w:val="12"/>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of Long-Lived Assets</w:t>
      </w:r>
    </w:p>
    <w:p>
      <w:pPr>
        <w:spacing w:after="0" w:line="94" w:lineRule="exact"/>
        <w:rPr>
          <w:sz w:val="20"/>
          <w:szCs w:val="20"/>
          <w:color w:val="auto"/>
        </w:rPr>
      </w:pPr>
    </w:p>
    <w:p>
      <w:pPr>
        <w:ind w:firstLine="520"/>
        <w:spacing w:after="0" w:line="268" w:lineRule="auto"/>
        <w:rPr>
          <w:sz w:val="20"/>
          <w:szCs w:val="20"/>
          <w:color w:val="auto"/>
        </w:rPr>
      </w:pPr>
      <w:r>
        <w:rPr>
          <w:rFonts w:ascii="Arial" w:cs="Arial" w:eastAsia="Arial" w:hAnsi="Arial"/>
          <w:sz w:val="14"/>
          <w:szCs w:val="14"/>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over its fair value, determined based on discounted cash flows. To date, the Company has not recorded any impairment losses on long-lived assets.</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94" w:lineRule="exact"/>
        <w:rPr>
          <w:sz w:val="20"/>
          <w:szCs w:val="20"/>
          <w:color w:val="auto"/>
        </w:rPr>
      </w:pPr>
    </w:p>
    <w:p>
      <w:pPr>
        <w:ind w:right="80" w:firstLine="520"/>
        <w:spacing w:after="0" w:line="252" w:lineRule="auto"/>
        <w:rPr>
          <w:sz w:val="20"/>
          <w:szCs w:val="20"/>
          <w:color w:val="auto"/>
        </w:rPr>
      </w:pPr>
      <w:r>
        <w:rPr>
          <w:rFonts w:ascii="Arial" w:cs="Arial" w:eastAsia="Arial" w:hAnsi="Arial"/>
          <w:sz w:val="15"/>
          <w:szCs w:val="15"/>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Contract Costs and Accruals</w:t>
      </w:r>
    </w:p>
    <w:p>
      <w:pPr>
        <w:spacing w:after="0" w:line="94"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Patent Costs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All patent-related costs incurred in connection with filing and prosecuting patent applications are expensed as incurred due to the uncertainty about the recovery of the expenditure.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Amounts incurred are classified as general and administrative expenses.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for Stock-Based Compensation</w:t>
      </w:r>
    </w:p>
    <w:p>
      <w:pPr>
        <w:spacing w:after="0" w:line="94" w:lineRule="exact"/>
        <w:rPr>
          <w:sz w:val="20"/>
          <w:szCs w:val="20"/>
          <w:color w:val="auto"/>
        </w:rPr>
      </w:pPr>
    </w:p>
    <w:p>
      <w:pPr>
        <w:jc w:val="both"/>
        <w:ind w:right="120" w:firstLine="520"/>
        <w:spacing w:after="0" w:line="279" w:lineRule="auto"/>
        <w:rPr>
          <w:sz w:val="20"/>
          <w:szCs w:val="20"/>
          <w:color w:val="auto"/>
        </w:rPr>
      </w:pPr>
      <w:r>
        <w:rPr>
          <w:rFonts w:ascii="Arial" w:cs="Arial" w:eastAsia="Arial" w:hAnsi="Arial"/>
          <w:sz w:val="14"/>
          <w:szCs w:val="14"/>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Generally, the Company issues stock options and restricted stock awards with only service-based vesting conditions and records the expense for these awards using the straight-line method.</w:t>
      </w:r>
    </w:p>
    <w:p>
      <w:pPr>
        <w:spacing w:after="0" w:line="139"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59" w:lineRule="exact"/>
        <w:rPr>
          <w:sz w:val="20"/>
          <w:szCs w:val="20"/>
          <w:color w:val="auto"/>
        </w:rPr>
      </w:pPr>
    </w:p>
    <w:p>
      <w:pPr>
        <w:ind w:right="100" w:firstLine="520"/>
        <w:spacing w:after="0" w:line="262" w:lineRule="auto"/>
        <w:rPr>
          <w:sz w:val="20"/>
          <w:szCs w:val="20"/>
          <w:color w:val="auto"/>
        </w:rPr>
      </w:pPr>
      <w:r>
        <w:rPr>
          <w:rFonts w:ascii="Arial" w:cs="Arial" w:eastAsia="Arial" w:hAnsi="Arial"/>
          <w:sz w:val="15"/>
          <w:szCs w:val="15"/>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48" w:lineRule="exact"/>
        <w:rPr>
          <w:sz w:val="20"/>
          <w:szCs w:val="20"/>
          <w:color w:val="auto"/>
        </w:rPr>
      </w:pPr>
    </w:p>
    <w:p>
      <w:pPr>
        <w:ind w:firstLine="520"/>
        <w:spacing w:after="0" w:line="346" w:lineRule="auto"/>
        <w:rPr>
          <w:sz w:val="20"/>
          <w:szCs w:val="20"/>
          <w:color w:val="auto"/>
        </w:rPr>
      </w:pPr>
      <w:r>
        <w:rPr>
          <w:rFonts w:ascii="Arial" w:cs="Arial" w:eastAsia="Arial" w:hAnsi="Arial"/>
          <w:sz w:val="12"/>
          <w:szCs w:val="12"/>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 based compensation expense in future periods.</w:t>
      </w:r>
    </w:p>
    <w:p>
      <w:pPr>
        <w:spacing w:after="0" w:line="103" w:lineRule="exact"/>
        <w:rPr>
          <w:sz w:val="20"/>
          <w:szCs w:val="20"/>
          <w:color w:val="auto"/>
        </w:rPr>
      </w:pPr>
    </w:p>
    <w:p>
      <w:pPr>
        <w:ind w:right="60" w:firstLine="520"/>
        <w:spacing w:after="0" w:line="249" w:lineRule="auto"/>
        <w:rPr>
          <w:sz w:val="20"/>
          <w:szCs w:val="20"/>
          <w:color w:val="auto"/>
        </w:rPr>
      </w:pPr>
      <w:r>
        <w:rPr>
          <w:rFonts w:ascii="Arial" w:cs="Arial" w:eastAsia="Arial" w:hAnsi="Arial"/>
          <w:sz w:val="15"/>
          <w:szCs w:val="15"/>
          <w:color w:val="auto"/>
        </w:rPr>
        <w:t>The fair value of each stock option grant is estimated on the date of grant using the Black- 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317" w:lineRule="exact"/>
        <w:rPr>
          <w:sz w:val="20"/>
          <w:szCs w:val="20"/>
          <w:color w:val="auto"/>
        </w:rPr>
      </w:pPr>
    </w:p>
    <w:p>
      <w:pPr>
        <w:jc w:val="both"/>
        <w:ind w:right="460"/>
        <w:spacing w:after="0" w:line="279" w:lineRule="auto"/>
        <w:rPr>
          <w:sz w:val="20"/>
          <w:szCs w:val="20"/>
          <w:color w:val="auto"/>
        </w:rPr>
      </w:pPr>
      <w:r>
        <w:rPr>
          <w:rFonts w:ascii="Arial" w:cs="Arial" w:eastAsia="Arial" w:hAnsi="Arial"/>
          <w:sz w:val="14"/>
          <w:szCs w:val="14"/>
          <w:color w:val="auto"/>
        </w:rPr>
        <w:t>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94" w:lineRule="exact"/>
        <w:rPr>
          <w:sz w:val="20"/>
          <w:szCs w:val="20"/>
          <w:color w:val="auto"/>
        </w:rPr>
      </w:pPr>
    </w:p>
    <w:p>
      <w:pPr>
        <w:ind w:firstLine="520"/>
        <w:spacing w:after="0" w:line="321" w:lineRule="auto"/>
        <w:rPr>
          <w:sz w:val="20"/>
          <w:szCs w:val="20"/>
          <w:color w:val="auto"/>
        </w:rPr>
      </w:pPr>
      <w:r>
        <w:rPr>
          <w:rFonts w:ascii="Arial" w:cs="Arial" w:eastAsia="Arial" w:hAnsi="Arial"/>
          <w:sz w:val="12"/>
          <w:szCs w:val="12"/>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18" w:lineRule="exact"/>
        <w:rPr>
          <w:sz w:val="20"/>
          <w:szCs w:val="20"/>
          <w:color w:val="auto"/>
        </w:rPr>
      </w:pPr>
    </w:p>
    <w:p>
      <w:pPr>
        <w:ind w:firstLine="520"/>
        <w:spacing w:after="0" w:line="270" w:lineRule="auto"/>
        <w:rPr>
          <w:sz w:val="20"/>
          <w:szCs w:val="20"/>
          <w:color w:val="auto"/>
        </w:rPr>
      </w:pPr>
      <w:r>
        <w:rPr>
          <w:rFonts w:ascii="Arial" w:cs="Arial" w:eastAsia="Arial" w:hAnsi="Arial"/>
          <w:sz w:val="14"/>
          <w:szCs w:val="14"/>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 to Purchase Convertible Preferred Stock</w:t>
      </w:r>
    </w:p>
    <w:p>
      <w:pPr>
        <w:spacing w:after="0" w:line="94" w:lineRule="exact"/>
        <w:rPr>
          <w:sz w:val="20"/>
          <w:szCs w:val="20"/>
          <w:color w:val="auto"/>
        </w:rPr>
      </w:pPr>
    </w:p>
    <w:p>
      <w:pPr>
        <w:ind w:right="20" w:firstLine="520"/>
        <w:spacing w:after="0" w:line="332" w:lineRule="auto"/>
        <w:rPr>
          <w:sz w:val="20"/>
          <w:szCs w:val="20"/>
          <w:color w:val="auto"/>
        </w:rPr>
      </w:pPr>
      <w:r>
        <w:rPr>
          <w:rFonts w:ascii="Arial" w:cs="Arial" w:eastAsia="Arial" w:hAnsi="Arial"/>
          <w:sz w:val="12"/>
          <w:szCs w:val="12"/>
          <w:color w:val="auto"/>
        </w:rPr>
        <w:t>The Company classified a warrant to purchase shares of its Series A-2 convertible preferred stock as a liability on its consolidated balance sheets as this warrant was a free-standing financial instrument that could have required the Company to transfer assets upon exercise. The warrant was initially recorded at fair value on date of grant, and it was subsequently remeasured to fair value at each balance sheet date. Changes in fair value of the warrant were recognized as a component of other income (expense), net in the consolidated statement of operations and comprehensive loss. The Company continued to adjust the liability for changes in fair value until the warrant became a warrant to purchase common stock in connection with the IPO.</w:t>
      </w:r>
    </w:p>
    <w:p>
      <w:pPr>
        <w:spacing w:after="0" w:line="112" w:lineRule="exact"/>
        <w:rPr>
          <w:sz w:val="20"/>
          <w:szCs w:val="20"/>
          <w:color w:val="auto"/>
        </w:rPr>
      </w:pPr>
    </w:p>
    <w:p>
      <w:pPr>
        <w:ind w:right="20" w:firstLine="520"/>
        <w:spacing w:after="0" w:line="265" w:lineRule="auto"/>
        <w:rPr>
          <w:sz w:val="20"/>
          <w:szCs w:val="20"/>
          <w:color w:val="auto"/>
        </w:rPr>
      </w:pPr>
      <w:r>
        <w:rPr>
          <w:rFonts w:ascii="Arial" w:cs="Arial" w:eastAsia="Arial" w:hAnsi="Arial"/>
          <w:sz w:val="14"/>
          <w:szCs w:val="14"/>
          <w:color w:val="auto"/>
        </w:rPr>
        <w:t>The Company used the Black-Scholes option-pricing model, which incorporates assumptions and estimates, to value the preferred stock warrant. The Company assessed these assumptions and estimates on a quarterly basis as additional information impacting the assumptions was obtained. Estimates and assumptions impacting the fair value measurement included the fair value per share of the underlying Series A-2 convertible preferred stock, the remaining contractual term of the warrant, the risk-free interest rate, the expected dividend yield and the expected volatility of the price of the underlying preferred stock. The Company determined the fair value per share of the underlying preferred stock by taking into consideration the most recent sales of its convertible preferred stock, results obtained from third-party valuations and additional factors that were deemed relevant. The Company historically has been a private company and lacks company-specific historical and implied volatility information of its stock. Therefore, it estimated its expected stock volatility based on the historical volatility of publicly traded peer companies for a term equal to the remaining contractual term of the warrant. The risk-free interest rate was determined by reference to the U.S. Treasury yield curve for time periods approximately equal to the remaining contractual term of the warrant. Expected dividend yield was based on the fact that the Company has never paid cash dividends and does not expect to pay any cash dividends in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Data</w:t>
      </w:r>
    </w:p>
    <w:p>
      <w:pPr>
        <w:spacing w:after="0" w:line="94" w:lineRule="exact"/>
        <w:rPr>
          <w:sz w:val="20"/>
          <w:szCs w:val="20"/>
          <w:color w:val="auto"/>
        </w:rPr>
      </w:pPr>
    </w:p>
    <w:p>
      <w:pPr>
        <w:ind w:right="280" w:firstLine="520"/>
        <w:spacing w:after="0" w:line="387" w:lineRule="auto"/>
        <w:rPr>
          <w:sz w:val="20"/>
          <w:szCs w:val="20"/>
          <w:color w:val="auto"/>
        </w:rPr>
      </w:pPr>
      <w:r>
        <w:rPr>
          <w:rFonts w:ascii="Arial" w:cs="Arial" w:eastAsia="Arial" w:hAnsi="Arial"/>
          <w:sz w:val="12"/>
          <w:szCs w:val="12"/>
          <w:color w:val="auto"/>
        </w:rPr>
        <w:t>The Company manages its operations as a single segment for the purposes of assessing performance and making operating decisions. The Company’s singular focus is on developing Ecobiotic microbiome therapeutics to treat dysbiosis in the colonic microbiome. No revenue has been generated since inception, and all tangible assets are held in the United States.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300" w:right="2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Comprehensive Loss</w:t>
      </w:r>
    </w:p>
    <w:p>
      <w:pPr>
        <w:spacing w:after="0" w:line="94" w:lineRule="exact"/>
        <w:rPr>
          <w:sz w:val="20"/>
          <w:szCs w:val="20"/>
          <w:color w:val="auto"/>
        </w:rPr>
      </w:pPr>
    </w:p>
    <w:p>
      <w:pPr>
        <w:jc w:val="both"/>
        <w:ind w:right="20" w:firstLine="520"/>
        <w:spacing w:after="0" w:line="252" w:lineRule="auto"/>
        <w:rPr>
          <w:sz w:val="20"/>
          <w:szCs w:val="20"/>
          <w:color w:val="auto"/>
        </w:rPr>
      </w:pPr>
      <w:r>
        <w:rPr>
          <w:rFonts w:ascii="Arial" w:cs="Arial" w:eastAsia="Arial" w:hAnsi="Arial"/>
          <w:sz w:val="15"/>
          <w:szCs w:val="15"/>
          <w:color w:val="auto"/>
        </w:rPr>
        <w:t>Comprehensive loss includes net loss as well as other changes in stockholders’ equity (deficit) that result from transactions and economic events other than those with stockholders. There was no difference between net loss and comprehensive loss for the years ended December 31, 2014 and 2013. For the year ended December 31, 2015, other comprehensive income (loss) consisted of changes in unrealized gains (losses) from available-for-sale investments.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Share</w:t>
      </w:r>
    </w:p>
    <w:p>
      <w:pPr>
        <w:spacing w:after="0" w:line="94" w:lineRule="exact"/>
        <w:rPr>
          <w:sz w:val="20"/>
          <w:szCs w:val="20"/>
          <w:color w:val="auto"/>
        </w:rPr>
      </w:pPr>
    </w:p>
    <w:p>
      <w:pPr>
        <w:ind w:right="40" w:firstLine="520"/>
        <w:spacing w:after="0" w:line="267" w:lineRule="auto"/>
        <w:rPr>
          <w:sz w:val="20"/>
          <w:szCs w:val="20"/>
          <w:color w:val="auto"/>
        </w:rPr>
      </w:pPr>
      <w:r>
        <w:rPr>
          <w:rFonts w:ascii="Arial" w:cs="Arial" w:eastAsia="Arial" w:hAnsi="Arial"/>
          <w:sz w:val="14"/>
          <w:szCs w:val="14"/>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warrants and unvested restricted stock. The Company applies the two-class method to calculate its basic and diluted net loss per share attributable to common stockholders, as its convertible preferred stock, which converted to Common Stock upon completion of the listing of the Company’s common stock on the NASDAQ on June 26, 2015,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146"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The Company’s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94" w:lineRule="exact"/>
        <w:rPr>
          <w:sz w:val="20"/>
          <w:szCs w:val="20"/>
          <w:color w:val="auto"/>
        </w:rPr>
      </w:pPr>
    </w:p>
    <w:p>
      <w:pPr>
        <w:ind w:right="140" w:firstLine="520"/>
        <w:spacing w:after="0" w:line="325" w:lineRule="auto"/>
        <w:rPr>
          <w:sz w:val="20"/>
          <w:szCs w:val="20"/>
          <w:color w:val="auto"/>
        </w:rPr>
      </w:pPr>
      <w:r>
        <w:rPr>
          <w:rFonts w:ascii="Arial" w:cs="Arial" w:eastAsia="Arial" w:hAnsi="Arial"/>
          <w:sz w:val="12"/>
          <w:szCs w:val="12"/>
          <w:color w:val="auto"/>
        </w:rPr>
        <w:t xml:space="preserve">In May 2014, the FASB issued ASU No.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August 2015, the FASB issued ASU No. 2015-14, </w:t>
      </w:r>
      <w:r>
        <w:rPr>
          <w:rFonts w:ascii="Arial" w:cs="Arial" w:eastAsia="Arial" w:hAnsi="Arial"/>
          <w:sz w:val="12"/>
          <w:szCs w:val="12"/>
          <w:i w:val="1"/>
          <w:iCs w:val="1"/>
          <w:color w:val="auto"/>
        </w:rPr>
        <w:t>Revenue from Contracts with Customers (Topic 606): Deferral of the Effective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Date, </w:t>
      </w:r>
      <w:r>
        <w:rPr>
          <w:rFonts w:ascii="Arial" w:cs="Arial" w:eastAsia="Arial" w:hAnsi="Arial"/>
          <w:sz w:val="12"/>
          <w:szCs w:val="12"/>
          <w:color w:val="auto"/>
        </w:rPr>
        <w:t>which delayed the effective date of the new standard from January 1, 2017 to January 1, 2018. The FASB also agreed to allow entities to choose to adopt the standard as of the original</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date. We are currently evaluating the method of adoption and the potential impact that Topic 606 may have on our financial position and results of operations.</w:t>
      </w:r>
    </w:p>
    <w:p>
      <w:pPr>
        <w:spacing w:after="0" w:line="116" w:lineRule="exact"/>
        <w:rPr>
          <w:sz w:val="20"/>
          <w:szCs w:val="20"/>
          <w:color w:val="auto"/>
        </w:rPr>
      </w:pPr>
    </w:p>
    <w:p>
      <w:pPr>
        <w:ind w:right="240" w:firstLine="520"/>
        <w:spacing w:after="0" w:line="346" w:lineRule="auto"/>
        <w:rPr>
          <w:sz w:val="20"/>
          <w:szCs w:val="20"/>
          <w:color w:val="auto"/>
        </w:rPr>
      </w:pPr>
      <w:r>
        <w:rPr>
          <w:rFonts w:ascii="Arial" w:cs="Arial" w:eastAsia="Arial" w:hAnsi="Arial"/>
          <w:sz w:val="12"/>
          <w:szCs w:val="12"/>
          <w:color w:val="auto"/>
        </w:rPr>
        <w:t xml:space="preserve">In April 2015, the FASB issued ASU 2015-03, </w:t>
      </w:r>
      <w:r>
        <w:rPr>
          <w:rFonts w:ascii="Arial" w:cs="Arial" w:eastAsia="Arial" w:hAnsi="Arial"/>
          <w:sz w:val="12"/>
          <w:szCs w:val="12"/>
          <w:i w:val="1"/>
          <w:iCs w:val="1"/>
          <w:color w:val="auto"/>
        </w:rPr>
        <w:t>Simplifying the Presentation of Debt Issuance Costs</w:t>
      </w:r>
      <w:r>
        <w:rPr>
          <w:rFonts w:ascii="Arial" w:cs="Arial" w:eastAsia="Arial" w:hAnsi="Arial"/>
          <w:sz w:val="12"/>
          <w:szCs w:val="12"/>
          <w:color w:val="auto"/>
        </w:rPr>
        <w:t>. The amendments in this update require that debt issuance costs be presented in the balance sheet as a direct deduction from the carrying amount of the debt liability. The new standard is effective for fiscal years, and interim periods within those fiscal years, beginning after December 15, 2015. Early adoption is permitted. The Company believes the adoption of this standard will not have a material impact on its financial statements.</w:t>
      </w:r>
    </w:p>
    <w:p>
      <w:pPr>
        <w:spacing w:after="0" w:line="103" w:lineRule="exact"/>
        <w:rPr>
          <w:sz w:val="20"/>
          <w:szCs w:val="20"/>
          <w:color w:val="auto"/>
        </w:rPr>
      </w:pPr>
    </w:p>
    <w:p>
      <w:pPr>
        <w:jc w:val="both"/>
        <w:ind w:right="100" w:firstLine="520"/>
        <w:spacing w:after="0" w:line="249" w:lineRule="auto"/>
        <w:rPr>
          <w:sz w:val="20"/>
          <w:szCs w:val="20"/>
          <w:color w:val="auto"/>
        </w:rPr>
      </w:pPr>
      <w:r>
        <w:rPr>
          <w:rFonts w:ascii="Arial" w:cs="Arial" w:eastAsia="Arial" w:hAnsi="Arial"/>
          <w:sz w:val="15"/>
          <w:szCs w:val="15"/>
          <w:color w:val="auto"/>
        </w:rPr>
        <w:t>In May 2015, the FASB issued ASU No. 2015-07, Fair Value Measurement (Topic 820): Disclosures for Investments in Certain Entities That Calculate Net Asset Value per Share (or Its Equivalent). The new standard removes the requirement to categorize within the fair value hierarchy all investments for which fair value is measured using the net asset value per share practical expedient. The new standard will be effective for us on January 1, 2016. Early application is permitted. The Company believes the adoption of this standard will not have a material impact on its financial statements.</w:t>
      </w:r>
    </w:p>
    <w:p>
      <w:pPr>
        <w:spacing w:after="0" w:line="159" w:lineRule="exact"/>
        <w:rPr>
          <w:sz w:val="20"/>
          <w:szCs w:val="20"/>
          <w:color w:val="auto"/>
        </w:rPr>
      </w:pPr>
    </w:p>
    <w:p>
      <w:pPr>
        <w:ind w:right="20" w:firstLine="520"/>
        <w:spacing w:after="0" w:line="387" w:lineRule="auto"/>
        <w:rPr>
          <w:sz w:val="20"/>
          <w:szCs w:val="20"/>
          <w:color w:val="auto"/>
        </w:rPr>
      </w:pPr>
      <w:r>
        <w:rPr>
          <w:rFonts w:ascii="Arial" w:cs="Arial" w:eastAsia="Arial" w:hAnsi="Arial"/>
          <w:sz w:val="12"/>
          <w:szCs w:val="12"/>
          <w:color w:val="auto"/>
        </w:rPr>
        <w:t>In November 2015, the FASB issued ASU 2015-17, “Income Taxes (Topic 740): Balance Sheet Classification of Deferred Taxes,” to simplify the presentation of deferred income taxes by requiring that deferred tax liabilities and assets be classified as noncurrent on the balance sheet. This update is effective for annual reporting periods beginning after December 31, 2016, including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31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interim periods within those annual periods, and early adoption is permitted. Accordingly, the Company elected to early adopt ASU 2015-17 for the year ended December 31, 2015. There was no impact to the consolidated financial statements as a result of this change.</w:t>
      </w:r>
    </w:p>
    <w:p>
      <w:pPr>
        <w:spacing w:after="0" w:line="298"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Assets and Liabilities</w:t>
      </w:r>
    </w:p>
    <w:p>
      <w:pPr>
        <w:spacing w:after="0" w:line="94"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The following tables present information about the Company’s assets and liabilities as of December 31, 2015 and 2014 that are measured at fair value on a recurring basis and indicate the level of the fair value hierarchy utilized to determine such fair values: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gridSpan w:val="13"/>
          </w:tcPr>
          <w:p>
            <w:pPr>
              <w:ind w:left="180"/>
              <w:spacing w:after="0"/>
              <w:rPr>
                <w:sz w:val="20"/>
                <w:szCs w:val="20"/>
                <w:color w:val="auto"/>
              </w:rPr>
            </w:pPr>
            <w:r>
              <w:rPr>
                <w:rFonts w:ascii="Arial" w:cs="Arial" w:eastAsia="Arial" w:hAnsi="Arial"/>
                <w:sz w:val="12"/>
                <w:szCs w:val="12"/>
                <w:b w:val="1"/>
                <w:bCs w:val="1"/>
                <w:color w:val="auto"/>
                <w:w w:val="92"/>
              </w:rPr>
              <w:t>Fair Value Measurements as of December 31, 2015 Using:</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3840" w:type="dxa"/>
            <w:vAlign w:val="bottom"/>
            <w:tcBorders>
              <w:bottom w:val="single" w:sz="8" w:color="CFF0FC"/>
            </w:tcBorders>
          </w:tcPr>
          <w:p>
            <w:pPr>
              <w:spacing w:after="0"/>
              <w:rPr>
                <w:sz w:val="10"/>
                <w:szCs w:val="10"/>
                <w:color w:val="auto"/>
              </w:rPr>
            </w:pPr>
          </w:p>
        </w:tc>
        <w:tc>
          <w:tcPr>
            <w:tcW w:w="1520" w:type="dxa"/>
            <w:vAlign w:val="bottom"/>
            <w:tcBorders>
              <w:bottom w:val="single" w:sz="8" w:color="CFF0FC"/>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2"/>
              <w:spacing w:after="0" w:line="122" w:lineRule="exact"/>
              <w:rPr>
                <w:sz w:val="20"/>
                <w:szCs w:val="20"/>
                <w:color w:val="auto"/>
              </w:rPr>
            </w:pPr>
            <w:r>
              <w:rPr>
                <w:rFonts w:ascii="Arial" w:cs="Arial" w:eastAsia="Arial" w:hAnsi="Arial"/>
                <w:sz w:val="12"/>
                <w:szCs w:val="12"/>
                <w:b w:val="1"/>
                <w:bCs w:val="1"/>
                <w:color w:val="auto"/>
              </w:rPr>
              <w:t>Level 1</w:t>
            </w: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CFF0FC"/>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0"/>
              <w:spacing w:after="0" w:line="122" w:lineRule="exact"/>
              <w:rPr>
                <w:sz w:val="20"/>
                <w:szCs w:val="20"/>
                <w:color w:val="auto"/>
              </w:rPr>
            </w:pPr>
            <w:r>
              <w:rPr>
                <w:rFonts w:ascii="Arial" w:cs="Arial" w:eastAsia="Arial" w:hAnsi="Arial"/>
                <w:sz w:val="12"/>
                <w:szCs w:val="12"/>
                <w:b w:val="1"/>
                <w:bCs w:val="1"/>
                <w:color w:val="auto"/>
              </w:rPr>
              <w:t>Level 2</w:t>
            </w:r>
          </w:p>
        </w:tc>
        <w:tc>
          <w:tcPr>
            <w:tcW w:w="20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90"/>
              <w:spacing w:after="0" w:line="122" w:lineRule="exact"/>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Total</w:t>
            </w:r>
          </w:p>
        </w:tc>
        <w:tc>
          <w:tcPr>
            <w:tcW w:w="100" w:type="dxa"/>
            <w:vAlign w:val="bottom"/>
            <w:tcBorders>
              <w:bottom w:val="single" w:sz="8" w:color="CFF0FC"/>
            </w:tcBorders>
          </w:tcPr>
          <w:p>
            <w:pPr>
              <w:spacing w:after="0"/>
              <w:rPr>
                <w:sz w:val="10"/>
                <w:szCs w:val="10"/>
                <w:color w:val="auto"/>
              </w:rPr>
            </w:pPr>
          </w:p>
        </w:tc>
      </w:tr>
      <w:tr>
        <w:trPr>
          <w:trHeight w:val="177"/>
        </w:trPr>
        <w:tc>
          <w:tcPr>
            <w:tcW w:w="3840" w:type="dxa"/>
            <w:vAlign w:val="bottom"/>
            <w:shd w:val="clear" w:color="auto" w:fill="CFF0FC"/>
          </w:tcPr>
          <w:p>
            <w:pPr>
              <w:spacing w:after="0"/>
              <w:rPr>
                <w:sz w:val="20"/>
                <w:szCs w:val="20"/>
                <w:color w:val="auto"/>
              </w:rPr>
            </w:pPr>
            <w:r>
              <w:rPr>
                <w:rFonts w:ascii="Arial" w:cs="Arial" w:eastAsia="Arial" w:hAnsi="Arial"/>
                <w:sz w:val="15"/>
                <w:szCs w:val="15"/>
                <w:color w:val="auto"/>
              </w:rPr>
              <w:t>Assets:</w:t>
            </w:r>
          </w:p>
        </w:tc>
        <w:tc>
          <w:tcPr>
            <w:tcW w:w="15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5"/>
                <w:szCs w:val="15"/>
                <w:color w:val="auto"/>
              </w:rPr>
              <w:t>Cash Equivalents</w:t>
            </w:r>
          </w:p>
        </w:tc>
        <w:tc>
          <w:tcPr>
            <w:tcW w:w="2320" w:type="dxa"/>
            <w:vAlign w:val="bottom"/>
            <w:gridSpan w:val="3"/>
          </w:tcPr>
          <w:p>
            <w:pPr>
              <w:jc w:val="right"/>
              <w:ind w:right="662"/>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23,125</w:t>
            </w:r>
          </w:p>
        </w:tc>
        <w:tc>
          <w:tcPr>
            <w:tcW w:w="4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23,125</w:t>
            </w: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Repurchase Agreements</w:t>
            </w:r>
          </w:p>
        </w:tc>
        <w:tc>
          <w:tcPr>
            <w:tcW w:w="15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20,000</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20,000</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5"/>
                <w:szCs w:val="15"/>
                <w:color w:val="auto"/>
              </w:rPr>
              <w:t>Investments:</w:t>
            </w: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Commercial Paper</w:t>
            </w:r>
          </w:p>
        </w:tc>
        <w:tc>
          <w:tcPr>
            <w:tcW w:w="15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64,820</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64,820</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400"/>
              <w:spacing w:after="0"/>
              <w:rPr>
                <w:sz w:val="20"/>
                <w:szCs w:val="20"/>
                <w:color w:val="auto"/>
              </w:rPr>
            </w:pPr>
            <w:r>
              <w:rPr>
                <w:rFonts w:ascii="Arial" w:cs="Arial" w:eastAsia="Arial" w:hAnsi="Arial"/>
                <w:sz w:val="15"/>
                <w:szCs w:val="15"/>
                <w:color w:val="auto"/>
              </w:rPr>
              <w:t>Corporate Bonds</w:t>
            </w: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46,490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46,490</w:t>
            </w: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400"/>
              <w:spacing w:after="0"/>
              <w:rPr>
                <w:sz w:val="20"/>
                <w:szCs w:val="20"/>
                <w:color w:val="auto"/>
              </w:rPr>
            </w:pPr>
            <w:r>
              <w:rPr>
                <w:rFonts w:ascii="Arial" w:cs="Arial" w:eastAsia="Arial" w:hAnsi="Arial"/>
                <w:sz w:val="15"/>
                <w:szCs w:val="15"/>
                <w:color w:val="auto"/>
              </w:rPr>
              <w:t>Government Securities</w:t>
            </w:r>
          </w:p>
        </w:tc>
        <w:tc>
          <w:tcPr>
            <w:tcW w:w="15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15,819</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15,819</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Treasury Bonds</w:t>
            </w:r>
          </w:p>
        </w:tc>
        <w:tc>
          <w:tcPr>
            <w:tcW w:w="1520" w:type="dxa"/>
            <w:vAlign w:val="bottom"/>
            <w:tcBorders>
              <w:bottom w:val="single" w:sz="8" w:color="CFF0FC"/>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93"/>
              </w:rPr>
              <w:t>—</w:t>
            </w:r>
          </w:p>
        </w:tc>
        <w:tc>
          <w:tcPr>
            <w:tcW w:w="4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4,020</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4,020</w:t>
            </w:r>
          </w:p>
        </w:tc>
        <w:tc>
          <w:tcPr>
            <w:tcW w:w="100" w:type="dxa"/>
            <w:vAlign w:val="bottom"/>
            <w:tcBorders>
              <w:bottom w:val="single" w:sz="8" w:color="CFF0FC"/>
            </w:tcBorders>
          </w:tcPr>
          <w:p>
            <w:pPr>
              <w:spacing w:after="0"/>
              <w:rPr>
                <w:sz w:val="16"/>
                <w:szCs w:val="16"/>
                <w:color w:val="auto"/>
              </w:rPr>
            </w:pPr>
          </w:p>
        </w:tc>
      </w:tr>
      <w:tr>
        <w:trPr>
          <w:trHeight w:val="177"/>
        </w:trPr>
        <w:tc>
          <w:tcPr>
            <w:tcW w:w="38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6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174,274</w:t>
            </w:r>
          </w:p>
        </w:tc>
        <w:tc>
          <w:tcPr>
            <w:tcW w:w="400" w:type="dxa"/>
            <w:vAlign w:val="bottom"/>
            <w:gridSpan w:val="3"/>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spacing w:after="0"/>
              <w:rPr>
                <w:sz w:val="15"/>
                <w:szCs w:val="15"/>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174,274</w:t>
            </w:r>
          </w:p>
        </w:tc>
        <w:tc>
          <w:tcPr>
            <w:tcW w:w="100" w:type="dxa"/>
            <w:vAlign w:val="bottom"/>
            <w:shd w:val="clear" w:color="auto" w:fill="CFF0FC"/>
          </w:tcPr>
          <w:p>
            <w:pPr>
              <w:spacing w:after="0"/>
              <w:rPr>
                <w:sz w:val="15"/>
                <w:szCs w:val="15"/>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79"/>
        </w:trPr>
        <w:tc>
          <w:tcPr>
            <w:tcW w:w="3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3"/>
          </w:tcPr>
          <w:p>
            <w:pPr>
              <w:ind w:left="200"/>
              <w:spacing w:after="0"/>
              <w:rPr>
                <w:sz w:val="20"/>
                <w:szCs w:val="20"/>
                <w:color w:val="auto"/>
              </w:rPr>
            </w:pPr>
            <w:r>
              <w:rPr>
                <w:rFonts w:ascii="Arial" w:cs="Arial" w:eastAsia="Arial" w:hAnsi="Arial"/>
                <w:sz w:val="12"/>
                <w:szCs w:val="12"/>
                <w:b w:val="1"/>
                <w:bCs w:val="1"/>
                <w:color w:val="auto"/>
                <w:w w:val="91"/>
              </w:rPr>
              <w:t>Fair Value Measurements as of December 31, 2014 Using:</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2"/>
        </w:trPr>
        <w:tc>
          <w:tcPr>
            <w:tcW w:w="3840" w:type="dxa"/>
            <w:vAlign w:val="bottom"/>
            <w:tcBorders>
              <w:bottom w:val="single" w:sz="8" w:color="CFF0FC"/>
            </w:tcBorders>
          </w:tcPr>
          <w:p>
            <w:pPr>
              <w:spacing w:after="0"/>
              <w:rPr>
                <w:sz w:val="10"/>
                <w:szCs w:val="10"/>
                <w:color w:val="auto"/>
              </w:rPr>
            </w:pPr>
          </w:p>
        </w:tc>
        <w:tc>
          <w:tcPr>
            <w:tcW w:w="1520" w:type="dxa"/>
            <w:vAlign w:val="bottom"/>
            <w:tcBorders>
              <w:bottom w:val="single" w:sz="8" w:color="CFF0FC"/>
            </w:tcBorders>
          </w:tcPr>
          <w:p>
            <w:pPr>
              <w:spacing w:after="0"/>
              <w:rPr>
                <w:sz w:val="10"/>
                <w:szCs w:val="10"/>
                <w:color w:val="auto"/>
              </w:rPr>
            </w:pPr>
          </w:p>
        </w:tc>
        <w:tc>
          <w:tcPr>
            <w:tcW w:w="40" w:type="dxa"/>
            <w:vAlign w:val="bottom"/>
            <w:tcBorders>
              <w:bottom w:val="single" w:sz="8" w:color="CFF0FC"/>
            </w:tcBorders>
          </w:tcPr>
          <w:p>
            <w:pPr>
              <w:spacing w:after="0"/>
              <w:rPr>
                <w:sz w:val="10"/>
                <w:szCs w:val="10"/>
                <w:color w:val="auto"/>
              </w:rPr>
            </w:pPr>
          </w:p>
        </w:tc>
        <w:tc>
          <w:tcPr>
            <w:tcW w:w="760" w:type="dxa"/>
            <w:vAlign w:val="bottom"/>
            <w:tcBorders>
              <w:bottom w:val="single" w:sz="8" w:color="auto"/>
            </w:tcBorders>
          </w:tcPr>
          <w:p>
            <w:pPr>
              <w:jc w:val="right"/>
              <w:ind w:right="22"/>
              <w:spacing w:after="0" w:line="122" w:lineRule="exact"/>
              <w:rPr>
                <w:sz w:val="20"/>
                <w:szCs w:val="20"/>
                <w:color w:val="auto"/>
              </w:rPr>
            </w:pPr>
            <w:r>
              <w:rPr>
                <w:rFonts w:ascii="Arial" w:cs="Arial" w:eastAsia="Arial" w:hAnsi="Arial"/>
                <w:sz w:val="12"/>
                <w:szCs w:val="12"/>
                <w:b w:val="1"/>
                <w:bCs w:val="1"/>
                <w:color w:val="auto"/>
              </w:rPr>
              <w:t>Level 1</w:t>
            </w: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0"/>
              <w:spacing w:after="0" w:line="122" w:lineRule="exact"/>
              <w:rPr>
                <w:sz w:val="20"/>
                <w:szCs w:val="20"/>
                <w:color w:val="auto"/>
              </w:rPr>
            </w:pPr>
            <w:r>
              <w:rPr>
                <w:rFonts w:ascii="Arial" w:cs="Arial" w:eastAsia="Arial" w:hAnsi="Arial"/>
                <w:sz w:val="12"/>
                <w:szCs w:val="12"/>
                <w:b w:val="1"/>
                <w:bCs w:val="1"/>
                <w:color w:val="auto"/>
              </w:rPr>
              <w:t>Level 2</w:t>
            </w:r>
          </w:p>
        </w:tc>
        <w:tc>
          <w:tcPr>
            <w:tcW w:w="200" w:type="dxa"/>
            <w:vAlign w:val="bottom"/>
            <w:tcBorders>
              <w:bottom w:val="single" w:sz="8" w:color="CFF0FC"/>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90"/>
              <w:spacing w:after="0" w:line="122" w:lineRule="exact"/>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CFF0FC"/>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0"/>
              <w:spacing w:after="0" w:line="122" w:lineRule="exact"/>
              <w:rPr>
                <w:sz w:val="20"/>
                <w:szCs w:val="20"/>
                <w:color w:val="auto"/>
              </w:rPr>
            </w:pPr>
            <w:r>
              <w:rPr>
                <w:rFonts w:ascii="Arial" w:cs="Arial" w:eastAsia="Arial" w:hAnsi="Arial"/>
                <w:sz w:val="12"/>
                <w:szCs w:val="12"/>
                <w:b w:val="1"/>
                <w:bCs w:val="1"/>
                <w:color w:val="auto"/>
              </w:rPr>
              <w:t>Total</w:t>
            </w:r>
          </w:p>
        </w:tc>
        <w:tc>
          <w:tcPr>
            <w:tcW w:w="100" w:type="dxa"/>
            <w:vAlign w:val="bottom"/>
            <w:tcBorders>
              <w:bottom w:val="single" w:sz="8" w:color="CFF0FC"/>
            </w:tcBorders>
          </w:tcPr>
          <w:p>
            <w:pPr>
              <w:spacing w:after="0"/>
              <w:rPr>
                <w:sz w:val="10"/>
                <w:szCs w:val="10"/>
                <w:color w:val="auto"/>
              </w:rPr>
            </w:pPr>
          </w:p>
        </w:tc>
      </w:tr>
      <w:tr>
        <w:trPr>
          <w:trHeight w:val="177"/>
        </w:trPr>
        <w:tc>
          <w:tcPr>
            <w:tcW w:w="3840" w:type="dxa"/>
            <w:vAlign w:val="bottom"/>
            <w:shd w:val="clear" w:color="auto" w:fill="CFF0FC"/>
          </w:tcPr>
          <w:p>
            <w:pPr>
              <w:spacing w:after="0"/>
              <w:rPr>
                <w:sz w:val="20"/>
                <w:szCs w:val="20"/>
                <w:color w:val="auto"/>
              </w:rPr>
            </w:pPr>
            <w:r>
              <w:rPr>
                <w:rFonts w:ascii="Arial" w:cs="Arial" w:eastAsia="Arial" w:hAnsi="Arial"/>
                <w:sz w:val="15"/>
                <w:szCs w:val="15"/>
                <w:color w:val="auto"/>
              </w:rPr>
              <w:t>Liabilities:</w:t>
            </w:r>
          </w:p>
        </w:tc>
        <w:tc>
          <w:tcPr>
            <w:tcW w:w="15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5"/>
                <w:szCs w:val="15"/>
                <w:color w:val="auto"/>
              </w:rPr>
              <w:t>Liability for preferred stock warrant</w:t>
            </w:r>
          </w:p>
        </w:tc>
        <w:tc>
          <w:tcPr>
            <w:tcW w:w="2320" w:type="dxa"/>
            <w:vAlign w:val="bottom"/>
            <w:gridSpan w:val="3"/>
          </w:tcPr>
          <w:p>
            <w:pPr>
              <w:jc w:val="right"/>
              <w:ind w:right="642"/>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93"/>
              </w:rPr>
              <w:t>—</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1,582</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1,582</w:t>
            </w:r>
          </w:p>
        </w:tc>
        <w:tc>
          <w:tcPr>
            <w:tcW w:w="100" w:type="dxa"/>
            <w:vAlign w:val="bottom"/>
          </w:tcPr>
          <w:p>
            <w:pPr>
              <w:spacing w:after="0"/>
              <w:rPr>
                <w:sz w:val="16"/>
                <w:szCs w:val="16"/>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560" w:type="dxa"/>
            <w:vAlign w:val="bottom"/>
            <w:gridSpan w:val="2"/>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7"/>
        </w:trPr>
        <w:tc>
          <w:tcPr>
            <w:tcW w:w="3840" w:type="dxa"/>
            <w:vAlign w:val="bottom"/>
            <w:shd w:val="clear" w:color="auto" w:fill="CFF0FC"/>
          </w:tcPr>
          <w:p>
            <w:pPr>
              <w:spacing w:after="0"/>
              <w:rPr>
                <w:sz w:val="15"/>
                <w:szCs w:val="15"/>
                <w:color w:val="auto"/>
              </w:rPr>
            </w:pPr>
          </w:p>
        </w:tc>
        <w:tc>
          <w:tcPr>
            <w:tcW w:w="2320" w:type="dxa"/>
            <w:vAlign w:val="bottom"/>
            <w:gridSpan w:val="3"/>
            <w:shd w:val="clear" w:color="auto" w:fill="CFF0FC"/>
          </w:tcPr>
          <w:p>
            <w:pPr>
              <w:jc w:val="right"/>
              <w:ind w:right="642"/>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w w:val="93"/>
              </w:rPr>
              <w:t>—</w:t>
            </w:r>
          </w:p>
        </w:tc>
        <w:tc>
          <w:tcPr>
            <w:tcW w:w="40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3"/>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1,582</w:t>
            </w:r>
          </w:p>
        </w:tc>
        <w:tc>
          <w:tcPr>
            <w:tcW w:w="440" w:type="dxa"/>
            <w:vAlign w:val="bottom"/>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1,582</w:t>
            </w:r>
          </w:p>
        </w:tc>
        <w:tc>
          <w:tcPr>
            <w:tcW w:w="100" w:type="dxa"/>
            <w:vAlign w:val="bottom"/>
            <w:shd w:val="clear" w:color="auto" w:fill="CFF0FC"/>
          </w:tcPr>
          <w:p>
            <w:pPr>
              <w:spacing w:after="0"/>
              <w:rPr>
                <w:sz w:val="15"/>
                <w:szCs w:val="15"/>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4" w:lineRule="exact"/>
        <w:rPr>
          <w:sz w:val="20"/>
          <w:szCs w:val="20"/>
          <w:color w:val="auto"/>
        </w:rPr>
      </w:pPr>
    </w:p>
    <w:p>
      <w:pPr>
        <w:ind w:right="60" w:firstLine="520"/>
        <w:spacing w:after="0" w:line="252" w:lineRule="auto"/>
        <w:rPr>
          <w:sz w:val="20"/>
          <w:szCs w:val="20"/>
          <w:color w:val="auto"/>
        </w:rPr>
      </w:pPr>
      <w:r>
        <w:rPr>
          <w:rFonts w:ascii="Arial" w:cs="Arial" w:eastAsia="Arial" w:hAnsi="Arial"/>
          <w:sz w:val="15"/>
          <w:szCs w:val="15"/>
          <w:color w:val="auto"/>
        </w:rPr>
        <w:t>As of December 31, 2015, the Company’s cash equivalents consisted of money market funds, corporate bonds, commercial paper, government securities and repurchase agreements with original maturities of less than 90 days from the date of purchase and were valued based on Level 2 inputs. Repurchase agreements are agreements with banks to repurchase notes that are collateralized by U.S. government securities.</w:t>
      </w:r>
    </w:p>
    <w:p>
      <w:pPr>
        <w:spacing w:after="0" w:line="157" w:lineRule="exact"/>
        <w:rPr>
          <w:sz w:val="20"/>
          <w:szCs w:val="20"/>
          <w:color w:val="auto"/>
        </w:rPr>
      </w:pPr>
    </w:p>
    <w:p>
      <w:pPr>
        <w:ind w:right="40" w:firstLine="520"/>
        <w:spacing w:after="0" w:line="262" w:lineRule="auto"/>
        <w:rPr>
          <w:sz w:val="20"/>
          <w:szCs w:val="20"/>
          <w:color w:val="auto"/>
        </w:rPr>
      </w:pPr>
      <w:r>
        <w:rPr>
          <w:rFonts w:ascii="Arial" w:cs="Arial" w:eastAsia="Arial" w:hAnsi="Arial"/>
          <w:sz w:val="15"/>
          <w:szCs w:val="15"/>
          <w:color w:val="auto"/>
        </w:rPr>
        <w:t>The fair value of the Company’s investments, which consisted of corporate bonds, commercial paper and government securities as of December 31, 2015, were determined using Level 2 inputs. During the years ended December 31, 2015 and 2014, there were no transfers between Level 1, Level 2 and Level 3.</w:t>
      </w:r>
    </w:p>
    <w:p>
      <w:pPr>
        <w:spacing w:after="0" w:line="148" w:lineRule="exact"/>
        <w:rPr>
          <w:sz w:val="20"/>
          <w:szCs w:val="20"/>
          <w:color w:val="auto"/>
        </w:rPr>
      </w:pPr>
    </w:p>
    <w:p>
      <w:pPr>
        <w:ind w:right="120" w:firstLine="520"/>
        <w:spacing w:after="0" w:line="252" w:lineRule="auto"/>
        <w:rPr>
          <w:sz w:val="20"/>
          <w:szCs w:val="20"/>
          <w:color w:val="auto"/>
        </w:rPr>
      </w:pPr>
      <w:r>
        <w:rPr>
          <w:rFonts w:ascii="Arial" w:cs="Arial" w:eastAsia="Arial" w:hAnsi="Arial"/>
          <w:sz w:val="15"/>
          <w:szCs w:val="15"/>
          <w:color w:val="auto"/>
        </w:rPr>
        <w:t>The liability for the preferred stock warrant in the amount of $1,582 in the table above as of December 31, 2014 is comprised of the value of a warrant for the purchase of Series A-2 convertible preferred stock and is based on significant inputs not observable in the market, which represents a Level 3 measurement within the fair value hierarchy. There were no other assets or liabilities measured at a fair value on a recurring basis at December 31, 2015 or December 31, 2014.</w:t>
      </w:r>
    </w:p>
    <w:p>
      <w:pPr>
        <w:spacing w:after="0" w:line="157" w:lineRule="exact"/>
        <w:rPr>
          <w:sz w:val="20"/>
          <w:szCs w:val="20"/>
          <w:color w:val="auto"/>
        </w:rPr>
      </w:pPr>
    </w:p>
    <w:p>
      <w:pPr>
        <w:ind w:right="40" w:firstLine="520"/>
        <w:spacing w:after="0" w:line="252" w:lineRule="auto"/>
        <w:rPr>
          <w:sz w:val="20"/>
          <w:szCs w:val="20"/>
          <w:color w:val="auto"/>
        </w:rPr>
      </w:pPr>
      <w:r>
        <w:rPr>
          <w:rFonts w:ascii="Arial" w:cs="Arial" w:eastAsia="Arial" w:hAnsi="Arial"/>
          <w:sz w:val="15"/>
          <w:szCs w:val="15"/>
          <w:color w:val="auto"/>
        </w:rPr>
        <w:t>In connection with the automatic conversion of the Company’s convertible preferred stock, which occurred upon the listing of the Company’s common stock on the NASDAQ on June, 26, 2015, the preferred stock warrant become a warrant to purchase common stock and the liability was remeasured at fair value and reclassified to additional paid-in-capital. The fair value of the preferred stock warrant liability at the time was tied to the initial offering price of $18.00 per share of common stock.</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300" w:right="27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338"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w:t>
      </w:r>
    </w:p>
    <w:p>
      <w:pPr>
        <w:spacing w:after="0" w:line="94"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5"/>
          <w:szCs w:val="15"/>
          <w:color w:val="auto"/>
        </w:rPr>
        <w:t>As of December 31, 2015, the fair value of available-for-sale investments by type of security was as follows: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2"/>
                <w:szCs w:val="12"/>
                <w:b w:val="1"/>
                <w:bCs w:val="1"/>
                <w:color w:val="auto"/>
              </w:rPr>
              <w:t>December 31, 2015</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3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ind w:right="191"/>
              <w:spacing w:after="0" w:line="105" w:lineRule="exact"/>
              <w:rPr>
                <w:sz w:val="20"/>
                <w:szCs w:val="20"/>
                <w:color w:val="auto"/>
              </w:rPr>
            </w:pPr>
            <w:r>
              <w:rPr>
                <w:rFonts w:ascii="Arial" w:cs="Arial" w:eastAsia="Arial" w:hAnsi="Arial"/>
                <w:sz w:val="12"/>
                <w:szCs w:val="12"/>
                <w:b w:val="1"/>
                <w:bCs w:val="1"/>
                <w:color w:val="auto"/>
              </w:rPr>
              <w:t>Amortized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right"/>
              <w:ind w:right="333"/>
              <w:spacing w:after="0" w:line="105"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right"/>
              <w:ind w:right="600"/>
              <w:spacing w:after="0" w:line="105"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840" w:type="dxa"/>
            <w:vAlign w:val="bottom"/>
          </w:tcPr>
          <w:p>
            <w:pPr>
              <w:jc w:val="center"/>
              <w:ind w:right="171"/>
              <w:spacing w:after="0" w:line="105" w:lineRule="exact"/>
              <w:rPr>
                <w:sz w:val="20"/>
                <w:szCs w:val="20"/>
                <w:color w:val="auto"/>
              </w:rPr>
            </w:pPr>
            <w:r>
              <w:rPr>
                <w:rFonts w:ascii="Arial" w:cs="Arial" w:eastAsia="Arial" w:hAnsi="Arial"/>
                <w:sz w:val="12"/>
                <w:szCs w:val="12"/>
                <w:b w:val="1"/>
                <w:bCs w:val="1"/>
                <w:color w:val="auto"/>
                <w:w w:val="90"/>
              </w:rPr>
              <w:t>Fair</w:t>
            </w:r>
          </w:p>
        </w:tc>
        <w:tc>
          <w:tcPr>
            <w:tcW w:w="100" w:type="dxa"/>
            <w:vAlign w:val="bottom"/>
          </w:tcPr>
          <w:p>
            <w:pPr>
              <w:spacing w:after="0"/>
              <w:rPr>
                <w:sz w:val="9"/>
                <w:szCs w:val="9"/>
                <w:color w:val="auto"/>
              </w:rPr>
            </w:pPr>
          </w:p>
        </w:tc>
      </w:tr>
      <w:tr>
        <w:trPr>
          <w:trHeight w:val="138"/>
        </w:trPr>
        <w:tc>
          <w:tcPr>
            <w:tcW w:w="3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351"/>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73"/>
              <w:spacing w:after="0"/>
              <w:rPr>
                <w:sz w:val="20"/>
                <w:szCs w:val="20"/>
                <w:color w:val="auto"/>
              </w:rPr>
            </w:pPr>
            <w:r>
              <w:rPr>
                <w:rFonts w:ascii="Arial" w:cs="Arial" w:eastAsia="Arial" w:hAnsi="Arial"/>
                <w:sz w:val="12"/>
                <w:szCs w:val="12"/>
                <w:b w:val="1"/>
                <w:bCs w:val="1"/>
                <w:color w:val="auto"/>
                <w:w w:val="88"/>
              </w:rPr>
              <w:t>Unrealized Gain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6"/>
              </w:rPr>
              <w:t>Unrealized Loss</w:t>
            </w:r>
          </w:p>
        </w:tc>
        <w:tc>
          <w:tcPr>
            <w:tcW w:w="220" w:type="dxa"/>
            <w:vAlign w:val="bottom"/>
          </w:tcPr>
          <w:p>
            <w:pPr>
              <w:spacing w:after="0"/>
              <w:rPr>
                <w:sz w:val="11"/>
                <w:szCs w:val="11"/>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Value</w:t>
            </w:r>
          </w:p>
        </w:tc>
      </w:tr>
      <w:tr>
        <w:trPr>
          <w:trHeight w:val="177"/>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Investments:</w:t>
            </w:r>
          </w:p>
        </w:tc>
        <w:tc>
          <w:tcPr>
            <w:tcW w:w="19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86"/>
        </w:trPr>
        <w:tc>
          <w:tcPr>
            <w:tcW w:w="346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206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64,733</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87</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64,820</w:t>
            </w:r>
          </w:p>
        </w:tc>
        <w:tc>
          <w:tcPr>
            <w:tcW w:w="100" w:type="dxa"/>
            <w:vAlign w:val="bottom"/>
          </w:tcPr>
          <w:p>
            <w:pPr>
              <w:spacing w:after="0"/>
              <w:rPr>
                <w:sz w:val="16"/>
                <w:szCs w:val="16"/>
                <w:color w:val="auto"/>
              </w:rPr>
            </w:pPr>
          </w:p>
        </w:tc>
      </w:tr>
      <w:tr>
        <w:trPr>
          <w:trHeight w:val="186"/>
        </w:trPr>
        <w:tc>
          <w:tcPr>
            <w:tcW w:w="34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Corporate Bonds</w:t>
            </w:r>
          </w:p>
        </w:tc>
        <w:tc>
          <w:tcPr>
            <w:tcW w:w="1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46,538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(48)</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46,490</w:t>
            </w:r>
          </w:p>
        </w:tc>
        <w:tc>
          <w:tcPr>
            <w:tcW w:w="100" w:type="dxa"/>
            <w:vAlign w:val="bottom"/>
            <w:shd w:val="clear" w:color="auto" w:fill="CFF0FC"/>
          </w:tcPr>
          <w:p>
            <w:pPr>
              <w:spacing w:after="0"/>
              <w:rPr>
                <w:sz w:val="16"/>
                <w:szCs w:val="16"/>
                <w:color w:val="auto"/>
              </w:rPr>
            </w:pPr>
          </w:p>
        </w:tc>
      </w:tr>
      <w:tr>
        <w:trPr>
          <w:trHeight w:val="186"/>
        </w:trPr>
        <w:tc>
          <w:tcPr>
            <w:tcW w:w="3460" w:type="dxa"/>
            <w:vAlign w:val="bottom"/>
          </w:tcPr>
          <w:p>
            <w:pPr>
              <w:ind w:left="200"/>
              <w:spacing w:after="0"/>
              <w:rPr>
                <w:sz w:val="20"/>
                <w:szCs w:val="20"/>
                <w:color w:val="auto"/>
              </w:rPr>
            </w:pPr>
            <w:r>
              <w:rPr>
                <w:rFonts w:ascii="Arial" w:cs="Arial" w:eastAsia="Arial" w:hAnsi="Arial"/>
                <w:sz w:val="15"/>
                <w:szCs w:val="15"/>
                <w:color w:val="auto"/>
              </w:rPr>
              <w:t>Government Securities</w:t>
            </w: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15,823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15,819</w:t>
            </w:r>
          </w:p>
        </w:tc>
        <w:tc>
          <w:tcPr>
            <w:tcW w:w="100" w:type="dxa"/>
            <w:vAlign w:val="bottom"/>
          </w:tcPr>
          <w:p>
            <w:pPr>
              <w:spacing w:after="0"/>
              <w:rPr>
                <w:sz w:val="16"/>
                <w:szCs w:val="16"/>
                <w:color w:val="auto"/>
              </w:rPr>
            </w:pPr>
          </w:p>
        </w:tc>
      </w:tr>
      <w:tr>
        <w:trPr>
          <w:trHeight w:val="186"/>
        </w:trPr>
        <w:tc>
          <w:tcPr>
            <w:tcW w:w="34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Treasury Bonds</w:t>
            </w:r>
          </w:p>
        </w:tc>
        <w:tc>
          <w:tcPr>
            <w:tcW w:w="1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4,022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4,020</w:t>
            </w:r>
          </w:p>
        </w:tc>
        <w:tc>
          <w:tcPr>
            <w:tcW w:w="100" w:type="dxa"/>
            <w:vAlign w:val="bottom"/>
            <w:shd w:val="clear" w:color="auto" w:fill="CFF0FC"/>
          </w:tcPr>
          <w:p>
            <w:pPr>
              <w:spacing w:after="0"/>
              <w:rPr>
                <w:sz w:val="16"/>
                <w:szCs w:val="16"/>
                <w:color w:val="auto"/>
              </w:rPr>
            </w:pPr>
          </w:p>
        </w:tc>
      </w:tr>
      <w:tr>
        <w:trPr>
          <w:trHeight w:val="20"/>
        </w:trPr>
        <w:tc>
          <w:tcPr>
            <w:tcW w:w="3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3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131,116</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87</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(54)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131,149</w:t>
            </w:r>
          </w:p>
        </w:tc>
        <w:tc>
          <w:tcPr>
            <w:tcW w:w="100" w:type="dxa"/>
            <w:vAlign w:val="bottom"/>
          </w:tcPr>
          <w:p>
            <w:pPr>
              <w:spacing w:after="0"/>
              <w:rPr>
                <w:sz w:val="16"/>
                <w:szCs w:val="16"/>
                <w:color w:val="auto"/>
              </w:rPr>
            </w:pPr>
          </w:p>
        </w:tc>
      </w:tr>
      <w:tr>
        <w:trPr>
          <w:trHeight w:val="20"/>
        </w:trPr>
        <w:tc>
          <w:tcPr>
            <w:tcW w:w="3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right="580" w:firstLine="520"/>
        <w:spacing w:after="0" w:line="262" w:lineRule="auto"/>
        <w:rPr>
          <w:sz w:val="20"/>
          <w:szCs w:val="20"/>
          <w:color w:val="auto"/>
        </w:rPr>
      </w:pPr>
      <w:r>
        <w:rPr>
          <w:rFonts w:ascii="Arial" w:cs="Arial" w:eastAsia="Arial" w:hAnsi="Arial"/>
          <w:sz w:val="15"/>
          <w:szCs w:val="15"/>
          <w:color w:val="auto"/>
        </w:rPr>
        <w:t>Investments with original maturities of less than 90 days are included in cash and cash equivalents on the consolidated balance sheets and are not included in the table above. The Company did not hold any investments as of December 31, 2014.</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2015, the Company’s corporate bonds, commercial paper, government securities and treasury bonds had remaining maturities of less than 12 months.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jc w:val="right"/>
              <w:ind w:right="127"/>
              <w:spacing w:after="0"/>
              <w:rPr>
                <w:sz w:val="20"/>
                <w:szCs w:val="20"/>
                <w:color w:val="auto"/>
              </w:rPr>
            </w:pPr>
            <w:r>
              <w:rPr>
                <w:rFonts w:ascii="Arial" w:cs="Arial" w:eastAsia="Arial" w:hAnsi="Arial"/>
                <w:sz w:val="15"/>
                <w:szCs w:val="15"/>
                <w:b w:val="1"/>
                <w:bCs w:val="1"/>
                <w:color w:val="auto"/>
                <w:w w:val="79"/>
              </w:rPr>
              <w:t>5.</w:t>
            </w:r>
          </w:p>
        </w:tc>
        <w:tc>
          <w:tcPr>
            <w:tcW w:w="5600" w:type="dxa"/>
            <w:vAlign w:val="bottom"/>
            <w:gridSpan w:val="2"/>
          </w:tcPr>
          <w:p>
            <w:pPr>
              <w:ind w:left="200"/>
              <w:spacing w:after="0"/>
              <w:rPr>
                <w:sz w:val="20"/>
                <w:szCs w:val="20"/>
                <w:color w:val="auto"/>
              </w:rPr>
            </w:pPr>
            <w:r>
              <w:rPr>
                <w:rFonts w:ascii="Arial" w:cs="Arial" w:eastAsia="Arial" w:hAnsi="Arial"/>
                <w:sz w:val="15"/>
                <w:szCs w:val="15"/>
                <w:b w:val="1"/>
                <w:bCs w:val="1"/>
                <w:color w:val="auto"/>
              </w:rPr>
              <w:t>Property and Equipment, Net</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3"/>
        </w:trPr>
        <w:tc>
          <w:tcPr>
            <w:tcW w:w="320" w:type="dxa"/>
            <w:vAlign w:val="bottom"/>
          </w:tcPr>
          <w:p>
            <w:pPr>
              <w:spacing w:after="0"/>
              <w:rPr>
                <w:sz w:val="22"/>
                <w:szCs w:val="22"/>
                <w:color w:val="auto"/>
              </w:rPr>
            </w:pPr>
          </w:p>
        </w:tc>
        <w:tc>
          <w:tcPr>
            <w:tcW w:w="5600" w:type="dxa"/>
            <w:vAlign w:val="bottom"/>
            <w:gridSpan w:val="2"/>
          </w:tcPr>
          <w:p>
            <w:pPr>
              <w:ind w:left="200"/>
              <w:spacing w:after="0"/>
              <w:rPr>
                <w:sz w:val="20"/>
                <w:szCs w:val="20"/>
                <w:color w:val="auto"/>
              </w:rPr>
            </w:pPr>
            <w:r>
              <w:rPr>
                <w:rFonts w:ascii="Arial" w:cs="Arial" w:eastAsia="Arial" w:hAnsi="Arial"/>
                <w:sz w:val="15"/>
                <w:szCs w:val="15"/>
                <w:color w:val="auto"/>
              </w:rPr>
              <w:t>Property and equipment, net consisted of the following:</w:t>
            </w: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89"/>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4"/>
              </w:rPr>
              <w:t>December 31,</w:t>
            </w: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December 31,</w:t>
            </w:r>
          </w:p>
        </w:tc>
      </w:tr>
      <w:tr>
        <w:trPr>
          <w:trHeight w:val="138"/>
        </w:trPr>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180" w:type="dxa"/>
            <w:vAlign w:val="bottom"/>
            <w:tcBorders>
              <w:bottom w:val="single" w:sz="8" w:color="CFF0FC"/>
            </w:tcBorders>
          </w:tcPr>
          <w:p>
            <w:pPr>
              <w:spacing w:after="0"/>
              <w:rPr>
                <w:sz w:val="11"/>
                <w:szCs w:val="11"/>
                <w:color w:val="auto"/>
              </w:rPr>
            </w:pPr>
          </w:p>
        </w:tc>
        <w:tc>
          <w:tcPr>
            <w:tcW w:w="13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2015</w:t>
            </w: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CFF0FC"/>
            </w:tcBorders>
          </w:tcPr>
          <w:p>
            <w:pPr>
              <w:spacing w:after="0"/>
              <w:rPr>
                <w:sz w:val="11"/>
                <w:szCs w:val="11"/>
                <w:color w:val="auto"/>
              </w:rPr>
            </w:pPr>
          </w:p>
        </w:tc>
      </w:tr>
      <w:tr>
        <w:trPr>
          <w:trHeight w:val="177"/>
        </w:trPr>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Laboratory equipment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4,370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1,260</w:t>
            </w:r>
          </w:p>
        </w:tc>
        <w:tc>
          <w:tcPr>
            <w:tcW w:w="80" w:type="dxa"/>
            <w:vAlign w:val="bottom"/>
            <w:shd w:val="clear" w:color="auto" w:fill="CFF0FC"/>
          </w:tcPr>
          <w:p>
            <w:pPr>
              <w:spacing w:after="0"/>
              <w:rPr>
                <w:sz w:val="15"/>
                <w:szCs w:val="15"/>
                <w:color w:val="auto"/>
              </w:rPr>
            </w:pPr>
          </w:p>
        </w:tc>
      </w:tr>
      <w:tr>
        <w:trPr>
          <w:trHeight w:val="186"/>
        </w:trPr>
        <w:tc>
          <w:tcPr>
            <w:tcW w:w="320" w:type="dxa"/>
            <w:vAlign w:val="bottom"/>
          </w:tcPr>
          <w:p>
            <w:pPr>
              <w:spacing w:after="0"/>
              <w:rPr>
                <w:sz w:val="16"/>
                <w:szCs w:val="16"/>
                <w:color w:val="auto"/>
              </w:rPr>
            </w:pPr>
          </w:p>
        </w:tc>
        <w:tc>
          <w:tcPr>
            <w:tcW w:w="5600" w:type="dxa"/>
            <w:vAlign w:val="bottom"/>
            <w:gridSpan w:val="2"/>
          </w:tcPr>
          <w:p>
            <w:pPr>
              <w:ind w:left="1420"/>
              <w:spacing w:after="0"/>
              <w:rPr>
                <w:sz w:val="20"/>
                <w:szCs w:val="20"/>
                <w:color w:val="auto"/>
              </w:rPr>
            </w:pPr>
            <w:r>
              <w:rPr>
                <w:rFonts w:ascii="Arial" w:cs="Arial" w:eastAsia="Arial" w:hAnsi="Arial"/>
                <w:sz w:val="15"/>
                <w:szCs w:val="15"/>
                <w:color w:val="auto"/>
              </w:rPr>
              <w:t>Computer equipment</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6"/>
                <w:szCs w:val="16"/>
                <w:color w:val="auto"/>
              </w:rPr>
            </w:pPr>
          </w:p>
        </w:tc>
      </w:tr>
      <w:tr>
        <w:trPr>
          <w:trHeight w:val="186"/>
        </w:trPr>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Furniture and office equipment</w:t>
            </w: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w:t>
            </w:r>
          </w:p>
        </w:tc>
        <w:tc>
          <w:tcPr>
            <w:tcW w:w="80" w:type="dxa"/>
            <w:vAlign w:val="bottom"/>
            <w:shd w:val="clear" w:color="auto" w:fill="CFF0FC"/>
          </w:tcPr>
          <w:p>
            <w:pPr>
              <w:spacing w:after="0"/>
              <w:rPr>
                <w:sz w:val="16"/>
                <w:szCs w:val="16"/>
                <w:color w:val="auto"/>
              </w:rPr>
            </w:pPr>
          </w:p>
        </w:tc>
      </w:tr>
      <w:tr>
        <w:trPr>
          <w:trHeight w:val="186"/>
        </w:trPr>
        <w:tc>
          <w:tcPr>
            <w:tcW w:w="320" w:type="dxa"/>
            <w:vAlign w:val="bottom"/>
          </w:tcPr>
          <w:p>
            <w:pPr>
              <w:spacing w:after="0"/>
              <w:rPr>
                <w:sz w:val="16"/>
                <w:szCs w:val="16"/>
                <w:color w:val="auto"/>
              </w:rPr>
            </w:pPr>
          </w:p>
        </w:tc>
        <w:tc>
          <w:tcPr>
            <w:tcW w:w="5600" w:type="dxa"/>
            <w:vAlign w:val="bottom"/>
            <w:gridSpan w:val="2"/>
          </w:tcPr>
          <w:p>
            <w:pPr>
              <w:ind w:left="1420"/>
              <w:spacing w:after="0"/>
              <w:rPr>
                <w:sz w:val="20"/>
                <w:szCs w:val="20"/>
                <w:color w:val="auto"/>
              </w:rPr>
            </w:pPr>
            <w:r>
              <w:rPr>
                <w:rFonts w:ascii="Arial" w:cs="Arial" w:eastAsia="Arial" w:hAnsi="Arial"/>
                <w:sz w:val="15"/>
                <w:szCs w:val="15"/>
                <w:color w:val="auto"/>
              </w:rPr>
              <w:t>Leasehold improvements</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1,856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6"/>
                <w:szCs w:val="16"/>
                <w:color w:val="auto"/>
              </w:rPr>
            </w:pPr>
          </w:p>
        </w:tc>
      </w:tr>
      <w:tr>
        <w:trPr>
          <w:trHeight w:val="186"/>
        </w:trPr>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Construction in progress</w:t>
            </w: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77"/>
        </w:trPr>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8,762</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1,547</w:t>
            </w:r>
          </w:p>
        </w:tc>
        <w:tc>
          <w:tcPr>
            <w:tcW w:w="80" w:type="dxa"/>
            <w:vAlign w:val="bottom"/>
          </w:tcPr>
          <w:p>
            <w:pPr>
              <w:spacing w:after="0"/>
              <w:rPr>
                <w:sz w:val="15"/>
                <w:szCs w:val="15"/>
                <w:color w:val="auto"/>
              </w:rPr>
            </w:pPr>
          </w:p>
        </w:tc>
      </w:tr>
      <w:tr>
        <w:trPr>
          <w:trHeight w:val="186"/>
        </w:trPr>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5"/>
                <w:szCs w:val="15"/>
                <w:color w:val="auto"/>
              </w:rPr>
              <w:t>Less: Accumulated depreciation and amortization</w:t>
            </w: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(1,011)</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(283)</w:t>
            </w:r>
          </w:p>
        </w:tc>
      </w:tr>
      <w:tr>
        <w:trPr>
          <w:trHeight w:val="177"/>
        </w:trPr>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7,751</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1,264</w:t>
            </w:r>
          </w:p>
        </w:tc>
        <w:tc>
          <w:tcPr>
            <w:tcW w:w="8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Depreciation and amortization expense was $728, $190 and $88 for the years ended December 31, 2015, 2014 and 2013, respectively.</w:t>
      </w:r>
    </w:p>
    <w:p>
      <w:pPr>
        <w:spacing w:after="0" w:line="327"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94"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51"/>
              <w:spacing w:after="0"/>
              <w:rPr>
                <w:sz w:val="20"/>
                <w:szCs w:val="20"/>
                <w:color w:val="auto"/>
              </w:rPr>
            </w:pPr>
            <w:r>
              <w:rPr>
                <w:rFonts w:ascii="Arial" w:cs="Arial" w:eastAsia="Arial" w:hAnsi="Arial"/>
                <w:sz w:val="12"/>
                <w:szCs w:val="12"/>
                <w:b w:val="1"/>
                <w:bCs w:val="1"/>
                <w:color w:val="auto"/>
                <w:w w:val="94"/>
              </w:rPr>
              <w:t>December 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w:t>
            </w:r>
          </w:p>
        </w:tc>
        <w:tc>
          <w:tcPr>
            <w:tcW w:w="1740" w:type="dxa"/>
            <w:vAlign w:val="bottom"/>
          </w:tcPr>
          <w:p>
            <w:pPr>
              <w:spacing w:after="0"/>
              <w:rPr>
                <w:sz w:val="12"/>
                <w:szCs w:val="12"/>
                <w:color w:val="auto"/>
              </w:rPr>
            </w:pPr>
          </w:p>
        </w:tc>
      </w:tr>
      <w:tr>
        <w:trPr>
          <w:trHeight w:val="138"/>
        </w:trPr>
        <w:tc>
          <w:tcPr>
            <w:tcW w:w="1740" w:type="dxa"/>
            <w:vAlign w:val="bottom"/>
          </w:tcPr>
          <w:p>
            <w:pPr>
              <w:spacing w:after="0"/>
              <w:rPr>
                <w:sz w:val="11"/>
                <w:szCs w:val="11"/>
                <w:color w:val="auto"/>
              </w:rPr>
            </w:pPr>
          </w:p>
        </w:tc>
        <w:tc>
          <w:tcPr>
            <w:tcW w:w="3280" w:type="dxa"/>
            <w:vAlign w:val="bottom"/>
            <w:tcBorders>
              <w:bottom w:val="single" w:sz="8" w:color="CFF0FC"/>
            </w:tcBorders>
          </w:tcPr>
          <w:p>
            <w:pPr>
              <w:spacing w:after="0"/>
              <w:rPr>
                <w:sz w:val="11"/>
                <w:szCs w:val="11"/>
                <w:color w:val="auto"/>
              </w:rPr>
            </w:pPr>
          </w:p>
        </w:tc>
        <w:tc>
          <w:tcPr>
            <w:tcW w:w="2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2015</w:t>
            </w: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CFF0FC"/>
            </w:tcBorders>
          </w:tcPr>
          <w:p>
            <w:pPr>
              <w:spacing w:after="0"/>
              <w:rPr>
                <w:sz w:val="11"/>
                <w:szCs w:val="11"/>
                <w:color w:val="auto"/>
              </w:rPr>
            </w:pPr>
          </w:p>
        </w:tc>
        <w:tc>
          <w:tcPr>
            <w:tcW w:w="1740" w:type="dxa"/>
            <w:vAlign w:val="bottom"/>
          </w:tcPr>
          <w:p>
            <w:pPr>
              <w:spacing w:after="0"/>
              <w:rPr>
                <w:sz w:val="11"/>
                <w:szCs w:val="11"/>
                <w:color w:val="auto"/>
              </w:rPr>
            </w:pPr>
          </w:p>
        </w:tc>
      </w:tr>
      <w:tr>
        <w:trPr>
          <w:trHeight w:val="177"/>
        </w:trPr>
        <w:tc>
          <w:tcPr>
            <w:tcW w:w="1740" w:type="dxa"/>
            <w:vAlign w:val="bottom"/>
          </w:tcPr>
          <w:p>
            <w:pPr>
              <w:spacing w:after="0"/>
              <w:rPr>
                <w:sz w:val="15"/>
                <w:szCs w:val="15"/>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Development and clinical manufacturing costs</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1,436</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598</w:t>
            </w:r>
          </w:p>
        </w:tc>
        <w:tc>
          <w:tcPr>
            <w:tcW w:w="80" w:type="dxa"/>
            <w:vAlign w:val="bottom"/>
            <w:shd w:val="clear" w:color="auto" w:fill="CFF0FC"/>
          </w:tcPr>
          <w:p>
            <w:pPr>
              <w:spacing w:after="0"/>
              <w:rPr>
                <w:sz w:val="15"/>
                <w:szCs w:val="15"/>
                <w:color w:val="auto"/>
              </w:rPr>
            </w:pPr>
          </w:p>
        </w:tc>
        <w:tc>
          <w:tcPr>
            <w:tcW w:w="1740" w:type="dxa"/>
            <w:vAlign w:val="bottom"/>
          </w:tcPr>
          <w:p>
            <w:pPr>
              <w:spacing w:after="0"/>
              <w:rPr>
                <w:sz w:val="15"/>
                <w:szCs w:val="15"/>
                <w:color w:val="auto"/>
              </w:rPr>
            </w:pPr>
          </w:p>
        </w:tc>
      </w:tr>
      <w:tr>
        <w:trPr>
          <w:trHeight w:val="186"/>
        </w:trPr>
        <w:tc>
          <w:tcPr>
            <w:tcW w:w="5020" w:type="dxa"/>
            <w:vAlign w:val="bottom"/>
            <w:gridSpan w:val="2"/>
          </w:tcPr>
          <w:p>
            <w:pPr>
              <w:ind w:left="1740"/>
              <w:spacing w:after="0"/>
              <w:rPr>
                <w:sz w:val="20"/>
                <w:szCs w:val="20"/>
                <w:color w:val="auto"/>
              </w:rPr>
            </w:pPr>
            <w:r>
              <w:rPr>
                <w:rFonts w:ascii="Arial" w:cs="Arial" w:eastAsia="Arial" w:hAnsi="Arial"/>
                <w:sz w:val="15"/>
                <w:szCs w:val="15"/>
                <w:color w:val="auto"/>
              </w:rPr>
              <w:t>Payroll and payroll-related costs</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2,756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547</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740" w:type="dxa"/>
            <w:vAlign w:val="bottom"/>
          </w:tcPr>
          <w:p>
            <w:pPr>
              <w:spacing w:after="0"/>
              <w:rPr>
                <w:sz w:val="16"/>
                <w:szCs w:val="16"/>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Professional fees</w:t>
            </w:r>
          </w:p>
        </w:tc>
        <w:tc>
          <w:tcPr>
            <w:tcW w:w="2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5020" w:type="dxa"/>
            <w:vAlign w:val="bottom"/>
            <w:gridSpan w:val="2"/>
          </w:tcPr>
          <w:p>
            <w:pPr>
              <w:ind w:left="1740"/>
              <w:spacing w:after="0"/>
              <w:rPr>
                <w:sz w:val="20"/>
                <w:szCs w:val="20"/>
                <w:color w:val="auto"/>
              </w:rPr>
            </w:pPr>
            <w:r>
              <w:rPr>
                <w:rFonts w:ascii="Arial" w:cs="Arial" w:eastAsia="Arial" w:hAnsi="Arial"/>
                <w:sz w:val="15"/>
                <w:szCs w:val="15"/>
                <w:color w:val="auto"/>
              </w:rPr>
              <w:t>Facility and other</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1,147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740" w:type="dxa"/>
            <w:vAlign w:val="bottom"/>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77"/>
        </w:trPr>
        <w:tc>
          <w:tcPr>
            <w:tcW w:w="1740" w:type="dxa"/>
            <w:vAlign w:val="bottom"/>
          </w:tcPr>
          <w:p>
            <w:pPr>
              <w:spacing w:after="0"/>
              <w:rPr>
                <w:sz w:val="15"/>
                <w:szCs w:val="15"/>
                <w:color w:val="auto"/>
              </w:rPr>
            </w:pPr>
          </w:p>
        </w:tc>
        <w:tc>
          <w:tcPr>
            <w:tcW w:w="32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5,523</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1,737</w:t>
            </w:r>
          </w:p>
        </w:tc>
        <w:tc>
          <w:tcPr>
            <w:tcW w:w="80" w:type="dxa"/>
            <w:vAlign w:val="bottom"/>
            <w:shd w:val="clear" w:color="auto" w:fill="CFF0FC"/>
          </w:tcPr>
          <w:p>
            <w:pPr>
              <w:spacing w:after="0"/>
              <w:rPr>
                <w:sz w:val="15"/>
                <w:szCs w:val="15"/>
                <w:color w:val="auto"/>
              </w:rPr>
            </w:pPr>
          </w:p>
        </w:tc>
        <w:tc>
          <w:tcPr>
            <w:tcW w:w="174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51"/>
        </w:trPr>
        <w:tc>
          <w:tcPr>
            <w:tcW w:w="17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40" w:type="dxa"/>
            <w:vAlign w:val="bottom"/>
            <w:gridSpan w:val="2"/>
          </w:tcPr>
          <w:p>
            <w:pPr>
              <w:jc w:val="right"/>
              <w:ind w:right="1407"/>
              <w:spacing w:after="0"/>
              <w:rPr>
                <w:sz w:val="20"/>
                <w:szCs w:val="20"/>
                <w:color w:val="auto"/>
              </w:rPr>
            </w:pPr>
            <w:r>
              <w:rPr>
                <w:rFonts w:ascii="Arial" w:cs="Arial" w:eastAsia="Arial" w:hAnsi="Arial"/>
                <w:sz w:val="15"/>
                <w:szCs w:val="15"/>
                <w:color w:val="auto"/>
              </w:rPr>
              <w:t>F-14</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9"/>
        </w:trPr>
        <w:tc>
          <w:tcPr>
            <w:tcW w:w="174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338"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w:t>
      </w:r>
    </w:p>
    <w:p>
      <w:pPr>
        <w:spacing w:after="0" w:line="94" w:lineRule="exact"/>
        <w:rPr>
          <w:sz w:val="20"/>
          <w:szCs w:val="20"/>
          <w:color w:val="auto"/>
        </w:rPr>
      </w:pPr>
    </w:p>
    <w:p>
      <w:pPr>
        <w:ind w:right="40" w:firstLine="520"/>
        <w:spacing w:after="0" w:line="270" w:lineRule="auto"/>
        <w:rPr>
          <w:sz w:val="20"/>
          <w:szCs w:val="20"/>
          <w:color w:val="auto"/>
        </w:rPr>
      </w:pPr>
      <w:r>
        <w:rPr>
          <w:rFonts w:ascii="Arial" w:cs="Arial" w:eastAsia="Arial" w:hAnsi="Arial"/>
          <w:sz w:val="14"/>
          <w:szCs w:val="14"/>
          <w:color w:val="auto"/>
        </w:rPr>
        <w:t>On September 9, 2013, the Company entered into a loan and security agreement with Comerica Bank (“Comerica”), as amended on December 22, 2014, which provided for borrowings of up to $3,000 through August 2014. On September 9, 2013, the Company received $1,000 from borrowings under the agreement, and from March to August 2014, the Company received $2,000 from additional borrowings under the loan and security agreement. Through December 31, 2014, the Company borrowed the full $3,000 available under the loan and security agreement and had made $400 of scheduled principal repayments. During the year ended December 31, 2015, the Company made $900 of scheduled principal repayments. Borrowings under the loan and security agreement were collateralized by substantially all of the Company’s assets, except for its intellectual property.</w:t>
      </w:r>
    </w:p>
    <w:p>
      <w:pPr>
        <w:spacing w:after="0" w:line="145" w:lineRule="exact"/>
        <w:rPr>
          <w:sz w:val="20"/>
          <w:szCs w:val="20"/>
          <w:color w:val="auto"/>
        </w:rPr>
      </w:pPr>
    </w:p>
    <w:p>
      <w:pPr>
        <w:ind w:right="300" w:firstLine="520"/>
        <w:spacing w:after="0" w:line="249" w:lineRule="auto"/>
        <w:rPr>
          <w:sz w:val="20"/>
          <w:szCs w:val="20"/>
          <w:color w:val="auto"/>
        </w:rPr>
      </w:pPr>
      <w:r>
        <w:rPr>
          <w:rFonts w:ascii="Arial" w:cs="Arial" w:eastAsia="Arial" w:hAnsi="Arial"/>
          <w:sz w:val="15"/>
          <w:szCs w:val="15"/>
          <w:color w:val="auto"/>
        </w:rPr>
        <w:t>On September 17, 2015, the Company made a payment of $1,765 to Comerica to satisfy all amounts owed under the loan and security agreement. The extinguishment amount was comprised of $1,700 of outstanding principal and $65 of final fees and accrued interest. Upon payment, Comerica released the Company of all security interests held in the Company’s assets, except for the cash collateral securing the Company’s corporate cards and standby letters of credit, and terminated all loan documents related to the loan and security agreement (other than any indemnification obligations and other provisions which survive termination).</w:t>
      </w:r>
    </w:p>
    <w:p>
      <w:pPr>
        <w:spacing w:after="0" w:line="159" w:lineRule="exact"/>
        <w:rPr>
          <w:sz w:val="20"/>
          <w:szCs w:val="20"/>
          <w:color w:val="auto"/>
        </w:rPr>
      </w:pPr>
    </w:p>
    <w:p>
      <w:pPr>
        <w:ind w:right="280" w:firstLine="520"/>
        <w:spacing w:after="0" w:line="262" w:lineRule="auto"/>
        <w:rPr>
          <w:sz w:val="20"/>
          <w:szCs w:val="20"/>
          <w:color w:val="auto"/>
        </w:rPr>
      </w:pPr>
      <w:r>
        <w:rPr>
          <w:rFonts w:ascii="Arial" w:cs="Arial" w:eastAsia="Arial" w:hAnsi="Arial"/>
          <w:sz w:val="15"/>
          <w:szCs w:val="15"/>
          <w:color w:val="auto"/>
        </w:rPr>
        <w:t>In connection with the extinguishment of the loan and security agreement, the Company recorded a loss on extinguishment of $140, which has been recorded as interest expense in the year ended December 31, 2015.</w:t>
      </w:r>
    </w:p>
    <w:p>
      <w:pPr>
        <w:spacing w:after="0" w:line="148" w:lineRule="exact"/>
        <w:rPr>
          <w:sz w:val="20"/>
          <w:szCs w:val="20"/>
          <w:color w:val="auto"/>
        </w:rPr>
      </w:pPr>
    </w:p>
    <w:p>
      <w:pPr>
        <w:ind w:right="380" w:firstLine="520"/>
        <w:spacing w:after="0" w:line="262" w:lineRule="auto"/>
        <w:rPr>
          <w:sz w:val="20"/>
          <w:szCs w:val="20"/>
          <w:color w:val="auto"/>
        </w:rPr>
      </w:pPr>
      <w:r>
        <w:rPr>
          <w:rFonts w:ascii="Arial" w:cs="Arial" w:eastAsia="Arial" w:hAnsi="Arial"/>
          <w:sz w:val="15"/>
          <w:szCs w:val="15"/>
          <w:color w:val="auto"/>
        </w:rPr>
        <w:t>Accretion of the debt discount recorded as additional interest expense was $96 and $66 for the years ended December 31, 2015 and 2014, respectively. As of December 31, 2015 and December 31, 2014, the unamortized debt discount was $0 and $96, respectively.</w:t>
      </w:r>
    </w:p>
    <w:p>
      <w:pPr>
        <w:spacing w:after="0" w:line="298"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Preferred Stock Warrant Liability</w:t>
      </w:r>
    </w:p>
    <w:p>
      <w:pPr>
        <w:spacing w:after="0" w:line="94" w:lineRule="exact"/>
        <w:rPr>
          <w:sz w:val="20"/>
          <w:szCs w:val="20"/>
          <w:color w:val="auto"/>
        </w:rPr>
      </w:pPr>
    </w:p>
    <w:p>
      <w:pPr>
        <w:ind w:right="40" w:firstLine="520"/>
        <w:spacing w:after="0" w:line="252" w:lineRule="auto"/>
        <w:rPr>
          <w:sz w:val="20"/>
          <w:szCs w:val="20"/>
          <w:color w:val="auto"/>
        </w:rPr>
      </w:pPr>
      <w:r>
        <w:rPr>
          <w:rFonts w:ascii="Arial" w:cs="Arial" w:eastAsia="Arial" w:hAnsi="Arial"/>
          <w:sz w:val="15"/>
          <w:szCs w:val="15"/>
          <w:color w:val="auto"/>
        </w:rPr>
        <w:t>In September 2013, the Company issued a warrant to purchase 92,127 shares of Series A-2 convertible preferred stock in connection with the loan and security agreement (see Note 7). The warrant was immediately exercisable at an exercise price of $1.78 per share and had a contractual term of ten years from issuance. The fair value of the warrant at issuance was estimated to be $156 and was recorded as a debt discount and as a preferred stock warrant liability.</w:t>
      </w:r>
    </w:p>
    <w:p>
      <w:pPr>
        <w:spacing w:after="0" w:line="157" w:lineRule="exact"/>
        <w:rPr>
          <w:sz w:val="20"/>
          <w:szCs w:val="20"/>
          <w:color w:val="auto"/>
        </w:rPr>
      </w:pPr>
    </w:p>
    <w:p>
      <w:pPr>
        <w:jc w:val="both"/>
        <w:ind w:right="100" w:firstLine="520"/>
        <w:spacing w:after="0" w:line="252" w:lineRule="auto"/>
        <w:rPr>
          <w:sz w:val="20"/>
          <w:szCs w:val="20"/>
          <w:color w:val="auto"/>
        </w:rPr>
      </w:pPr>
      <w:r>
        <w:rPr>
          <w:rFonts w:ascii="Arial" w:cs="Arial" w:eastAsia="Arial" w:hAnsi="Arial"/>
          <w:sz w:val="15"/>
          <w:szCs w:val="15"/>
          <w:color w:val="auto"/>
        </w:rPr>
        <w:t>The Company remeasured the fair value of the liability for this preferred stock warrant at each reporting date from its grant date, with any adjustments being recorded as a component of other income (expense), net in the Company’s consolidated statement of operations and comprehensive loss. The Company recorded losses of $7, $1,418 and $8 for the years ended December 31, 2015, 2014 and 2013, respectively, to reflect the change in fair value of this preferred stock warrant.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assumptions and inputs were used in determining the fair value of the preferred stock warrant liability valued using the Black-Scholes option-pricing model: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2"/>
                <w:szCs w:val="12"/>
                <w:b w:val="1"/>
                <w:bCs w:val="1"/>
                <w:color w:val="auto"/>
                <w:w w:val="90"/>
              </w:rPr>
              <w:t>Year Ended December 31,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22"/>
        </w:trPr>
        <w:tc>
          <w:tcPr>
            <w:tcW w:w="1740" w:type="dxa"/>
            <w:vAlign w:val="bottom"/>
          </w:tcPr>
          <w:p>
            <w:pPr>
              <w:spacing w:after="0"/>
              <w:rPr>
                <w:sz w:val="10"/>
                <w:szCs w:val="10"/>
                <w:color w:val="auto"/>
              </w:rPr>
            </w:pPr>
          </w:p>
        </w:tc>
        <w:tc>
          <w:tcPr>
            <w:tcW w:w="3420" w:type="dxa"/>
            <w:vAlign w:val="bottom"/>
            <w:tcBorders>
              <w:bottom w:val="single" w:sz="8" w:color="CFF0FC"/>
            </w:tcBorders>
          </w:tcPr>
          <w:p>
            <w:pPr>
              <w:spacing w:after="0"/>
              <w:rPr>
                <w:sz w:val="10"/>
                <w:szCs w:val="10"/>
                <w:color w:val="auto"/>
              </w:rPr>
            </w:pPr>
          </w:p>
        </w:tc>
        <w:tc>
          <w:tcPr>
            <w:tcW w:w="1140" w:type="dxa"/>
            <w:vAlign w:val="bottom"/>
            <w:tcBorders>
              <w:bottom w:val="single" w:sz="8" w:color="CFF0FC"/>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6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90"/>
              <w:spacing w:after="0" w:line="122"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CFF0FC"/>
            </w:tcBorders>
          </w:tcPr>
          <w:p>
            <w:pPr>
              <w:spacing w:after="0"/>
              <w:rPr>
                <w:sz w:val="10"/>
                <w:szCs w:val="10"/>
                <w:color w:val="auto"/>
              </w:rPr>
            </w:pPr>
          </w:p>
        </w:tc>
        <w:tc>
          <w:tcPr>
            <w:tcW w:w="6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90"/>
              <w:spacing w:after="0" w:line="122" w:lineRule="exact"/>
              <w:rPr>
                <w:sz w:val="20"/>
                <w:szCs w:val="20"/>
                <w:color w:val="auto"/>
              </w:rPr>
            </w:pPr>
            <w:r>
              <w:rPr>
                <w:rFonts w:ascii="Arial" w:cs="Arial" w:eastAsia="Arial" w:hAnsi="Arial"/>
                <w:sz w:val="12"/>
                <w:szCs w:val="12"/>
                <w:b w:val="1"/>
                <w:bCs w:val="1"/>
                <w:color w:val="auto"/>
              </w:rPr>
              <w:t>2013</w:t>
            </w:r>
          </w:p>
        </w:tc>
        <w:tc>
          <w:tcPr>
            <w:tcW w:w="140" w:type="dxa"/>
            <w:vAlign w:val="bottom"/>
            <w:tcBorders>
              <w:bottom w:val="single" w:sz="8" w:color="CFF0FC"/>
            </w:tcBorders>
          </w:tcPr>
          <w:p>
            <w:pPr>
              <w:spacing w:after="0"/>
              <w:rPr>
                <w:sz w:val="10"/>
                <w:szCs w:val="10"/>
                <w:color w:val="auto"/>
              </w:rPr>
            </w:pPr>
          </w:p>
        </w:tc>
        <w:tc>
          <w:tcPr>
            <w:tcW w:w="1740" w:type="dxa"/>
            <w:vAlign w:val="bottom"/>
          </w:tcPr>
          <w:p>
            <w:pPr>
              <w:spacing w:after="0"/>
              <w:rPr>
                <w:sz w:val="10"/>
                <w:szCs w:val="10"/>
                <w:color w:val="auto"/>
              </w:rPr>
            </w:pPr>
          </w:p>
        </w:tc>
      </w:tr>
      <w:tr>
        <w:trPr>
          <w:trHeight w:val="177"/>
        </w:trPr>
        <w:tc>
          <w:tcPr>
            <w:tcW w:w="1740" w:type="dxa"/>
            <w:vAlign w:val="bottom"/>
          </w:tcPr>
          <w:p>
            <w:pPr>
              <w:spacing w:after="0"/>
              <w:rPr>
                <w:sz w:val="15"/>
                <w:szCs w:val="15"/>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5"/>
                <w:szCs w:val="15"/>
                <w:color w:val="auto"/>
              </w:rPr>
              <w:t>Risk-free interest rate</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
              <w:spacing w:after="0"/>
              <w:rPr>
                <w:sz w:val="20"/>
                <w:szCs w:val="20"/>
                <w:color w:val="auto"/>
              </w:rPr>
            </w:pPr>
            <w:r>
              <w:rPr>
                <w:rFonts w:ascii="Arial" w:cs="Arial" w:eastAsia="Arial" w:hAnsi="Arial"/>
                <w:sz w:val="15"/>
                <w:szCs w:val="15"/>
                <w:color w:val="auto"/>
              </w:rPr>
              <w:t>2.40%</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2.17%</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3.20%</w:t>
            </w:r>
          </w:p>
        </w:tc>
        <w:tc>
          <w:tcPr>
            <w:tcW w:w="1740" w:type="dxa"/>
            <w:vAlign w:val="bottom"/>
          </w:tcPr>
          <w:p>
            <w:pPr>
              <w:spacing w:after="0"/>
              <w:rPr>
                <w:sz w:val="15"/>
                <w:szCs w:val="15"/>
                <w:color w:val="auto"/>
              </w:rPr>
            </w:pPr>
          </w:p>
        </w:tc>
      </w:tr>
      <w:tr>
        <w:trPr>
          <w:trHeight w:val="186"/>
        </w:trPr>
        <w:tc>
          <w:tcPr>
            <w:tcW w:w="5160" w:type="dxa"/>
            <w:vAlign w:val="bottom"/>
            <w:gridSpan w:val="2"/>
          </w:tcPr>
          <w:p>
            <w:pPr>
              <w:ind w:left="1740"/>
              <w:spacing w:after="0"/>
              <w:rPr>
                <w:sz w:val="20"/>
                <w:szCs w:val="20"/>
                <w:color w:val="auto"/>
              </w:rPr>
            </w:pPr>
            <w:r>
              <w:rPr>
                <w:rFonts w:ascii="Arial" w:cs="Arial" w:eastAsia="Arial" w:hAnsi="Arial"/>
                <w:sz w:val="15"/>
                <w:szCs w:val="15"/>
                <w:color w:val="auto"/>
              </w:rPr>
              <w:t>Expected term (in years)</w:t>
            </w: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8.2</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9.7</w:t>
            </w: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740" w:type="dxa"/>
            <w:vAlign w:val="bottom"/>
          </w:tcPr>
          <w:p>
            <w:pPr>
              <w:spacing w:after="0"/>
              <w:rPr>
                <w:sz w:val="16"/>
                <w:szCs w:val="16"/>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5"/>
                <w:szCs w:val="15"/>
                <w:color w:val="auto"/>
              </w:rPr>
              <w:t>Expected volatility</w:t>
            </w:r>
          </w:p>
        </w:tc>
        <w:tc>
          <w:tcPr>
            <w:tcW w:w="1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
              <w:spacing w:after="0"/>
              <w:rPr>
                <w:sz w:val="20"/>
                <w:szCs w:val="20"/>
                <w:color w:val="auto"/>
              </w:rPr>
            </w:pPr>
            <w:r>
              <w:rPr>
                <w:rFonts w:ascii="Arial" w:cs="Arial" w:eastAsia="Arial" w:hAnsi="Arial"/>
                <w:sz w:val="15"/>
                <w:szCs w:val="15"/>
                <w:color w:val="auto"/>
              </w:rPr>
              <w:t>91.2%</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84.0%</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86.0%</w:t>
            </w:r>
          </w:p>
        </w:tc>
        <w:tc>
          <w:tcPr>
            <w:tcW w:w="1740" w:type="dxa"/>
            <w:vAlign w:val="bottom"/>
          </w:tcPr>
          <w:p>
            <w:pPr>
              <w:spacing w:after="0"/>
              <w:rPr>
                <w:sz w:val="16"/>
                <w:szCs w:val="16"/>
                <w:color w:val="auto"/>
              </w:rPr>
            </w:pPr>
          </w:p>
        </w:tc>
      </w:tr>
      <w:tr>
        <w:trPr>
          <w:trHeight w:val="186"/>
        </w:trPr>
        <w:tc>
          <w:tcPr>
            <w:tcW w:w="5160" w:type="dxa"/>
            <w:vAlign w:val="bottom"/>
            <w:gridSpan w:val="2"/>
          </w:tcPr>
          <w:p>
            <w:pPr>
              <w:ind w:left="1740"/>
              <w:spacing w:after="0"/>
              <w:rPr>
                <w:sz w:val="20"/>
                <w:szCs w:val="20"/>
                <w:color w:val="auto"/>
              </w:rPr>
            </w:pPr>
            <w:r>
              <w:rPr>
                <w:rFonts w:ascii="Arial" w:cs="Arial" w:eastAsia="Arial" w:hAnsi="Arial"/>
                <w:sz w:val="15"/>
                <w:szCs w:val="15"/>
                <w:color w:val="auto"/>
              </w:rPr>
              <w:t>Expected dividend yield</w:t>
            </w: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gridSpan w:val="2"/>
          </w:tcPr>
          <w:p>
            <w:pPr>
              <w:jc w:val="right"/>
              <w:ind w:right="2"/>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0%</w:t>
            </w:r>
          </w:p>
        </w:tc>
        <w:tc>
          <w:tcPr>
            <w:tcW w:w="1740" w:type="dxa"/>
            <w:vAlign w:val="bottom"/>
          </w:tcPr>
          <w:p>
            <w:pPr>
              <w:spacing w:after="0"/>
              <w:rPr>
                <w:sz w:val="16"/>
                <w:szCs w:val="16"/>
                <w:color w:val="auto"/>
              </w:rPr>
            </w:pPr>
          </w:p>
        </w:tc>
      </w:tr>
      <w:tr>
        <w:trPr>
          <w:trHeight w:val="186"/>
        </w:trPr>
        <w:tc>
          <w:tcPr>
            <w:tcW w:w="1740" w:type="dxa"/>
            <w:vAlign w:val="bottom"/>
          </w:tcPr>
          <w:p>
            <w:pPr>
              <w:spacing w:after="0"/>
              <w:rPr>
                <w:sz w:val="16"/>
                <w:szCs w:val="16"/>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5"/>
                <w:szCs w:val="15"/>
                <w:color w:val="auto"/>
              </w:rPr>
              <w:t>Fair value of Series A-2 convertible preferred stock</w:t>
            </w:r>
          </w:p>
        </w:tc>
        <w:tc>
          <w:tcPr>
            <w:tcW w:w="1720" w:type="dxa"/>
            <w:vAlign w:val="bottom"/>
            <w:gridSpan w:val="2"/>
            <w:shd w:val="clear" w:color="auto" w:fill="CFF0FC"/>
          </w:tcPr>
          <w:p>
            <w:pPr>
              <w:jc w:val="right"/>
              <w:ind w:right="442"/>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5"/>
              </w:rPr>
              <w:t>17.26</w:t>
            </w:r>
          </w:p>
        </w:tc>
        <w:tc>
          <w:tcPr>
            <w:tcW w:w="18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17.18</w:t>
            </w:r>
          </w:p>
        </w:tc>
        <w:tc>
          <w:tcPr>
            <w:tcW w:w="20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w:t>
            </w:r>
          </w:p>
        </w:tc>
        <w:tc>
          <w:tcPr>
            <w:tcW w:w="14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r>
      <w:tr>
        <w:trPr>
          <w:trHeight w:val="525"/>
        </w:trPr>
        <w:tc>
          <w:tcPr>
            <w:tcW w:w="1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20" w:type="dxa"/>
            <w:vAlign w:val="bottom"/>
            <w:gridSpan w:val="2"/>
          </w:tcPr>
          <w:p>
            <w:pPr>
              <w:jc w:val="right"/>
              <w:ind w:right="942"/>
              <w:spacing w:after="0"/>
              <w:rPr>
                <w:sz w:val="20"/>
                <w:szCs w:val="20"/>
                <w:color w:val="auto"/>
              </w:rPr>
            </w:pPr>
            <w:r>
              <w:rPr>
                <w:rFonts w:ascii="Arial" w:cs="Arial" w:eastAsia="Arial" w:hAnsi="Arial"/>
                <w:sz w:val="15"/>
                <w:szCs w:val="15"/>
                <w:color w:val="auto"/>
              </w:rPr>
              <w:t>F-15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9"/>
        </w:trPr>
        <w:tc>
          <w:tcPr>
            <w:tcW w:w="174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103" w:name="page104"/>
    <w:bookmarkEnd w:id="103"/>
    <w:tbl>
      <w:tblPr>
        <w:tblLayout w:type="fixed"/>
        <w:tblInd w:w="52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5500" w:type="dxa"/>
            <w:vAlign w:val="bottom"/>
          </w:tcPr>
          <w:p>
            <w:pPr>
              <w:jc w:val="center"/>
              <w:ind w:left="1287"/>
              <w:spacing w:after="0"/>
              <w:rPr>
                <w:sz w:val="20"/>
                <w:szCs w:val="20"/>
                <w:color w:val="auto"/>
              </w:rPr>
            </w:pPr>
            <w:r>
              <w:rPr>
                <w:rFonts w:ascii="Arial" w:cs="Arial" w:eastAsia="Arial" w:hAnsi="Arial"/>
                <w:sz w:val="15"/>
                <w:szCs w:val="15"/>
                <w:b w:val="1"/>
                <w:bCs w:val="1"/>
                <w:color w:val="auto"/>
                <w:w w:val="96"/>
              </w:rPr>
              <w:t>SERES THERAPEUTICS, INC.</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5500" w:type="dxa"/>
            <w:vAlign w:val="bottom"/>
          </w:tcPr>
          <w:p>
            <w:pPr>
              <w:jc w:val="center"/>
              <w:ind w:left="1287"/>
              <w:spacing w:after="0"/>
              <w:rPr>
                <w:sz w:val="20"/>
                <w:szCs w:val="20"/>
                <w:color w:val="auto"/>
              </w:rPr>
            </w:pPr>
            <w:r>
              <w:rPr>
                <w:rFonts w:ascii="Arial" w:cs="Arial" w:eastAsia="Arial" w:hAnsi="Arial"/>
                <w:sz w:val="15"/>
                <w:szCs w:val="15"/>
                <w:b w:val="1"/>
                <w:bCs w:val="1"/>
                <w:color w:val="auto"/>
                <w:w w:val="97"/>
              </w:rPr>
              <w:t>NOTES TO CONSOLIDATED FINANCIAL STATEMENTS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5500" w:type="dxa"/>
            <w:vAlign w:val="bottom"/>
          </w:tcPr>
          <w:p>
            <w:pPr>
              <w:jc w:val="center"/>
              <w:ind w:left="1287"/>
              <w:spacing w:after="0"/>
              <w:rPr>
                <w:sz w:val="20"/>
                <w:szCs w:val="20"/>
                <w:color w:val="auto"/>
              </w:rPr>
            </w:pPr>
            <w:r>
              <w:rPr>
                <w:rFonts w:ascii="Arial" w:cs="Arial" w:eastAsia="Arial" w:hAnsi="Arial"/>
                <w:sz w:val="15"/>
                <w:szCs w:val="15"/>
                <w:b w:val="1"/>
                <w:bCs w:val="1"/>
                <w:color w:val="auto"/>
                <w:w w:val="85"/>
              </w:rPr>
              <w:t>(amounts in thousands, except share and per share data)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7280" w:type="dxa"/>
            <w:vAlign w:val="bottom"/>
            <w:gridSpan w:val="2"/>
          </w:tcPr>
          <w:p>
            <w:pPr>
              <w:spacing w:after="0"/>
              <w:rPr>
                <w:sz w:val="20"/>
                <w:szCs w:val="20"/>
                <w:color w:val="auto"/>
              </w:rPr>
            </w:pPr>
            <w:r>
              <w:rPr>
                <w:rFonts w:ascii="Arial" w:cs="Arial" w:eastAsia="Arial" w:hAnsi="Arial"/>
                <w:sz w:val="15"/>
                <w:szCs w:val="15"/>
                <w:color w:val="auto"/>
              </w:rPr>
              <w:t>The following table provides a rollforward of the fair value of the Company’s preferred stock warrant liability: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55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Fair Value</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5"/>
                <w:szCs w:val="15"/>
                <w:color w:val="auto"/>
              </w:rPr>
              <w:t>Balance as of December 31, 2012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5500" w:type="dxa"/>
            <w:vAlign w:val="bottom"/>
          </w:tcPr>
          <w:p>
            <w:pPr>
              <w:ind w:left="200"/>
              <w:spacing w:after="0"/>
              <w:rPr>
                <w:sz w:val="20"/>
                <w:szCs w:val="20"/>
                <w:color w:val="auto"/>
              </w:rPr>
            </w:pPr>
            <w:r>
              <w:rPr>
                <w:rFonts w:ascii="Arial" w:cs="Arial" w:eastAsia="Arial" w:hAnsi="Arial"/>
                <w:sz w:val="15"/>
                <w:szCs w:val="15"/>
                <w:color w:val="auto"/>
              </w:rPr>
              <w:t>Issuance of Series A-2 preferred stock warrant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55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Loss on revaluation</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80" w:type="dxa"/>
            <w:vAlign w:val="bottom"/>
            <w:gridSpan w:val="2"/>
          </w:tcPr>
          <w:p>
            <w:pPr>
              <w:ind w:left="1780"/>
              <w:spacing w:after="0"/>
              <w:rPr>
                <w:sz w:val="20"/>
                <w:szCs w:val="20"/>
                <w:color w:val="auto"/>
              </w:rPr>
            </w:pPr>
            <w:r>
              <w:rPr>
                <w:rFonts w:ascii="Arial" w:cs="Arial" w:eastAsia="Arial" w:hAnsi="Arial"/>
                <w:sz w:val="15"/>
                <w:szCs w:val="15"/>
                <w:color w:val="auto"/>
              </w:rPr>
              <w:t>Balance as of December 31, 2013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55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Loss on revaluation</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80" w:type="dxa"/>
            <w:vAlign w:val="bottom"/>
            <w:gridSpan w:val="2"/>
          </w:tcPr>
          <w:p>
            <w:pPr>
              <w:ind w:left="1780"/>
              <w:spacing w:after="0"/>
              <w:rPr>
                <w:sz w:val="20"/>
                <w:szCs w:val="20"/>
                <w:color w:val="auto"/>
              </w:rPr>
            </w:pPr>
            <w:r>
              <w:rPr>
                <w:rFonts w:ascii="Arial" w:cs="Arial" w:eastAsia="Arial" w:hAnsi="Arial"/>
                <w:sz w:val="15"/>
                <w:szCs w:val="15"/>
                <w:color w:val="auto"/>
              </w:rPr>
              <w:t>Balance as of December 31, 2014</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55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Loss on revaluation</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5500" w:type="dxa"/>
            <w:vAlign w:val="bottom"/>
          </w:tcPr>
          <w:p>
            <w:pPr>
              <w:ind w:left="200"/>
              <w:spacing w:after="0"/>
              <w:rPr>
                <w:sz w:val="20"/>
                <w:szCs w:val="20"/>
                <w:color w:val="auto"/>
              </w:rPr>
            </w:pPr>
            <w:r>
              <w:rPr>
                <w:rFonts w:ascii="Arial" w:cs="Arial" w:eastAsia="Arial" w:hAnsi="Arial"/>
                <w:sz w:val="15"/>
                <w:szCs w:val="15"/>
                <w:color w:val="auto"/>
              </w:rPr>
              <w:t>Reclassification to stockholders’ equity</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as of December 31, 2015</w:t>
            </w: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80" w:type="dxa"/>
            <w:vAlign w:val="bottom"/>
          </w:tcPr>
          <w:p>
            <w:pPr>
              <w:spacing w:after="0"/>
              <w:rPr>
                <w:sz w:val="15"/>
                <w:szCs w:val="15"/>
                <w:color w:val="auto"/>
              </w:rPr>
            </w:pPr>
          </w:p>
        </w:tc>
        <w:tc>
          <w:tcPr>
            <w:tcW w:w="5500" w:type="dxa"/>
            <w:vAlign w:val="bottom"/>
            <w:vMerge w:val="continue"/>
            <w:shd w:val="clear" w:color="auto" w:fill="CFF0FC"/>
          </w:tcPr>
          <w:p>
            <w:pPr>
              <w:spacing w:after="0"/>
              <w:rPr>
                <w:sz w:val="15"/>
                <w:szCs w:val="15"/>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520"/>
        <w:spacing w:after="0" w:line="332" w:lineRule="auto"/>
        <w:rPr>
          <w:sz w:val="20"/>
          <w:szCs w:val="20"/>
          <w:color w:val="auto"/>
        </w:rPr>
      </w:pPr>
      <w:r>
        <w:rPr>
          <w:rFonts w:ascii="Arial" w:cs="Arial" w:eastAsia="Arial" w:hAnsi="Arial"/>
          <w:sz w:val="12"/>
          <w:szCs w:val="12"/>
          <w:color w:val="auto"/>
        </w:rPr>
        <w:t>In connection with the automatic conversion of the Company’s convertible preferred stock, which occurred upon the listing of the Company’s common stock on the NASDAQ on June 26, 2015, the preferred stock warrant became a warrant to purchase common stock. The Company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112" w:lineRule="exact"/>
        <w:rPr>
          <w:sz w:val="20"/>
          <w:szCs w:val="20"/>
          <w:color w:val="auto"/>
        </w:rPr>
      </w:pPr>
    </w:p>
    <w:p>
      <w:pPr>
        <w:ind w:right="280" w:firstLine="520"/>
        <w:spacing w:after="0" w:line="262" w:lineRule="auto"/>
        <w:rPr>
          <w:sz w:val="20"/>
          <w:szCs w:val="20"/>
          <w:color w:val="auto"/>
        </w:rPr>
      </w:pPr>
      <w:r>
        <w:rPr>
          <w:rFonts w:ascii="Arial" w:cs="Arial" w:eastAsia="Arial" w:hAnsi="Arial"/>
          <w:sz w:val="15"/>
          <w:szCs w:val="15"/>
          <w:color w:val="auto"/>
        </w:rPr>
        <w:t>On August 17, 2015, the common stock warrant was exercised in full at an exercise price of $1.78 per share of common stock. The Company received proceeds of $164 in connection with the exercise of the common stock warrant.</w:t>
      </w:r>
    </w:p>
    <w:p>
      <w:pPr>
        <w:spacing w:after="0" w:line="298"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Convertible Preferred Stock</w:t>
      </w:r>
    </w:p>
    <w:p>
      <w:pPr>
        <w:spacing w:after="0" w:line="94" w:lineRule="exact"/>
        <w:rPr>
          <w:sz w:val="20"/>
          <w:szCs w:val="20"/>
          <w:color w:val="auto"/>
        </w:rPr>
      </w:pPr>
    </w:p>
    <w:p>
      <w:pPr>
        <w:ind w:right="180" w:firstLine="520"/>
        <w:spacing w:after="0" w:line="262" w:lineRule="auto"/>
        <w:rPr>
          <w:sz w:val="20"/>
          <w:szCs w:val="20"/>
          <w:color w:val="auto"/>
        </w:rPr>
      </w:pPr>
      <w:r>
        <w:rPr>
          <w:rFonts w:ascii="Arial" w:cs="Arial" w:eastAsia="Arial" w:hAnsi="Arial"/>
          <w:sz w:val="15"/>
          <w:szCs w:val="15"/>
          <w:color w:val="auto"/>
        </w:rPr>
        <w:t>On July 1, 2015, in connection with the closing of the IPO, the Company effected its Restated Certificate of Incorporation, which authorizes the Company to issue 10,000,000 shares of preferred stock, $0.001 par value per share.</w:t>
      </w:r>
    </w:p>
    <w:p>
      <w:pPr>
        <w:spacing w:after="0" w:line="148" w:lineRule="exact"/>
        <w:rPr>
          <w:sz w:val="20"/>
          <w:szCs w:val="20"/>
          <w:color w:val="auto"/>
        </w:rPr>
      </w:pPr>
    </w:p>
    <w:p>
      <w:pPr>
        <w:ind w:right="160" w:firstLine="520"/>
        <w:spacing w:after="0" w:line="262" w:lineRule="auto"/>
        <w:rPr>
          <w:sz w:val="20"/>
          <w:szCs w:val="20"/>
          <w:color w:val="auto"/>
        </w:rPr>
      </w:pPr>
      <w:r>
        <w:rPr>
          <w:rFonts w:ascii="Arial" w:cs="Arial" w:eastAsia="Arial" w:hAnsi="Arial"/>
          <w:sz w:val="15"/>
          <w:szCs w:val="15"/>
          <w:color w:val="auto"/>
        </w:rPr>
        <w:t>All outstanding shares of the Company’s convertible preferred stock automatically converted into 22,866,987 shares of the Company’s common stock upon the listing of the Company’s common stock on the NASDAQ on June 26, 2015.</w:t>
      </w:r>
    </w:p>
    <w:p>
      <w:pPr>
        <w:spacing w:after="0" w:line="298"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(Deficit) Common Stock</w:t>
      </w:r>
    </w:p>
    <w:p>
      <w:pPr>
        <w:spacing w:after="0" w:line="94"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On July 1, 2015, the Company completed an IPO, and issued and sold 8,545,138 shares of common stock at a public offering price of $18.00 per share, resulting in net proceeds of approximately $139,267 after deducting underwriting discounts and commissions and other offering expenses totaling $3,748. The shares issued upon closing of the IPO included 1,114,583 shares of the Company’s common stock, which were sold to the underwriters pursuant to the full exercise of their option to purchase additional shares of common stock. Upon the listing of the Company’s common stock on the NASDAQ on June 26, 2015, all outstanding shares of the Company’s convertible preferred stock automatically converted into 22,866,987 shares of the Company’s common stock.</w:t>
      </w:r>
    </w:p>
    <w:p>
      <w:pPr>
        <w:spacing w:after="0" w:line="159" w:lineRule="exact"/>
        <w:rPr>
          <w:sz w:val="20"/>
          <w:szCs w:val="20"/>
          <w:color w:val="auto"/>
        </w:rPr>
      </w:pPr>
    </w:p>
    <w:p>
      <w:pPr>
        <w:ind w:right="80" w:firstLine="520"/>
        <w:spacing w:after="0" w:line="252" w:lineRule="auto"/>
        <w:rPr>
          <w:sz w:val="20"/>
          <w:szCs w:val="20"/>
          <w:color w:val="auto"/>
        </w:rPr>
      </w:pPr>
      <w:r>
        <w:rPr>
          <w:rFonts w:ascii="Arial" w:cs="Arial" w:eastAsia="Arial" w:hAnsi="Arial"/>
          <w:sz w:val="15"/>
          <w:szCs w:val="15"/>
          <w:color w:val="auto"/>
        </w:rPr>
        <w:t>As of December 31, 2014, the Company’s Amended and Restated Certificate of Incorporation, as further amended, authorized the Company to issue 38,000,000 shares of common stock, $0.001 par value per share. On July 1, 2015, in connection with the closing of the IPO, the Company effected its Restated Certificate of Incorporation, which authorizes the Company to issue 200,000,000 shares of common stock, $0.001 par value per share.</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Warrants</w:t>
      </w:r>
    </w:p>
    <w:p>
      <w:pPr>
        <w:spacing w:after="0" w:line="94" w:lineRule="exact"/>
        <w:rPr>
          <w:sz w:val="20"/>
          <w:szCs w:val="20"/>
          <w:color w:val="auto"/>
        </w:rPr>
      </w:pPr>
    </w:p>
    <w:p>
      <w:pPr>
        <w:ind w:right="140" w:firstLine="520"/>
        <w:spacing w:after="0" w:line="249" w:lineRule="auto"/>
        <w:rPr>
          <w:sz w:val="20"/>
          <w:szCs w:val="20"/>
          <w:color w:val="auto"/>
        </w:rPr>
      </w:pPr>
      <w:r>
        <w:rPr>
          <w:rFonts w:ascii="Arial" w:cs="Arial" w:eastAsia="Arial" w:hAnsi="Arial"/>
          <w:sz w:val="15"/>
          <w:szCs w:val="15"/>
          <w:color w:val="auto"/>
        </w:rPr>
        <w:t>In June 2014, the Company entered into a research agreement with the Mayo Foundation for Medical Education and Research (“Mayo”) under which the Company acquired a license to intellectual property. In exchange for the license, the Company issued to Mayo a warrant to purchase 454,545 shares of common stock at an exercise price of $0.01 per share, which was immediately exercisable. Upon issuance of the warrant, the Company recorded research and development expense of $317 for the fair value of the warrant, determined using the following assumptions in the Black-Scholes option-pricing model: expected volatility of 86.0%, risk-</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229" w:lineRule="exact"/>
        <w:rPr>
          <w:sz w:val="20"/>
          <w:szCs w:val="20"/>
          <w:color w:val="auto"/>
        </w:rPr>
      </w:pPr>
    </w:p>
    <w:p>
      <w:pPr>
        <w:ind w:right="240"/>
        <w:spacing w:after="0" w:line="387" w:lineRule="auto"/>
        <w:rPr>
          <w:sz w:val="20"/>
          <w:szCs w:val="20"/>
          <w:color w:val="auto"/>
        </w:rPr>
      </w:pPr>
      <w:r>
        <w:rPr>
          <w:rFonts w:ascii="Arial" w:cs="Arial" w:eastAsia="Arial" w:hAnsi="Arial"/>
          <w:sz w:val="12"/>
          <w:szCs w:val="12"/>
          <w:color w:val="auto"/>
        </w:rPr>
        <w:t>free interest rate of 2.3%, expected term of seven years (equaling the contractual term of the warrant) and no expected dividends. Because this warrant was indexed to the Company’s stock and could only be settled by gross physical delivery of shares the Company determined that this warrant qualified for equity classification. This warrant was exercised on April 29, 2015.</w:t>
      </w:r>
    </w:p>
    <w:p>
      <w:pPr>
        <w:spacing w:after="0" w:line="80"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The Company also issued to Mayo an additional warrant (the “performance warrant”) to purchase up to 284,090 shares of common stock at an exercise price equal to the per share price at which the Company most recently sold shares of its preferred stock. The performance warrant was exercisable for a number of shares to be determined by the Company’s board of directors from time to time, upon the achievement by Mayo of specified milestones. The performance warrant provided for termination upon the closing of an initial public offering by the Company. The IPO closed prior to any probable achievement of the specified milestones, therefore, the warrant terminated and the Company did not record any expense for the performance warrant from the date of issuance through the closing of the IPO.</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2012 Stock Incentive Plan</w:t>
      </w:r>
    </w:p>
    <w:p>
      <w:pPr>
        <w:spacing w:after="0" w:line="94" w:lineRule="exact"/>
        <w:rPr>
          <w:sz w:val="20"/>
          <w:szCs w:val="20"/>
          <w:color w:val="auto"/>
        </w:rPr>
      </w:pPr>
    </w:p>
    <w:p>
      <w:pPr>
        <w:ind w:firstLine="520"/>
        <w:spacing w:after="0" w:line="325" w:lineRule="auto"/>
        <w:rPr>
          <w:sz w:val="20"/>
          <w:szCs w:val="20"/>
          <w:color w:val="auto"/>
        </w:rPr>
      </w:pPr>
      <w:r>
        <w:rPr>
          <w:rFonts w:ascii="Arial" w:cs="Arial" w:eastAsia="Arial" w:hAnsi="Arial"/>
          <w:sz w:val="12"/>
          <w:szCs w:val="12"/>
          <w:color w:val="auto"/>
        </w:rPr>
        <w:t>The Company’s 2012 Stock Incentive Plan, as amended,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grants stock-based awards with service conditions only (“service-based” awards).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Stock options granted under the 2012 Plan generally vest over four years and expire after ten years, although options have been granted with vesting terms less than four years.</w:t>
      </w:r>
    </w:p>
    <w:p>
      <w:pPr>
        <w:spacing w:after="0" w:line="212" w:lineRule="exact"/>
        <w:rPr>
          <w:sz w:val="20"/>
          <w:szCs w:val="20"/>
          <w:color w:val="auto"/>
        </w:rPr>
      </w:pPr>
    </w:p>
    <w:p>
      <w:pPr>
        <w:ind w:right="20" w:firstLine="520"/>
        <w:spacing w:after="0" w:line="248" w:lineRule="auto"/>
        <w:rPr>
          <w:sz w:val="20"/>
          <w:szCs w:val="20"/>
          <w:color w:val="auto"/>
        </w:rPr>
      </w:pPr>
      <w:r>
        <w:rPr>
          <w:rFonts w:ascii="Arial" w:cs="Arial" w:eastAsia="Arial" w:hAnsi="Arial"/>
          <w:sz w:val="15"/>
          <w:szCs w:val="15"/>
          <w:color w:val="auto"/>
        </w:rPr>
        <w:t>The total number of shares of common stock that may be issued under the 2012 Plan was 1,261,836 shares as of December 31, 2013. In May 2014, the Company effected an increase in the number of shares of common stock reserved for issuance under the 2012 Plan to 3,561,836 shares. In December 2014, the Company effected an increase in the number of shares of common stock reserved for issuance under the 2012 Plan to 3,608,029 shares. The total number of shares of common stock that may be issued under the 2012 Plan was 3,608,029 shares as of December 31, 2014. In March 2015, the Company effected an increase in the number of shares of common stock reserved for issuance under the 2012 Plan to 4,309,653 shares. As of December 31, 2015, there were 120,250 shares available for future grant under the 2012 Plan.</w:t>
      </w:r>
    </w:p>
    <w:p>
      <w:pPr>
        <w:spacing w:after="0" w:line="159" w:lineRule="exact"/>
        <w:rPr>
          <w:sz w:val="20"/>
          <w:szCs w:val="20"/>
          <w:color w:val="auto"/>
        </w:rPr>
      </w:pPr>
    </w:p>
    <w:p>
      <w:pPr>
        <w:ind w:right="40" w:firstLine="520"/>
        <w:spacing w:after="0" w:line="252" w:lineRule="auto"/>
        <w:rPr>
          <w:sz w:val="20"/>
          <w:szCs w:val="20"/>
          <w:color w:val="auto"/>
        </w:rPr>
      </w:pPr>
      <w:r>
        <w:rPr>
          <w:rFonts w:ascii="Arial" w:cs="Arial" w:eastAsia="Arial" w:hAnsi="Arial"/>
          <w:sz w:val="15"/>
          <w:szCs w:val="15"/>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Incentive Award Plan</w:t>
      </w:r>
    </w:p>
    <w:p>
      <w:pPr>
        <w:spacing w:after="0" w:line="94"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is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 As of December 31, 2015, there were 1,101,500 shares available for future grant under the 2015 Plan.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Employee Stock Purchase Plan</w:t>
      </w:r>
    </w:p>
    <w:p>
      <w:pPr>
        <w:spacing w:after="0" w:line="94" w:lineRule="exact"/>
        <w:rPr>
          <w:sz w:val="20"/>
          <w:szCs w:val="20"/>
          <w:color w:val="auto"/>
        </w:rPr>
      </w:pPr>
    </w:p>
    <w:p>
      <w:pPr>
        <w:ind w:right="160" w:firstLine="520"/>
        <w:spacing w:after="0" w:line="248" w:lineRule="auto"/>
        <w:rPr>
          <w:sz w:val="20"/>
          <w:szCs w:val="20"/>
          <w:color w:val="auto"/>
        </w:rPr>
      </w:pPr>
      <w:r>
        <w:rPr>
          <w:rFonts w:ascii="Arial" w:cs="Arial" w:eastAsia="Arial" w:hAnsi="Arial"/>
          <w:sz w:val="15"/>
          <w:szCs w:val="15"/>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will automatically increase on the first day of each calendar year, beginning in 2016 and ending in 2025, by an amount equal to the least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Valuation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assumptions that the Company used to determine the fair value of the stock options granted to employees and directors were as follows, presented on a weighted average basis:</w:t>
      </w:r>
    </w:p>
    <w:p>
      <w:pPr>
        <w:spacing w:after="0" w:line="271" w:lineRule="exact"/>
        <w:rPr>
          <w:sz w:val="20"/>
          <w:szCs w:val="20"/>
          <w:color w:val="auto"/>
        </w:rPr>
      </w:pPr>
    </w:p>
    <w:p>
      <w:pPr>
        <w:ind w:left="7660"/>
        <w:spacing w:after="0"/>
        <w:rPr>
          <w:sz w:val="20"/>
          <w:szCs w:val="20"/>
          <w:color w:val="auto"/>
        </w:rPr>
      </w:pPr>
      <w:r>
        <w:rPr>
          <w:rFonts w:ascii="Arial" w:cs="Arial" w:eastAsia="Arial" w:hAnsi="Arial"/>
          <w:sz w:val="12"/>
          <w:szCs w:val="12"/>
          <w:b w:val="1"/>
          <w:bCs w:val="1"/>
          <w:color w:val="auto"/>
        </w:rPr>
        <w:t>Year Ended December 31,</w:t>
      </w:r>
    </w:p>
    <w:tbl>
      <w:tblPr>
        <w:tblLayout w:type="fixed"/>
        <w:tblInd w:w="1160" w:type="dxa"/>
        <w:tblCellMar>
          <w:top w:w="0" w:type="dxa"/>
          <w:left w:w="0" w:type="dxa"/>
          <w:bottom w:w="0" w:type="dxa"/>
          <w:right w:w="0" w:type="dxa"/>
        </w:tblCellMar>
      </w:tblPr>
      <w:tr>
        <w:trPr>
          <w:trHeight w:val="122"/>
        </w:trPr>
        <w:tc>
          <w:tcPr>
            <w:tcW w:w="5300" w:type="dxa"/>
            <w:vAlign w:val="bottom"/>
            <w:tcBorders>
              <w:bottom w:val="single" w:sz="8" w:color="CFF0FC"/>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
              <w:spacing w:after="0" w:line="122" w:lineRule="exact"/>
              <w:rPr>
                <w:sz w:val="20"/>
                <w:szCs w:val="20"/>
                <w:color w:val="auto"/>
              </w:rPr>
            </w:pPr>
            <w:r>
              <w:rPr>
                <w:rFonts w:ascii="Arial" w:cs="Arial" w:eastAsia="Arial" w:hAnsi="Arial"/>
                <w:sz w:val="12"/>
                <w:szCs w:val="12"/>
                <w:b w:val="1"/>
                <w:bCs w:val="1"/>
                <w:color w:val="auto"/>
              </w:rPr>
              <w:t>2015</w:t>
            </w:r>
          </w:p>
        </w:tc>
        <w:tc>
          <w:tcPr>
            <w:tcW w:w="5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top w:val="single" w:sz="8" w:color="auto"/>
              <w:bottom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2013</w:t>
            </w:r>
          </w:p>
        </w:tc>
        <w:tc>
          <w:tcPr>
            <w:tcW w:w="160" w:type="dxa"/>
            <w:vAlign w:val="bottom"/>
            <w:tcBorders>
              <w:bottom w:val="single" w:sz="8" w:color="CFF0FC"/>
            </w:tcBorders>
          </w:tcPr>
          <w:p>
            <w:pPr>
              <w:spacing w:after="0"/>
              <w:rPr>
                <w:sz w:val="10"/>
                <w:szCs w:val="10"/>
                <w:color w:val="auto"/>
              </w:rPr>
            </w:pPr>
          </w:p>
        </w:tc>
      </w:tr>
      <w:tr>
        <w:trPr>
          <w:trHeight w:val="177"/>
        </w:trPr>
        <w:tc>
          <w:tcPr>
            <w:tcW w:w="60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Risk-free interest rate</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1.80 %</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1.83%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1.27%</w:t>
            </w:r>
          </w:p>
        </w:tc>
      </w:tr>
      <w:tr>
        <w:trPr>
          <w:trHeight w:val="186"/>
        </w:trPr>
        <w:tc>
          <w:tcPr>
            <w:tcW w:w="6000" w:type="dxa"/>
            <w:vAlign w:val="bottom"/>
            <w:gridSpan w:val="2"/>
          </w:tcPr>
          <w:p>
            <w:pPr>
              <w:spacing w:after="0"/>
              <w:rPr>
                <w:sz w:val="20"/>
                <w:szCs w:val="20"/>
                <w:color w:val="auto"/>
              </w:rPr>
            </w:pPr>
            <w:r>
              <w:rPr>
                <w:rFonts w:ascii="Arial" w:cs="Arial" w:eastAsia="Arial" w:hAnsi="Arial"/>
                <w:sz w:val="15"/>
                <w:szCs w:val="15"/>
                <w:color w:val="auto"/>
              </w:rPr>
              <w:t>Expected term (in years)</w:t>
            </w:r>
          </w:p>
        </w:tc>
        <w:tc>
          <w:tcPr>
            <w:tcW w:w="500" w:type="dxa"/>
            <w:vAlign w:val="bottom"/>
          </w:tcPr>
          <w:p>
            <w:pPr>
              <w:jc w:val="right"/>
              <w:ind w:right="87"/>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6"/>
                <w:szCs w:val="16"/>
                <w:color w:val="auto"/>
              </w:rPr>
            </w:pPr>
          </w:p>
        </w:tc>
      </w:tr>
      <w:tr>
        <w:trPr>
          <w:trHeight w:val="186"/>
        </w:trPr>
        <w:tc>
          <w:tcPr>
            <w:tcW w:w="60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Expected volatility</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81.4 %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83.5%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85.9%</w:t>
            </w:r>
          </w:p>
        </w:tc>
      </w:tr>
      <w:tr>
        <w:trPr>
          <w:trHeight w:val="186"/>
        </w:trPr>
        <w:tc>
          <w:tcPr>
            <w:tcW w:w="6000" w:type="dxa"/>
            <w:vAlign w:val="bottom"/>
            <w:gridSpan w:val="2"/>
          </w:tcPr>
          <w:p>
            <w:pPr>
              <w:spacing w:after="0"/>
              <w:rPr>
                <w:sz w:val="20"/>
                <w:szCs w:val="20"/>
                <w:color w:val="auto"/>
              </w:rPr>
            </w:pPr>
            <w:r>
              <w:rPr>
                <w:rFonts w:ascii="Arial" w:cs="Arial" w:eastAsia="Arial" w:hAnsi="Arial"/>
                <w:sz w:val="15"/>
                <w:szCs w:val="15"/>
                <w:color w:val="auto"/>
              </w:rPr>
              <w:t>Expected dividend yield</w:t>
            </w:r>
          </w:p>
        </w:tc>
        <w:tc>
          <w:tcPr>
            <w:tcW w:w="500" w:type="dxa"/>
            <w:vAlign w:val="bottom"/>
          </w:tcPr>
          <w:p>
            <w:pPr>
              <w:jc w:val="right"/>
              <w:spacing w:after="0"/>
              <w:rPr>
                <w:sz w:val="20"/>
                <w:szCs w:val="20"/>
                <w:color w:val="auto"/>
              </w:rPr>
            </w:pPr>
            <w:r>
              <w:rPr>
                <w:rFonts w:ascii="Arial" w:cs="Arial" w:eastAsia="Arial" w:hAnsi="Arial"/>
                <w:sz w:val="15"/>
                <w:szCs w:val="15"/>
                <w:color w:val="auto"/>
              </w:rPr>
              <w:t>0 %</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the Company’s stock option activity for the twelve months ended December 31, 2015:</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85"/>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left="202"/>
              <w:spacing w:after="0" w:line="121" w:lineRule="exact"/>
              <w:rPr>
                <w:sz w:val="20"/>
                <w:szCs w:val="20"/>
                <w:color w:val="auto"/>
              </w:rPr>
            </w:pPr>
            <w:r>
              <w:rPr>
                <w:rFonts w:ascii="Arial" w:cs="Arial" w:eastAsia="Arial" w:hAnsi="Arial"/>
                <w:sz w:val="12"/>
                <w:szCs w:val="12"/>
                <w:b w:val="1"/>
                <w:bCs w:val="1"/>
                <w:color w:val="auto"/>
                <w:w w:val="88"/>
              </w:rPr>
              <w:t>Weighted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Average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left="202"/>
              <w:spacing w:after="0" w:line="121" w:lineRule="exact"/>
              <w:rPr>
                <w:sz w:val="20"/>
                <w:szCs w:val="20"/>
                <w:color w:val="auto"/>
              </w:rPr>
            </w:pPr>
            <w:r>
              <w:rPr>
                <w:rFonts w:ascii="Arial" w:cs="Arial" w:eastAsia="Arial" w:hAnsi="Arial"/>
                <w:sz w:val="12"/>
                <w:szCs w:val="12"/>
                <w:b w:val="1"/>
                <w:bCs w:val="1"/>
                <w:color w:val="auto"/>
                <w:w w:val="84"/>
              </w:rPr>
              <w:t>Average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Remaining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87"/>
              </w:rPr>
              <w:t>Aggregate</w:t>
            </w: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1120" w:type="dxa"/>
            <w:vAlign w:val="bottom"/>
            <w:gridSpan w:val="2"/>
          </w:tcPr>
          <w:p>
            <w:pPr>
              <w:jc w:val="right"/>
              <w:ind w:right="360"/>
              <w:spacing w:after="0" w:line="121"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0"/>
                <w:szCs w:val="10"/>
                <w:color w:val="auto"/>
              </w:rPr>
            </w:pPr>
          </w:p>
        </w:tc>
        <w:tc>
          <w:tcPr>
            <w:tcW w:w="740" w:type="dxa"/>
            <w:vAlign w:val="bottom"/>
          </w:tcPr>
          <w:p>
            <w:pPr>
              <w:jc w:val="center"/>
              <w:ind w:left="182"/>
              <w:spacing w:after="0" w:line="121" w:lineRule="exact"/>
              <w:rPr>
                <w:sz w:val="20"/>
                <w:szCs w:val="20"/>
                <w:color w:val="auto"/>
              </w:rPr>
            </w:pPr>
            <w:r>
              <w:rPr>
                <w:rFonts w:ascii="Arial" w:cs="Arial" w:eastAsia="Arial" w:hAnsi="Arial"/>
                <w:sz w:val="12"/>
                <w:szCs w:val="12"/>
                <w:b w:val="1"/>
                <w:bCs w:val="1"/>
                <w:color w:val="auto"/>
                <w:w w:val="84"/>
              </w:rPr>
              <w:t>Exercise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Contractual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9"/>
              </w:rPr>
              <w:t>Intrinsic</w:t>
            </w:r>
          </w:p>
        </w:tc>
        <w:tc>
          <w:tcPr>
            <w:tcW w:w="0" w:type="dxa"/>
            <w:vAlign w:val="bottom"/>
          </w:tcPr>
          <w:p>
            <w:pPr>
              <w:spacing w:after="0"/>
              <w:rPr>
                <w:sz w:val="1"/>
                <w:szCs w:val="1"/>
                <w:color w:val="auto"/>
              </w:rPr>
            </w:pPr>
          </w:p>
        </w:tc>
      </w:tr>
      <w:tr>
        <w:trPr>
          <w:trHeight w:val="138"/>
        </w:trPr>
        <w:tc>
          <w:tcPr>
            <w:tcW w:w="5580" w:type="dxa"/>
            <w:vAlign w:val="bottom"/>
          </w:tcPr>
          <w:p>
            <w:pPr>
              <w:spacing w:after="0"/>
              <w:rPr>
                <w:sz w:val="11"/>
                <w:szCs w:val="11"/>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1"/>
                <w:szCs w:val="11"/>
                <w:color w:val="auto"/>
              </w:rPr>
            </w:pPr>
          </w:p>
        </w:tc>
        <w:tc>
          <w:tcPr>
            <w:tcW w:w="740" w:type="dxa"/>
            <w:vAlign w:val="bottom"/>
          </w:tcPr>
          <w:p>
            <w:pPr>
              <w:jc w:val="center"/>
              <w:ind w:left="182"/>
              <w:spacing w:after="0"/>
              <w:rPr>
                <w:sz w:val="20"/>
                <w:szCs w:val="20"/>
                <w:color w:val="auto"/>
              </w:rPr>
            </w:pPr>
            <w:r>
              <w:rPr>
                <w:rFonts w:ascii="Arial" w:cs="Arial" w:eastAsia="Arial" w:hAnsi="Arial"/>
                <w:sz w:val="12"/>
                <w:szCs w:val="12"/>
                <w:b w:val="1"/>
                <w:bCs w:val="1"/>
                <w:color w:val="auto"/>
                <w:w w:val="88"/>
              </w:rPr>
              <w:t>Price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88"/>
              </w:rPr>
              <w:t>Term</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22"/>
        </w:trPr>
        <w:tc>
          <w:tcPr>
            <w:tcW w:w="55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2"/>
                <w:szCs w:val="12"/>
                <w:b w:val="1"/>
                <w:bCs w:val="1"/>
                <w:color w:val="auto"/>
                <w:w w:val="86"/>
              </w:rPr>
              <w:t>(in years)</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Outstanding as of December 31, 2014</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3,579,342</w:t>
            </w: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2"/>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5"/>
              </w:rPr>
              <w:t>1.38</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59,498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80" w:type="dxa"/>
            <w:vAlign w:val="bottom"/>
          </w:tcPr>
          <w:p>
            <w:pPr>
              <w:ind w:left="200"/>
              <w:spacing w:after="0"/>
              <w:rPr>
                <w:sz w:val="20"/>
                <w:szCs w:val="20"/>
                <w:color w:val="auto"/>
              </w:rPr>
            </w:pPr>
            <w:r>
              <w:rPr>
                <w:rFonts w:ascii="Arial" w:cs="Arial" w:eastAsia="Arial" w:hAnsi="Arial"/>
                <w:sz w:val="15"/>
                <w:szCs w:val="15"/>
                <w:color w:val="auto"/>
              </w:rPr>
              <w:t>Granted</w:t>
            </w:r>
          </w:p>
        </w:tc>
        <w:tc>
          <w:tcPr>
            <w:tcW w:w="1000" w:type="dxa"/>
            <w:vAlign w:val="bottom"/>
          </w:tcPr>
          <w:p>
            <w:pPr>
              <w:jc w:val="right"/>
              <w:spacing w:after="0"/>
              <w:rPr>
                <w:sz w:val="20"/>
                <w:szCs w:val="20"/>
                <w:color w:val="auto"/>
              </w:rPr>
            </w:pPr>
            <w:r>
              <w:rPr>
                <w:rFonts w:ascii="Arial" w:cs="Arial" w:eastAsia="Arial" w:hAnsi="Arial"/>
                <w:sz w:val="15"/>
                <w:szCs w:val="15"/>
                <w:color w:val="auto"/>
              </w:rPr>
              <w:t>1,750,124</w:t>
            </w:r>
          </w:p>
        </w:tc>
        <w:tc>
          <w:tcPr>
            <w:tcW w:w="1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20.44</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Exercised</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(232,970)</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5"/>
              </w:rPr>
              <w:t>0.40</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Arial" w:cs="Arial" w:eastAsia="Arial" w:hAnsi="Arial"/>
                <w:sz w:val="15"/>
                <w:szCs w:val="15"/>
                <w:color w:val="auto"/>
              </w:rPr>
              <w:t>Forfeited</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(70,250)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75"/>
              </w:rPr>
              <w:t>5.04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as of December 31, 2015</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5,026,246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820" w:type="dxa"/>
            <w:vAlign w:val="bottom"/>
            <w:tcBorders>
              <w:top w:val="single" w:sz="8" w:color="CFF0FC"/>
              <w:bottom w:val="single" w:sz="8" w:color="CFF0FC"/>
            </w:tcBorders>
            <w:gridSpan w:val="2"/>
            <w:shd w:val="clear" w:color="auto" w:fill="CFF0FC"/>
          </w:tcPr>
          <w:p>
            <w:pPr>
              <w:jc w:val="right"/>
              <w:ind w:right="602"/>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5"/>
              </w:rPr>
              <w:t>8.01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8.70</w:t>
            </w:r>
          </w:p>
        </w:tc>
        <w:tc>
          <w:tcPr>
            <w:tcW w:w="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136,945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5"/>
                <w:szCs w:val="15"/>
                <w:color w:val="auto"/>
              </w:rPr>
              <w:t>Options vested and expected to vest as of December 31, 2015</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602"/>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w w:val="75"/>
              </w:rPr>
              <w:t>8.01</w:t>
            </w:r>
          </w:p>
        </w:tc>
        <w:tc>
          <w:tcPr>
            <w:tcW w:w="2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8.70</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136,945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80" w:type="dxa"/>
            <w:vAlign w:val="bottom"/>
            <w:tcBorders>
              <w:bottom w:val="single" w:sz="8" w:color="CFF0FC"/>
            </w:tcBorders>
            <w:vMerge w:val="continue"/>
          </w:tcPr>
          <w:p>
            <w:pPr>
              <w:spacing w:after="0"/>
              <w:rPr>
                <w:sz w:val="17"/>
                <w:szCs w:val="17"/>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5,026,246</w:t>
            </w: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gridSpan w:val="2"/>
            <w:vMerge w:val="continue"/>
          </w:tcPr>
          <w:p>
            <w:pPr>
              <w:spacing w:after="0"/>
              <w:rPr>
                <w:sz w:val="17"/>
                <w:szCs w:val="17"/>
                <w:color w:val="auto"/>
              </w:rPr>
            </w:pPr>
          </w:p>
        </w:tc>
        <w:tc>
          <w:tcPr>
            <w:tcW w:w="260" w:type="dxa"/>
            <w:vAlign w:val="bottom"/>
            <w:tcBorders>
              <w:bottom w:val="single" w:sz="8" w:color="CFF0FC"/>
            </w:tcBorders>
            <w:vMerge w:val="continue"/>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vMerge w:val="continue"/>
          </w:tcPr>
          <w:p>
            <w:pPr>
              <w:spacing w:after="0"/>
              <w:rPr>
                <w:sz w:val="17"/>
                <w:szCs w:val="17"/>
                <w:color w:val="auto"/>
              </w:rPr>
            </w:pPr>
          </w:p>
        </w:tc>
        <w:tc>
          <w:tcPr>
            <w:tcW w:w="360" w:type="dxa"/>
            <w:vAlign w:val="bottom"/>
            <w:tcBorders>
              <w:bottom w:val="single" w:sz="8" w:color="CFF0FC"/>
            </w:tcBorders>
            <w:gridSpan w:val="2"/>
            <w:vMerge w:val="continue"/>
          </w:tcPr>
          <w:p>
            <w:pPr>
              <w:spacing w:after="0"/>
              <w:rPr>
                <w:sz w:val="17"/>
                <w:szCs w:val="17"/>
                <w:color w:val="auto"/>
              </w:rPr>
            </w:pPr>
          </w:p>
        </w:tc>
        <w:tc>
          <w:tcPr>
            <w:tcW w:w="860" w:type="dxa"/>
            <w:vAlign w:val="bottom"/>
            <w:tcBorders>
              <w:bottom w:val="single" w:sz="8" w:color="CFF0FC"/>
            </w:tcBorders>
            <w:vMerge w:val="continue"/>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580" w:type="dxa"/>
            <w:vAlign w:val="bottom"/>
            <w:tcBorders>
              <w:bottom w:val="single" w:sz="8" w:color="CFF0FC"/>
            </w:tcBorders>
            <w:shd w:val="clear" w:color="auto" w:fill="CFF0FC"/>
          </w:tcPr>
          <w:p>
            <w:pPr>
              <w:spacing w:after="0" w:line="159" w:lineRule="exact"/>
              <w:rPr>
                <w:sz w:val="20"/>
                <w:szCs w:val="20"/>
                <w:color w:val="auto"/>
              </w:rPr>
            </w:pPr>
            <w:r>
              <w:rPr>
                <w:rFonts w:ascii="Arial" w:cs="Arial" w:eastAsia="Arial" w:hAnsi="Arial"/>
                <w:sz w:val="15"/>
                <w:szCs w:val="15"/>
                <w:color w:val="auto"/>
              </w:rPr>
              <w:t>Options exercisable as of December 31, 2015</w:t>
            </w:r>
          </w:p>
        </w:tc>
        <w:tc>
          <w:tcPr>
            <w:tcW w:w="100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1,643,955</w:t>
            </w: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602"/>
              <w:spacing w:after="0" w:line="15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shd w:val="clear" w:color="auto" w:fill="CFF0FC"/>
          </w:tcPr>
          <w:p>
            <w:pPr>
              <w:jc w:val="right"/>
              <w:spacing w:after="0" w:line="159" w:lineRule="exact"/>
              <w:rPr>
                <w:sz w:val="20"/>
                <w:szCs w:val="20"/>
                <w:color w:val="auto"/>
              </w:rPr>
            </w:pPr>
            <w:r>
              <w:rPr>
                <w:rFonts w:ascii="Arial" w:cs="Arial" w:eastAsia="Arial" w:hAnsi="Arial"/>
                <w:sz w:val="15"/>
                <w:szCs w:val="15"/>
                <w:color w:val="auto"/>
                <w:w w:val="75"/>
              </w:rPr>
              <w:t>1.33</w:t>
            </w: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8.13</w:t>
            </w:r>
          </w:p>
        </w:tc>
        <w:tc>
          <w:tcPr>
            <w:tcW w:w="360" w:type="dxa"/>
            <w:vAlign w:val="bottom"/>
            <w:tcBorders>
              <w:bottom w:val="single" w:sz="8" w:color="CFF0FC"/>
            </w:tcBorders>
            <w:gridSpan w:val="2"/>
            <w:shd w:val="clear" w:color="auto" w:fill="CFF0FC"/>
          </w:tcPr>
          <w:p>
            <w:pPr>
              <w:jc w:val="right"/>
              <w:ind w:right="80"/>
              <w:spacing w:after="0" w:line="15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CFF0FC"/>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55,507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20" w:firstLine="520"/>
        <w:spacing w:after="0" w:line="262" w:lineRule="auto"/>
        <w:rPr>
          <w:sz w:val="20"/>
          <w:szCs w:val="20"/>
          <w:color w:val="auto"/>
        </w:rPr>
      </w:pPr>
      <w:r>
        <w:rPr>
          <w:rFonts w:ascii="Arial" w:cs="Arial" w:eastAsia="Arial" w:hAnsi="Arial"/>
          <w:sz w:val="15"/>
          <w:szCs w:val="15"/>
          <w:color w:val="auto"/>
        </w:rPr>
        <w:t>The weighted average grant-date fair value of stock options granted during the years ended December 31, 2015, 2014 and 2013 was $14.56, $4.25 and $0.35 per share, respectively. The total intrinsic value of stock options exercised during the year ended December 31, 2015 was $4,125.</w:t>
      </w:r>
    </w:p>
    <w:p>
      <w:pPr>
        <w:spacing w:after="0" w:line="148" w:lineRule="exact"/>
        <w:rPr>
          <w:sz w:val="20"/>
          <w:szCs w:val="20"/>
          <w:color w:val="auto"/>
        </w:rPr>
      </w:pPr>
    </w:p>
    <w:p>
      <w:pPr>
        <w:ind w:right="140" w:firstLine="520"/>
        <w:spacing w:after="0" w:line="262" w:lineRule="auto"/>
        <w:rPr>
          <w:sz w:val="20"/>
          <w:szCs w:val="20"/>
          <w:color w:val="auto"/>
        </w:rPr>
      </w:pPr>
      <w:r>
        <w:rPr>
          <w:rFonts w:ascii="Arial" w:cs="Arial" w:eastAsia="Arial" w:hAnsi="Arial"/>
          <w:sz w:val="15"/>
          <w:szCs w:val="15"/>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8"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During the year ended December 31, 2015, the Company granted performance-based stock options to employees for the purchase of an aggregate of 30,000 shares of common stock with a grant date fair value of $12.89 per share. During the year ended December 31, 2014, the Company granted performance-based stock options to employees for the purchase of an aggregate of 60,000 shares of common stock with a grant date fair value of $3.92 per share. These stock options are exercisable only upon achievement of specified performance targets in each option agreement. As of the years ended December 31, 2015 and 2014, none of these options were exercisable because none of the specified performance targets had been achieved. Because achievement of the specified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317"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performance targets was not deemed probable as of the years ended December 31, 2015 and 2014, the Company did not record any expense for these stock options from date of issuance through December 31, 2015.</w:t>
      </w:r>
    </w:p>
    <w:p>
      <w:pPr>
        <w:spacing w:after="0" w:line="148" w:lineRule="exact"/>
        <w:rPr>
          <w:sz w:val="20"/>
          <w:szCs w:val="20"/>
          <w:color w:val="auto"/>
        </w:rPr>
      </w:pPr>
    </w:p>
    <w:p>
      <w:pPr>
        <w:ind w:right="200" w:firstLine="520"/>
        <w:spacing w:after="0" w:line="262" w:lineRule="auto"/>
        <w:rPr>
          <w:sz w:val="20"/>
          <w:szCs w:val="20"/>
          <w:color w:val="auto"/>
        </w:rPr>
      </w:pPr>
      <w:r>
        <w:rPr>
          <w:rFonts w:ascii="Arial" w:cs="Arial" w:eastAsia="Arial" w:hAnsi="Arial"/>
          <w:sz w:val="15"/>
          <w:szCs w:val="15"/>
          <w:color w:val="auto"/>
        </w:rPr>
        <w:t>As of December 31, 2015 and 2014, there were outstanding unvested service-based stock options held by non-employees for the purchase of 27,750 and 69,688 shares, respectively, of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Common Stock</w:t>
      </w:r>
    </w:p>
    <w:p>
      <w:pPr>
        <w:spacing w:after="0" w:line="94" w:lineRule="exact"/>
        <w:rPr>
          <w:sz w:val="20"/>
          <w:szCs w:val="20"/>
          <w:color w:val="auto"/>
        </w:rPr>
      </w:pPr>
    </w:p>
    <w:p>
      <w:pPr>
        <w:jc w:val="both"/>
        <w:ind w:right="160" w:firstLine="520"/>
        <w:spacing w:after="0" w:line="248" w:lineRule="auto"/>
        <w:rPr>
          <w:sz w:val="20"/>
          <w:szCs w:val="20"/>
          <w:color w:val="auto"/>
        </w:rPr>
      </w:pPr>
      <w:r>
        <w:rPr>
          <w:rFonts w:ascii="Arial" w:cs="Arial" w:eastAsia="Arial" w:hAnsi="Arial"/>
          <w:sz w:val="15"/>
          <w:szCs w:val="15"/>
          <w:color w:val="auto"/>
        </w:rPr>
        <w:t>The Company has granted restricted common stock with time-based vesting conditions. Unvested shares of restricted common stock may not be sold or transferred by the holder. These restrictions lapse according to the time-based vesting conditions of each award. The table below summarizes the Company’s restricted stock activity for the twelve months ended December 31, 2015:</w:t>
      </w:r>
    </w:p>
    <w:tbl>
      <w:tblPr>
        <w:tblLayout w:type="fixed"/>
        <w:tblInd w:w="1160" w:type="dxa"/>
        <w:tblCellMar>
          <w:top w:w="0" w:type="dxa"/>
          <w:left w:w="0" w:type="dxa"/>
          <w:bottom w:w="0" w:type="dxa"/>
          <w:right w:w="0" w:type="dxa"/>
        </w:tblCellMar>
      </w:tblPr>
      <w:tr>
        <w:trPr>
          <w:trHeight w:val="115"/>
        </w:trPr>
        <w:tc>
          <w:tcPr>
            <w:tcW w:w="6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w w:val="88"/>
              </w:rPr>
              <w:t>Weighted</w:t>
            </w:r>
          </w:p>
        </w:tc>
      </w:tr>
      <w:tr>
        <w:trPr>
          <w:trHeight w:val="120"/>
        </w:trPr>
        <w:tc>
          <w:tcPr>
            <w:tcW w:w="6300" w:type="dxa"/>
            <w:vAlign w:val="bottom"/>
          </w:tcPr>
          <w:p>
            <w:pPr>
              <w:spacing w:after="0"/>
              <w:rPr>
                <w:sz w:val="10"/>
                <w:szCs w:val="10"/>
                <w:color w:val="auto"/>
              </w:rPr>
            </w:pPr>
          </w:p>
        </w:tc>
        <w:tc>
          <w:tcPr>
            <w:tcW w:w="1480" w:type="dxa"/>
            <w:vAlign w:val="bottom"/>
            <w:gridSpan w:val="2"/>
          </w:tcPr>
          <w:p>
            <w:pPr>
              <w:jc w:val="right"/>
              <w:ind w:right="660"/>
              <w:spacing w:after="0" w:line="121"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89"/>
              </w:rPr>
              <w:t>Average Grant</w:t>
            </w:r>
          </w:p>
        </w:tc>
      </w:tr>
      <w:tr>
        <w:trPr>
          <w:trHeight w:val="138"/>
        </w:trPr>
        <w:tc>
          <w:tcPr>
            <w:tcW w:w="6300" w:type="dxa"/>
            <w:vAlign w:val="bottom"/>
          </w:tcPr>
          <w:p>
            <w:pPr>
              <w:spacing w:after="0"/>
              <w:rPr>
                <w:sz w:val="11"/>
                <w:szCs w:val="11"/>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Date Fair Value</w:t>
            </w:r>
          </w:p>
        </w:tc>
      </w:tr>
      <w:tr>
        <w:trPr>
          <w:trHeight w:val="177"/>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Unvested restricted common stock as of December 31,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52,500</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0.001</w:t>
            </w:r>
          </w:p>
        </w:tc>
        <w:tc>
          <w:tcPr>
            <w:tcW w:w="100" w:type="dxa"/>
            <w:vAlign w:val="bottom"/>
            <w:tcBorders>
              <w:top w:val="single" w:sz="8" w:color="CFF0FC"/>
            </w:tcBorders>
            <w:shd w:val="clear" w:color="auto" w:fill="CFF0FC"/>
          </w:tcPr>
          <w:p>
            <w:pPr>
              <w:spacing w:after="0"/>
              <w:rPr>
                <w:sz w:val="15"/>
                <w:szCs w:val="15"/>
                <w:color w:val="auto"/>
              </w:rPr>
            </w:pPr>
          </w:p>
        </w:tc>
      </w:tr>
      <w:tr>
        <w:trPr>
          <w:trHeight w:val="186"/>
        </w:trPr>
        <w:tc>
          <w:tcPr>
            <w:tcW w:w="6300" w:type="dxa"/>
            <w:vAlign w:val="bottom"/>
          </w:tcPr>
          <w:p>
            <w:pPr>
              <w:ind w:left="200"/>
              <w:spacing w:after="0"/>
              <w:rPr>
                <w:sz w:val="20"/>
                <w:szCs w:val="20"/>
                <w:color w:val="auto"/>
              </w:rPr>
            </w:pPr>
            <w:r>
              <w:rPr>
                <w:rFonts w:ascii="Arial" w:cs="Arial" w:eastAsia="Arial" w:hAnsi="Arial"/>
                <w:sz w:val="15"/>
                <w:szCs w:val="15"/>
                <w:color w:val="auto"/>
              </w:rPr>
              <w:t>Vested</w:t>
            </w: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(52,500)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0.001</w:t>
            </w:r>
          </w:p>
        </w:tc>
        <w:tc>
          <w:tcPr>
            <w:tcW w:w="100" w:type="dxa"/>
            <w:vAlign w:val="bottom"/>
          </w:tcPr>
          <w:p>
            <w:pPr>
              <w:spacing w:after="0"/>
              <w:rPr>
                <w:sz w:val="16"/>
                <w:szCs w:val="16"/>
                <w:color w:val="auto"/>
              </w:rPr>
            </w:pPr>
          </w:p>
        </w:tc>
      </w:tr>
      <w:tr>
        <w:trPr>
          <w:trHeight w:val="177"/>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Unvested restricted common stock as of December 31,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0.001</w:t>
            </w:r>
          </w:p>
        </w:tc>
        <w:tc>
          <w:tcPr>
            <w:tcW w:w="100" w:type="dxa"/>
            <w:vAlign w:val="bottom"/>
            <w:tcBorders>
              <w:top w:val="single" w:sz="8" w:color="CFF0FC"/>
            </w:tcBorders>
            <w:shd w:val="clear" w:color="auto" w:fill="CFF0FC"/>
          </w:tcPr>
          <w:p>
            <w:pPr>
              <w:spacing w:after="0"/>
              <w:rPr>
                <w:sz w:val="15"/>
                <w:szCs w:val="15"/>
                <w:color w:val="auto"/>
              </w:rPr>
            </w:pPr>
          </w:p>
        </w:tc>
      </w:tr>
    </w:tbl>
    <w:p>
      <w:pPr>
        <w:spacing w:after="0" w:line="1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year ended December 31, 2013, the Company reacquired, at their original issuance price, 735,000 shares of restricted common stock that were forfeited by former employees.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aggregate intrinsic value of restricted stock awards that vested during the years ended December 31, 2015, 2014 and 2013 was $1,508, $684 and $185,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right="320" w:firstLine="520"/>
        <w:spacing w:after="0" w:line="262" w:lineRule="auto"/>
        <w:rPr>
          <w:sz w:val="20"/>
          <w:szCs w:val="20"/>
          <w:color w:val="auto"/>
        </w:rPr>
      </w:pPr>
      <w:r>
        <w:rPr>
          <w:rFonts w:ascii="Arial" w:cs="Arial" w:eastAsia="Arial" w:hAnsi="Arial"/>
          <w:sz w:val="15"/>
          <w:szCs w:val="15"/>
          <w:color w:val="auto"/>
        </w:rPr>
        <w:t>The Company recorded stock-based compensation expense related to stock options and restricted common stock in the following expense categories of its consolidated statements of operations and comprehensive loss:</w:t>
      </w:r>
    </w:p>
    <w:p>
      <w:pPr>
        <w:spacing w:after="0" w:line="20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0"/>
              </w:rPr>
              <w:t>Year Ended December 31,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3780" w:type="dxa"/>
            <w:vAlign w:val="bottom"/>
            <w:tcBorders>
              <w:bottom w:val="single" w:sz="8" w:color="CFF0FC"/>
            </w:tcBorders>
          </w:tcPr>
          <w:p>
            <w:pPr>
              <w:spacing w:after="0"/>
              <w:rPr>
                <w:sz w:val="10"/>
                <w:szCs w:val="10"/>
                <w:color w:val="auto"/>
              </w:rPr>
            </w:pPr>
          </w:p>
        </w:tc>
        <w:tc>
          <w:tcPr>
            <w:tcW w:w="1640" w:type="dxa"/>
            <w:vAlign w:val="bottom"/>
            <w:tcBorders>
              <w:bottom w:val="single" w:sz="8" w:color="CFF0FC"/>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1"/>
              <w:spacing w:after="0" w:line="122" w:lineRule="exact"/>
              <w:rPr>
                <w:sz w:val="20"/>
                <w:szCs w:val="20"/>
                <w:color w:val="auto"/>
              </w:rPr>
            </w:pPr>
            <w:r>
              <w:rPr>
                <w:rFonts w:ascii="Arial" w:cs="Arial" w:eastAsia="Arial" w:hAnsi="Arial"/>
                <w:sz w:val="12"/>
                <w:szCs w:val="12"/>
                <w:b w:val="1"/>
                <w:bCs w:val="1"/>
                <w:color w:val="auto"/>
              </w:rPr>
              <w:t>2014</w:t>
            </w:r>
          </w:p>
        </w:tc>
        <w:tc>
          <w:tcPr>
            <w:tcW w:w="160" w:type="dxa"/>
            <w:vAlign w:val="bottom"/>
            <w:tcBorders>
              <w:bottom w:val="single" w:sz="8" w:color="CFF0FC"/>
            </w:tcBorders>
          </w:tcPr>
          <w:p>
            <w:pPr>
              <w:spacing w:after="0"/>
              <w:rPr>
                <w:sz w:val="10"/>
                <w:szCs w:val="10"/>
                <w:color w:val="auto"/>
              </w:rPr>
            </w:pPr>
          </w:p>
        </w:tc>
        <w:tc>
          <w:tcPr>
            <w:tcW w:w="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1"/>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0"/>
                <w:szCs w:val="10"/>
                <w:color w:val="auto"/>
              </w:rPr>
            </w:pPr>
          </w:p>
        </w:tc>
      </w:tr>
      <w:tr>
        <w:trPr>
          <w:trHeight w:val="177"/>
        </w:trPr>
        <w:tc>
          <w:tcPr>
            <w:tcW w:w="3780" w:type="dxa"/>
            <w:vAlign w:val="bottom"/>
            <w:shd w:val="clear" w:color="auto" w:fill="CFF0FC"/>
          </w:tcPr>
          <w:p>
            <w:pPr>
              <w:spacing w:after="0"/>
              <w:rPr>
                <w:sz w:val="20"/>
                <w:szCs w:val="20"/>
                <w:color w:val="auto"/>
              </w:rPr>
            </w:pPr>
            <w:r>
              <w:rPr>
                <w:rFonts w:ascii="Arial" w:cs="Arial" w:eastAsia="Arial" w:hAnsi="Arial"/>
                <w:sz w:val="15"/>
                <w:szCs w:val="15"/>
                <w:color w:val="auto"/>
              </w:rPr>
              <w:t>Research and development expenses</w:t>
            </w:r>
          </w:p>
        </w:tc>
        <w:tc>
          <w:tcPr>
            <w:tcW w:w="2320" w:type="dxa"/>
            <w:vAlign w:val="bottom"/>
            <w:gridSpan w:val="2"/>
            <w:shd w:val="clear" w:color="auto" w:fill="CFF0FC"/>
          </w:tcPr>
          <w:p>
            <w:pPr>
              <w:jc w:val="right"/>
              <w:ind w:right="562"/>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5,297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FF0FC"/>
          </w:tcPr>
          <w:p>
            <w:pPr>
              <w:spacing w:after="0"/>
              <w:rPr>
                <w:sz w:val="15"/>
                <w:szCs w:val="15"/>
                <w:color w:val="auto"/>
              </w:rPr>
            </w:pPr>
          </w:p>
        </w:tc>
      </w:tr>
      <w:tr>
        <w:trPr>
          <w:trHeight w:val="186"/>
        </w:trPr>
        <w:tc>
          <w:tcPr>
            <w:tcW w:w="37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General and administrative expenses</w:t>
            </w:r>
          </w:p>
        </w:tc>
        <w:tc>
          <w:tcPr>
            <w:tcW w:w="164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4,397</w:t>
            </w:r>
          </w:p>
        </w:tc>
        <w:tc>
          <w:tcPr>
            <w:tcW w:w="2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FF0FC"/>
            </w:tcBorders>
          </w:tcPr>
          <w:p>
            <w:pPr>
              <w:spacing w:after="0"/>
              <w:rPr>
                <w:sz w:val="16"/>
                <w:szCs w:val="16"/>
                <w:color w:val="auto"/>
              </w:rPr>
            </w:pPr>
          </w:p>
        </w:tc>
      </w:tr>
      <w:tr>
        <w:trPr>
          <w:trHeight w:val="177"/>
        </w:trPr>
        <w:tc>
          <w:tcPr>
            <w:tcW w:w="3780" w:type="dxa"/>
            <w:vAlign w:val="bottom"/>
            <w:shd w:val="clear" w:color="auto" w:fill="CFF0FC"/>
          </w:tcPr>
          <w:p>
            <w:pPr>
              <w:spacing w:after="0"/>
              <w:rPr>
                <w:sz w:val="15"/>
                <w:szCs w:val="15"/>
                <w:color w:val="auto"/>
              </w:rPr>
            </w:pPr>
          </w:p>
        </w:tc>
        <w:tc>
          <w:tcPr>
            <w:tcW w:w="2320" w:type="dxa"/>
            <w:vAlign w:val="bottom"/>
            <w:gridSpan w:val="2"/>
            <w:shd w:val="clear" w:color="auto" w:fill="CFF0FC"/>
          </w:tcPr>
          <w:p>
            <w:pPr>
              <w:jc w:val="right"/>
              <w:ind w:right="562"/>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9,694</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FF0FC"/>
          </w:tcPr>
          <w:p>
            <w:pPr>
              <w:spacing w:after="0"/>
              <w:rPr>
                <w:sz w:val="15"/>
                <w:szCs w:val="15"/>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4"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As of December 31, 2015, the Company had an aggregate of $32,665 of unrecognized stock- based compensation cost, which is expected to be recognized over a weighted average period of 3.1 years.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338"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w:t>
      </w:r>
    </w:p>
    <w:p>
      <w:pPr>
        <w:spacing w:after="0" w:line="94"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5"/>
          <w:szCs w:val="15"/>
          <w:color w:val="auto"/>
        </w:rPr>
        <w:t>Basic and diluted net loss per share attributable to common stockholders was calculated as follows:</w:t>
      </w:r>
    </w:p>
    <w:p>
      <w:pPr>
        <w:spacing w:after="0" w:line="23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88"/>
              </w:rPr>
              <w:t>Year Ended December 31,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220" w:type="dxa"/>
            <w:vAlign w:val="bottom"/>
            <w:tcBorders>
              <w:bottom w:val="single" w:sz="8" w:color="CFF0FC"/>
            </w:tcBorders>
          </w:tcPr>
          <w:p>
            <w:pPr>
              <w:spacing w:after="0"/>
              <w:rPr>
                <w:sz w:val="10"/>
                <w:szCs w:val="10"/>
                <w:color w:val="auto"/>
              </w:rPr>
            </w:pPr>
          </w:p>
        </w:tc>
        <w:tc>
          <w:tcPr>
            <w:tcW w:w="12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0"/>
              <w:spacing w:after="0" w:line="122" w:lineRule="exact"/>
              <w:rPr>
                <w:sz w:val="20"/>
                <w:szCs w:val="20"/>
                <w:color w:val="auto"/>
              </w:rPr>
            </w:pPr>
            <w:r>
              <w:rPr>
                <w:rFonts w:ascii="Arial" w:cs="Arial" w:eastAsia="Arial" w:hAnsi="Arial"/>
                <w:sz w:val="12"/>
                <w:szCs w:val="12"/>
                <w:b w:val="1"/>
                <w:bCs w:val="1"/>
                <w:color w:val="auto"/>
              </w:rPr>
              <w:t>2014</w:t>
            </w:r>
          </w:p>
        </w:tc>
        <w:tc>
          <w:tcPr>
            <w:tcW w:w="160" w:type="dxa"/>
            <w:vAlign w:val="bottom"/>
            <w:tcBorders>
              <w:bottom w:val="single" w:sz="8" w:color="CFF0FC"/>
            </w:tcBorders>
          </w:tcPr>
          <w:p>
            <w:pPr>
              <w:spacing w:after="0"/>
              <w:rPr>
                <w:sz w:val="10"/>
                <w:szCs w:val="10"/>
                <w:color w:val="auto"/>
              </w:rPr>
            </w:pPr>
          </w:p>
        </w:tc>
        <w:tc>
          <w:tcPr>
            <w:tcW w:w="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Numerator:</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20" w:type="dxa"/>
            <w:vAlign w:val="bottom"/>
          </w:tcPr>
          <w:p>
            <w:pPr>
              <w:ind w:left="200"/>
              <w:spacing w:after="0"/>
              <w:rPr>
                <w:sz w:val="20"/>
                <w:szCs w:val="20"/>
                <w:color w:val="auto"/>
              </w:rPr>
            </w:pPr>
            <w:r>
              <w:rPr>
                <w:rFonts w:ascii="Arial" w:cs="Arial" w:eastAsia="Arial" w:hAnsi="Arial"/>
                <w:sz w:val="15"/>
                <w:szCs w:val="15"/>
                <w:color w:val="auto"/>
              </w:rPr>
              <w:t>Net loss</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(54,780)</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(16,709)</w:t>
            </w: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(6,102)</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Accretion of convertible preferred stock to</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20" w:type="dxa"/>
            <w:vAlign w:val="bottom"/>
            <w:shd w:val="clear" w:color="auto" w:fill="CFF0FC"/>
          </w:tcPr>
          <w:p>
            <w:pPr>
              <w:ind w:left="300"/>
              <w:spacing w:after="0"/>
              <w:rPr>
                <w:sz w:val="20"/>
                <w:szCs w:val="20"/>
                <w:color w:val="auto"/>
              </w:rPr>
            </w:pPr>
            <w:r>
              <w:rPr>
                <w:rFonts w:ascii="Arial" w:cs="Arial" w:eastAsia="Arial" w:hAnsi="Arial"/>
                <w:sz w:val="15"/>
                <w:szCs w:val="15"/>
                <w:color w:val="auto"/>
              </w:rPr>
              <w:t>redemption value</w:t>
            </w: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(1,291)</w:t>
            </w: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0"/>
              <w:spacing w:after="0"/>
              <w:rPr>
                <w:sz w:val="20"/>
                <w:szCs w:val="20"/>
                <w:color w:val="auto"/>
              </w:rPr>
            </w:pPr>
            <w:r>
              <w:rPr>
                <w:rFonts w:ascii="Arial" w:cs="Arial" w:eastAsia="Arial" w:hAnsi="Arial"/>
                <w:sz w:val="15"/>
                <w:szCs w:val="15"/>
                <w:color w:val="auto"/>
              </w:rPr>
              <w:t>Net loss attributable to common stockholders</w:t>
            </w: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(54,780)</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(18,000)</w:t>
            </w: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(6,977)</w:t>
            </w:r>
          </w:p>
        </w:tc>
        <w:tc>
          <w:tcPr>
            <w:tcW w:w="0" w:type="dxa"/>
            <w:vAlign w:val="bottom"/>
          </w:tcPr>
          <w:p>
            <w:pPr>
              <w:spacing w:after="0"/>
              <w:rPr>
                <w:sz w:val="1"/>
                <w:szCs w:val="1"/>
                <w:color w:val="auto"/>
              </w:rPr>
            </w:pPr>
          </w:p>
        </w:tc>
      </w:tr>
      <w:tr>
        <w:trPr>
          <w:trHeight w:val="159"/>
        </w:trPr>
        <w:tc>
          <w:tcPr>
            <w:tcW w:w="4220" w:type="dxa"/>
            <w:vAlign w:val="bottom"/>
            <w:tcBorders>
              <w:top w:val="single" w:sz="8" w:color="CFF0FC"/>
            </w:tcBorders>
            <w:shd w:val="clear" w:color="auto" w:fill="CFF0FC"/>
          </w:tcPr>
          <w:p>
            <w:pPr>
              <w:spacing w:after="0" w:line="159" w:lineRule="exact"/>
              <w:rPr>
                <w:sz w:val="20"/>
                <w:szCs w:val="20"/>
                <w:color w:val="auto"/>
              </w:rPr>
            </w:pPr>
            <w:r>
              <w:rPr>
                <w:rFonts w:ascii="Arial" w:cs="Arial" w:eastAsia="Arial" w:hAnsi="Arial"/>
                <w:sz w:val="15"/>
                <w:szCs w:val="15"/>
                <w:color w:val="auto"/>
              </w:rPr>
              <w:t>Denominator:</w:t>
            </w:r>
          </w:p>
        </w:tc>
        <w:tc>
          <w:tcPr>
            <w:tcW w:w="12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0"/>
              <w:spacing w:after="0"/>
              <w:rPr>
                <w:sz w:val="20"/>
                <w:szCs w:val="20"/>
                <w:color w:val="auto"/>
              </w:rPr>
            </w:pPr>
            <w:r>
              <w:rPr>
                <w:rFonts w:ascii="Arial" w:cs="Arial" w:eastAsia="Arial" w:hAnsi="Arial"/>
                <w:sz w:val="15"/>
                <w:szCs w:val="15"/>
                <w:color w:val="auto"/>
              </w:rPr>
              <w:t>Weighted average common shares outstanding,</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20" w:type="dxa"/>
            <w:vAlign w:val="bottom"/>
            <w:tcBorders>
              <w:bottom w:val="single" w:sz="8" w:color="CFF0FC"/>
            </w:tcBorders>
          </w:tcPr>
          <w:p>
            <w:pPr>
              <w:ind w:left="300"/>
              <w:spacing w:after="0"/>
              <w:rPr>
                <w:sz w:val="20"/>
                <w:szCs w:val="20"/>
                <w:color w:val="auto"/>
              </w:rPr>
            </w:pPr>
            <w:r>
              <w:rPr>
                <w:rFonts w:ascii="Arial" w:cs="Arial" w:eastAsia="Arial" w:hAnsi="Arial"/>
                <w:sz w:val="15"/>
                <w:szCs w:val="15"/>
                <w:color w:val="auto"/>
              </w:rPr>
              <w:t>basic and diluted</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23,532,400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6,748,037</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6,394,916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FF0FC"/>
          </w:tcPr>
          <w:p>
            <w:pPr>
              <w:spacing w:after="0" w:line="149" w:lineRule="exact"/>
              <w:rPr>
                <w:sz w:val="20"/>
                <w:szCs w:val="20"/>
                <w:color w:val="auto"/>
              </w:rPr>
            </w:pPr>
            <w:r>
              <w:rPr>
                <w:rFonts w:ascii="Arial" w:cs="Arial" w:eastAsia="Arial" w:hAnsi="Arial"/>
                <w:sz w:val="15"/>
                <w:szCs w:val="15"/>
                <w:color w:val="auto"/>
              </w:rPr>
              <w:t>Net loss per share attributable to common</w:t>
            </w: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stockholders, basic and diluted</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(2.33)</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(2.67)</w:t>
            </w: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520"/>
        <w:spacing w:after="0" w:line="248" w:lineRule="auto"/>
        <w:rPr>
          <w:sz w:val="20"/>
          <w:szCs w:val="20"/>
          <w:color w:val="auto"/>
        </w:rPr>
      </w:pPr>
      <w:r>
        <w:rPr>
          <w:rFonts w:ascii="Arial" w:cs="Arial" w:eastAsia="Arial" w:hAnsi="Arial"/>
          <w:sz w:val="15"/>
          <w:szCs w:val="15"/>
          <w:color w:val="auto"/>
        </w:rPr>
        <w:t>The Company’s potential dilutive securities, which include stock options, unvested restricted common stock, convertible preferred stock and warrants to purchase convertible preferred stock or common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4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3"/>
              </w:rPr>
              <w:t>Year Ended December 31,</w:t>
            </w: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5420" w:type="dxa"/>
            <w:vAlign w:val="bottom"/>
            <w:tcBorders>
              <w:bottom w:val="single" w:sz="8" w:color="CFF0FC"/>
            </w:tcBorders>
          </w:tcPr>
          <w:p>
            <w:pPr>
              <w:spacing w:after="0"/>
              <w:rPr>
                <w:sz w:val="10"/>
                <w:szCs w:val="10"/>
                <w:color w:val="auto"/>
              </w:rPr>
            </w:pPr>
          </w:p>
        </w:tc>
        <w:tc>
          <w:tcPr>
            <w:tcW w:w="1160" w:type="dxa"/>
            <w:vAlign w:val="bottom"/>
            <w:tcBorders>
              <w:bottom w:val="single" w:sz="8" w:color="auto"/>
            </w:tcBorders>
          </w:tcPr>
          <w:p>
            <w:pPr>
              <w:jc w:val="right"/>
              <w:ind w:right="449"/>
              <w:spacing w:after="0" w:line="122" w:lineRule="exact"/>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FF0FC"/>
            </w:tcBorders>
          </w:tcPr>
          <w:p>
            <w:pPr>
              <w:spacing w:after="0"/>
              <w:rPr>
                <w:sz w:val="10"/>
                <w:szCs w:val="10"/>
                <w:color w:val="auto"/>
              </w:rPr>
            </w:pPr>
          </w:p>
        </w:tc>
        <w:tc>
          <w:tcPr>
            <w:tcW w:w="1080" w:type="dxa"/>
            <w:vAlign w:val="bottom"/>
            <w:tcBorders>
              <w:bottom w:val="single" w:sz="8" w:color="auto"/>
            </w:tcBorders>
          </w:tcPr>
          <w:p>
            <w:pPr>
              <w:jc w:val="right"/>
              <w:ind w:right="374"/>
              <w:spacing w:after="0" w:line="122"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CFF0FC"/>
            </w:tcBorders>
          </w:tcPr>
          <w:p>
            <w:pPr>
              <w:spacing w:after="0"/>
              <w:rPr>
                <w:sz w:val="10"/>
                <w:szCs w:val="10"/>
                <w:color w:val="auto"/>
              </w:rPr>
            </w:pPr>
          </w:p>
        </w:tc>
        <w:tc>
          <w:tcPr>
            <w:tcW w:w="1080" w:type="dxa"/>
            <w:vAlign w:val="bottom"/>
            <w:tcBorders>
              <w:bottom w:val="single" w:sz="8" w:color="auto"/>
            </w:tcBorders>
          </w:tcPr>
          <w:p>
            <w:pPr>
              <w:jc w:val="right"/>
              <w:ind w:right="349"/>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0"/>
                <w:szCs w:val="10"/>
                <w:color w:val="auto"/>
              </w:rPr>
            </w:pPr>
          </w:p>
        </w:tc>
      </w:tr>
      <w:tr>
        <w:trPr>
          <w:trHeight w:val="177"/>
        </w:trPr>
        <w:tc>
          <w:tcPr>
            <w:tcW w:w="5420" w:type="dxa"/>
            <w:vAlign w:val="bottom"/>
            <w:shd w:val="clear" w:color="auto" w:fill="CFF0FC"/>
          </w:tcPr>
          <w:p>
            <w:pPr>
              <w:spacing w:after="0"/>
              <w:rPr>
                <w:sz w:val="20"/>
                <w:szCs w:val="20"/>
                <w:color w:val="auto"/>
              </w:rPr>
            </w:pPr>
            <w:r>
              <w:rPr>
                <w:rFonts w:ascii="Arial" w:cs="Arial" w:eastAsia="Arial" w:hAnsi="Arial"/>
                <w:sz w:val="15"/>
                <w:szCs w:val="15"/>
                <w:color w:val="auto"/>
              </w:rPr>
              <w:t>Stock options to purchase common stock</w:t>
            </w:r>
          </w:p>
        </w:tc>
        <w:tc>
          <w:tcPr>
            <w:tcW w:w="116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5,026,246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3,579,342</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1,261,836</w:t>
            </w:r>
          </w:p>
        </w:tc>
        <w:tc>
          <w:tcPr>
            <w:tcW w:w="100" w:type="dxa"/>
            <w:vAlign w:val="bottom"/>
            <w:shd w:val="clear" w:color="auto" w:fill="CFF0FC"/>
          </w:tcPr>
          <w:p>
            <w:pPr>
              <w:spacing w:after="0"/>
              <w:rPr>
                <w:sz w:val="15"/>
                <w:szCs w:val="15"/>
                <w:color w:val="auto"/>
              </w:rPr>
            </w:pPr>
          </w:p>
        </w:tc>
      </w:tr>
      <w:tr>
        <w:trPr>
          <w:trHeight w:val="186"/>
        </w:trPr>
        <w:tc>
          <w:tcPr>
            <w:tcW w:w="5420" w:type="dxa"/>
            <w:vAlign w:val="bottom"/>
          </w:tcPr>
          <w:p>
            <w:pPr>
              <w:spacing w:after="0"/>
              <w:rPr>
                <w:sz w:val="20"/>
                <w:szCs w:val="20"/>
                <w:color w:val="auto"/>
              </w:rPr>
            </w:pPr>
            <w:r>
              <w:rPr>
                <w:rFonts w:ascii="Arial" w:cs="Arial" w:eastAsia="Arial" w:hAnsi="Arial"/>
                <w:sz w:val="15"/>
                <w:szCs w:val="15"/>
                <w:color w:val="auto"/>
              </w:rPr>
              <w:t>Unvested restricted common stock</w:t>
            </w:r>
          </w:p>
        </w:tc>
        <w:tc>
          <w:tcPr>
            <w:tcW w:w="11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52,500</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198,750</w:t>
            </w:r>
          </w:p>
        </w:tc>
        <w:tc>
          <w:tcPr>
            <w:tcW w:w="100" w:type="dxa"/>
            <w:vAlign w:val="bottom"/>
          </w:tcPr>
          <w:p>
            <w:pPr>
              <w:spacing w:after="0"/>
              <w:rPr>
                <w:sz w:val="16"/>
                <w:szCs w:val="16"/>
                <w:color w:val="auto"/>
              </w:rPr>
            </w:pPr>
          </w:p>
        </w:tc>
      </w:tr>
      <w:tr>
        <w:trPr>
          <w:trHeight w:val="186"/>
        </w:trPr>
        <w:tc>
          <w:tcPr>
            <w:tcW w:w="5420" w:type="dxa"/>
            <w:vAlign w:val="bottom"/>
            <w:shd w:val="clear" w:color="auto" w:fill="CFF0FC"/>
          </w:tcPr>
          <w:p>
            <w:pPr>
              <w:spacing w:after="0"/>
              <w:rPr>
                <w:sz w:val="20"/>
                <w:szCs w:val="20"/>
                <w:color w:val="auto"/>
              </w:rPr>
            </w:pPr>
            <w:r>
              <w:rPr>
                <w:rFonts w:ascii="Arial" w:cs="Arial" w:eastAsia="Arial" w:hAnsi="Arial"/>
                <w:sz w:val="15"/>
                <w:szCs w:val="15"/>
                <w:color w:val="auto"/>
              </w:rPr>
              <w:t>Warrants for the purchase of convertible preferred stock</w:t>
            </w:r>
          </w:p>
        </w:tc>
        <w:tc>
          <w:tcPr>
            <w:tcW w:w="116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92,127</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92,127</w:t>
            </w:r>
          </w:p>
        </w:tc>
        <w:tc>
          <w:tcPr>
            <w:tcW w:w="100" w:type="dxa"/>
            <w:vAlign w:val="bottom"/>
            <w:shd w:val="clear" w:color="auto" w:fill="CFF0FC"/>
          </w:tcPr>
          <w:p>
            <w:pPr>
              <w:spacing w:after="0"/>
              <w:rPr>
                <w:sz w:val="16"/>
                <w:szCs w:val="16"/>
                <w:color w:val="auto"/>
              </w:rPr>
            </w:pPr>
          </w:p>
        </w:tc>
      </w:tr>
      <w:tr>
        <w:trPr>
          <w:trHeight w:val="186"/>
        </w:trPr>
        <w:tc>
          <w:tcPr>
            <w:tcW w:w="5420" w:type="dxa"/>
            <w:vAlign w:val="bottom"/>
          </w:tcPr>
          <w:p>
            <w:pPr>
              <w:spacing w:after="0"/>
              <w:rPr>
                <w:sz w:val="20"/>
                <w:szCs w:val="20"/>
                <w:color w:val="auto"/>
              </w:rPr>
            </w:pPr>
            <w:r>
              <w:rPr>
                <w:rFonts w:ascii="Arial" w:cs="Arial" w:eastAsia="Arial" w:hAnsi="Arial"/>
                <w:sz w:val="15"/>
                <w:szCs w:val="15"/>
                <w:color w:val="auto"/>
              </w:rPr>
              <w:t>Warrants for the purchase of common stock</w:t>
            </w:r>
          </w:p>
        </w:tc>
        <w:tc>
          <w:tcPr>
            <w:tcW w:w="11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738,635</w:t>
            </w:r>
          </w:p>
        </w:tc>
        <w:tc>
          <w:tcPr>
            <w:tcW w:w="2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5420" w:type="dxa"/>
            <w:vAlign w:val="bottom"/>
            <w:shd w:val="clear" w:color="auto" w:fill="CFF0FC"/>
          </w:tcPr>
          <w:p>
            <w:pPr>
              <w:spacing w:after="0"/>
              <w:rPr>
                <w:sz w:val="20"/>
                <w:szCs w:val="20"/>
                <w:color w:val="auto"/>
              </w:rPr>
            </w:pPr>
            <w:r>
              <w:rPr>
                <w:rFonts w:ascii="Arial" w:cs="Arial" w:eastAsia="Arial" w:hAnsi="Arial"/>
                <w:sz w:val="15"/>
                <w:szCs w:val="15"/>
                <w:color w:val="auto"/>
              </w:rPr>
              <w:t>Convertible preferred stock (as converted to common stock)</w:t>
            </w:r>
          </w:p>
        </w:tc>
        <w:tc>
          <w:tcPr>
            <w:tcW w:w="116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21,478,098</w:t>
            </w:r>
          </w:p>
        </w:tc>
        <w:tc>
          <w:tcPr>
            <w:tcW w:w="20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10,478,189</w:t>
            </w:r>
          </w:p>
        </w:tc>
        <w:tc>
          <w:tcPr>
            <w:tcW w:w="100" w:type="dxa"/>
            <w:vAlign w:val="bottom"/>
            <w:shd w:val="clear" w:color="auto" w:fill="CFF0FC"/>
          </w:tcPr>
          <w:p>
            <w:pPr>
              <w:spacing w:after="0"/>
              <w:rPr>
                <w:sz w:val="16"/>
                <w:szCs w:val="16"/>
                <w:color w:val="auto"/>
              </w:rPr>
            </w:pPr>
          </w:p>
        </w:tc>
      </w:tr>
      <w:tr>
        <w:trPr>
          <w:trHeight w:val="177"/>
        </w:trPr>
        <w:tc>
          <w:tcPr>
            <w:tcW w:w="542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5"/>
                <w:szCs w:val="15"/>
                <w:color w:val="auto"/>
              </w:rPr>
              <w:t>5,026,246</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25,940,702</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12,030,902</w:t>
            </w:r>
          </w:p>
        </w:tc>
        <w:tc>
          <w:tcPr>
            <w:tcW w:w="10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4"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9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94" w:lineRule="exact"/>
        <w:rPr>
          <w:sz w:val="20"/>
          <w:szCs w:val="20"/>
          <w:color w:val="auto"/>
        </w:rPr>
      </w:pPr>
    </w:p>
    <w:p>
      <w:pPr>
        <w:ind w:right="300" w:firstLine="520"/>
        <w:spacing w:after="0" w:line="262" w:lineRule="auto"/>
        <w:rPr>
          <w:sz w:val="20"/>
          <w:szCs w:val="20"/>
          <w:color w:val="auto"/>
        </w:rPr>
      </w:pPr>
      <w:r>
        <w:rPr>
          <w:rFonts w:ascii="Arial" w:cs="Arial" w:eastAsia="Arial" w:hAnsi="Arial"/>
          <w:sz w:val="15"/>
          <w:szCs w:val="15"/>
          <w:color w:val="auto"/>
        </w:rPr>
        <w:t>The Company leases office and laboratory space under an operating lease agreement. The lease expires in January 2018 with no extension periods. The Company does have a right of expansion over the term as additional space becomes available but not an obligation.</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On February 13, 2015, the Company entered into a sublease for office space with a term expiring in May 2016.</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On April 1, 2015, the Company entered into a lease for additional office and laboratory space with a term expiring in April 2020.</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years ended December 31, 2015, 2014 and 2013, the Company recognized $1,246, $543 and $152 respectively, of rental expense related to office and laboratory space.</w:t>
      </w:r>
    </w:p>
    <w:p>
      <w:pPr>
        <w:spacing w:after="0" w:line="212" w:lineRule="exact"/>
        <w:rPr>
          <w:sz w:val="20"/>
          <w:szCs w:val="20"/>
          <w:color w:val="auto"/>
        </w:rPr>
      </w:pPr>
    </w:p>
    <w:p>
      <w:pPr>
        <w:jc w:val="both"/>
        <w:ind w:right="200" w:firstLine="520"/>
        <w:spacing w:after="0" w:line="279" w:lineRule="auto"/>
        <w:rPr>
          <w:sz w:val="20"/>
          <w:szCs w:val="20"/>
          <w:color w:val="auto"/>
        </w:rPr>
      </w:pPr>
      <w:r>
        <w:rPr>
          <w:rFonts w:ascii="Arial" w:cs="Arial" w:eastAsia="Arial" w:hAnsi="Arial"/>
          <w:sz w:val="14"/>
          <w:szCs w:val="14"/>
          <w:color w:val="auto"/>
        </w:rPr>
        <w:t>On November 11, 2015, the Company entered into a non-cancelable property lease with BMR-Sidney Research Campus LLC (“BMR”) for 83,396 square feet of office, laboratory and pilot manufacturing space at 200 Sidney Street, Cambridge, Massachusetts. The lease term is expected to commence in March 2016 and end in November 2023. The Company has the option to extend the lease twice, each for a five-year period. The Company intends to move its corporate headquarters to this location in mid-2016. BMR will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108" w:name="page109"/>
    <w:bookmarkEnd w:id="108"/>
    <w:p>
      <w:pPr>
        <w:jc w:val="center"/>
        <w:ind w:right="-1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317"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color w:val="auto"/>
        </w:rPr>
        <w:t xml:space="preserve">contribute a total of $12,509 toward the cost of tenant improvements. </w:t>
      </w:r>
      <w:r>
        <w:rPr>
          <w:rFonts w:ascii="Arial" w:cs="Arial" w:eastAsia="Arial" w:hAnsi="Arial"/>
          <w:sz w:val="15"/>
          <w:szCs w:val="15"/>
          <w:color w:val="222222"/>
        </w:rPr>
        <w:t>BMR’s contributions toward the cost of tenant improvements will be recorded as a lease incentive obligation on our</w:t>
      </w:r>
      <w:r>
        <w:rPr>
          <w:rFonts w:ascii="Arial" w:cs="Arial" w:eastAsia="Arial" w:hAnsi="Arial"/>
          <w:sz w:val="15"/>
          <w:szCs w:val="15"/>
          <w:color w:val="auto"/>
        </w:rPr>
        <w:t xml:space="preserve"> </w:t>
      </w:r>
      <w:r>
        <w:rPr>
          <w:rFonts w:ascii="Arial" w:cs="Arial" w:eastAsia="Arial" w:hAnsi="Arial"/>
          <w:sz w:val="15"/>
          <w:szCs w:val="15"/>
          <w:color w:val="222222"/>
        </w:rPr>
        <w:t>consolidated balance sheet. The lease incentive obligation will be amortized to our consolidated statement of operations as reductions to rent expense over the lease term. As of December 31, 2015, we have recorded a lease incentive obligation of $586.</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Future minimum lease payments for these operating leases as of December 31, 2015 are as follows: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138"/>
        </w:trPr>
        <w:tc>
          <w:tcPr>
            <w:tcW w:w="5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14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r>
      <w:tr>
        <w:trPr>
          <w:trHeight w:val="177"/>
        </w:trPr>
        <w:tc>
          <w:tcPr>
            <w:tcW w:w="5500" w:type="dxa"/>
            <w:vAlign w:val="bottom"/>
            <w:shd w:val="clear" w:color="auto" w:fill="CFF0FC"/>
          </w:tcPr>
          <w:p>
            <w:pPr>
              <w:spacing w:after="0"/>
              <w:rPr>
                <w:sz w:val="20"/>
                <w:szCs w:val="20"/>
                <w:color w:val="auto"/>
              </w:rPr>
            </w:pPr>
            <w:r>
              <w:rPr>
                <w:rFonts w:ascii="Arial" w:cs="Arial" w:eastAsia="Arial" w:hAnsi="Arial"/>
                <w:sz w:val="15"/>
                <w:szCs w:val="15"/>
                <w:color w:val="auto"/>
              </w:rPr>
              <w:t>2016</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1,274</w:t>
            </w:r>
          </w:p>
        </w:tc>
        <w:tc>
          <w:tcPr>
            <w:tcW w:w="80" w:type="dxa"/>
            <w:vAlign w:val="bottom"/>
            <w:shd w:val="clear" w:color="auto" w:fill="CFF0FC"/>
          </w:tcPr>
          <w:p>
            <w:pPr>
              <w:spacing w:after="0"/>
              <w:rPr>
                <w:sz w:val="15"/>
                <w:szCs w:val="15"/>
                <w:color w:val="auto"/>
              </w:rPr>
            </w:pPr>
          </w:p>
        </w:tc>
      </w:tr>
      <w:tr>
        <w:trPr>
          <w:trHeight w:val="186"/>
        </w:trPr>
        <w:tc>
          <w:tcPr>
            <w:tcW w:w="5500" w:type="dxa"/>
            <w:vAlign w:val="bottom"/>
          </w:tcPr>
          <w:p>
            <w:pPr>
              <w:spacing w:after="0"/>
              <w:rPr>
                <w:sz w:val="20"/>
                <w:szCs w:val="20"/>
                <w:color w:val="auto"/>
              </w:rPr>
            </w:pPr>
            <w:r>
              <w:rPr>
                <w:rFonts w:ascii="Arial" w:cs="Arial" w:eastAsia="Arial" w:hAnsi="Arial"/>
                <w:sz w:val="15"/>
                <w:szCs w:val="15"/>
                <w:color w:val="auto"/>
              </w:rPr>
              <w:t>2017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1,162</w:t>
            </w:r>
          </w:p>
        </w:tc>
        <w:tc>
          <w:tcPr>
            <w:tcW w:w="80" w:type="dxa"/>
            <w:vAlign w:val="bottom"/>
          </w:tcPr>
          <w:p>
            <w:pPr>
              <w:spacing w:after="0"/>
              <w:rPr>
                <w:sz w:val="16"/>
                <w:szCs w:val="16"/>
                <w:color w:val="auto"/>
              </w:rPr>
            </w:pPr>
          </w:p>
        </w:tc>
      </w:tr>
      <w:tr>
        <w:trPr>
          <w:trHeight w:val="186"/>
        </w:trPr>
        <w:tc>
          <w:tcPr>
            <w:tcW w:w="5500" w:type="dxa"/>
            <w:vAlign w:val="bottom"/>
            <w:shd w:val="clear" w:color="auto" w:fill="CFF0FC"/>
          </w:tcPr>
          <w:p>
            <w:pPr>
              <w:spacing w:after="0"/>
              <w:rPr>
                <w:sz w:val="20"/>
                <w:szCs w:val="20"/>
                <w:color w:val="auto"/>
              </w:rPr>
            </w:pPr>
            <w:r>
              <w:rPr>
                <w:rFonts w:ascii="Arial" w:cs="Arial" w:eastAsia="Arial" w:hAnsi="Arial"/>
                <w:sz w:val="15"/>
                <w:szCs w:val="15"/>
                <w:color w:val="auto"/>
              </w:rPr>
              <w:t>2018</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643</w:t>
            </w:r>
          </w:p>
        </w:tc>
        <w:tc>
          <w:tcPr>
            <w:tcW w:w="80" w:type="dxa"/>
            <w:vAlign w:val="bottom"/>
            <w:shd w:val="clear" w:color="auto" w:fill="CFF0FC"/>
          </w:tcPr>
          <w:p>
            <w:pPr>
              <w:spacing w:after="0"/>
              <w:rPr>
                <w:sz w:val="16"/>
                <w:szCs w:val="16"/>
                <w:color w:val="auto"/>
              </w:rPr>
            </w:pPr>
          </w:p>
        </w:tc>
      </w:tr>
      <w:tr>
        <w:trPr>
          <w:trHeight w:val="186"/>
        </w:trPr>
        <w:tc>
          <w:tcPr>
            <w:tcW w:w="5500" w:type="dxa"/>
            <w:vAlign w:val="bottom"/>
          </w:tcPr>
          <w:p>
            <w:pPr>
              <w:spacing w:after="0"/>
              <w:rPr>
                <w:sz w:val="20"/>
                <w:szCs w:val="20"/>
                <w:color w:val="auto"/>
              </w:rPr>
            </w:pPr>
            <w:r>
              <w:rPr>
                <w:rFonts w:ascii="Arial" w:cs="Arial" w:eastAsia="Arial" w:hAnsi="Arial"/>
                <w:sz w:val="15"/>
                <w:szCs w:val="15"/>
                <w:color w:val="auto"/>
              </w:rPr>
              <w:t>2019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478</w:t>
            </w:r>
          </w:p>
        </w:tc>
        <w:tc>
          <w:tcPr>
            <w:tcW w:w="80" w:type="dxa"/>
            <w:vAlign w:val="bottom"/>
          </w:tcPr>
          <w:p>
            <w:pPr>
              <w:spacing w:after="0"/>
              <w:rPr>
                <w:sz w:val="16"/>
                <w:szCs w:val="16"/>
                <w:color w:val="auto"/>
              </w:rPr>
            </w:pPr>
          </w:p>
        </w:tc>
      </w:tr>
      <w:tr>
        <w:trPr>
          <w:trHeight w:val="186"/>
        </w:trPr>
        <w:tc>
          <w:tcPr>
            <w:tcW w:w="550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FF0FC"/>
          </w:tcPr>
          <w:p>
            <w:pPr>
              <w:spacing w:after="0"/>
              <w:rPr>
                <w:sz w:val="16"/>
                <w:szCs w:val="16"/>
                <w:color w:val="auto"/>
              </w:rPr>
            </w:pPr>
          </w:p>
        </w:tc>
      </w:tr>
      <w:tr>
        <w:trPr>
          <w:trHeight w:val="186"/>
        </w:trPr>
        <w:tc>
          <w:tcPr>
            <w:tcW w:w="55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2021 and thereafter</w:t>
            </w:r>
          </w:p>
        </w:tc>
        <w:tc>
          <w:tcPr>
            <w:tcW w:w="14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tcPr>
          <w:p>
            <w:pPr>
              <w:spacing w:after="0"/>
              <w:rPr>
                <w:sz w:val="16"/>
                <w:szCs w:val="16"/>
                <w:color w:val="auto"/>
              </w:rPr>
            </w:pPr>
          </w:p>
        </w:tc>
      </w:tr>
      <w:tr>
        <w:trPr>
          <w:trHeight w:val="177"/>
        </w:trPr>
        <w:tc>
          <w:tcPr>
            <w:tcW w:w="55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3,637</w:t>
            </w:r>
          </w:p>
        </w:tc>
        <w:tc>
          <w:tcPr>
            <w:tcW w:w="80" w:type="dxa"/>
            <w:vAlign w:val="bottom"/>
            <w:shd w:val="clear" w:color="auto" w:fill="CFF0FC"/>
          </w:tcPr>
          <w:p>
            <w:pPr>
              <w:spacing w:after="0"/>
              <w:rPr>
                <w:sz w:val="15"/>
                <w:szCs w:val="15"/>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 Commitments</w:t>
      </w:r>
    </w:p>
    <w:p>
      <w:pPr>
        <w:spacing w:after="0" w:line="182" w:lineRule="exact"/>
        <w:rPr>
          <w:sz w:val="20"/>
          <w:szCs w:val="20"/>
          <w:color w:val="auto"/>
        </w:rPr>
      </w:pPr>
    </w:p>
    <w:p>
      <w:pPr>
        <w:jc w:val="both"/>
        <w:ind w:right="160" w:firstLine="520"/>
        <w:spacing w:after="0" w:line="279" w:lineRule="auto"/>
        <w:rPr>
          <w:sz w:val="20"/>
          <w:szCs w:val="20"/>
          <w:color w:val="auto"/>
        </w:rPr>
      </w:pPr>
      <w:r>
        <w:rPr>
          <w:rFonts w:ascii="Arial" w:cs="Arial" w:eastAsia="Arial" w:hAnsi="Arial"/>
          <w:sz w:val="14"/>
          <w:szCs w:val="14"/>
          <w:color w:val="auto"/>
        </w:rPr>
        <w:t>Minimum lease payments due under the Sidney Street lease are $911 during the year ending December 31, 2016, $5,528 during the year ending December 31, 2017, $5,694 during the year ending December 31, 2018, $5,864 during the year ending December 31, 2019, $6,040 during the year ending December 31, 2020 and $17,752 thereafter. These amounts are not included within the future minimum lease payments table above as our lease with BMR had not commenced as of December 31, 2015.</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94" w:lineRule="exact"/>
        <w:rPr>
          <w:sz w:val="20"/>
          <w:szCs w:val="20"/>
          <w:color w:val="auto"/>
        </w:rPr>
      </w:pPr>
    </w:p>
    <w:p>
      <w:pPr>
        <w:ind w:firstLine="520"/>
        <w:spacing w:after="0" w:line="267" w:lineRule="auto"/>
        <w:rPr>
          <w:sz w:val="20"/>
          <w:szCs w:val="20"/>
          <w:color w:val="auto"/>
        </w:rPr>
      </w:pPr>
      <w:r>
        <w:rPr>
          <w:rFonts w:ascii="Arial" w:cs="Arial" w:eastAsia="Arial" w:hAnsi="Arial"/>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2015 or 2014.</w:t>
      </w:r>
    </w:p>
    <w:p>
      <w:pPr>
        <w:spacing w:after="0" w:line="296"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94" w:lineRule="exact"/>
        <w:rPr>
          <w:sz w:val="20"/>
          <w:szCs w:val="20"/>
          <w:color w:val="auto"/>
        </w:rPr>
      </w:pPr>
    </w:p>
    <w:p>
      <w:pPr>
        <w:ind w:right="100" w:firstLine="520"/>
        <w:spacing w:after="0" w:line="262" w:lineRule="auto"/>
        <w:rPr>
          <w:sz w:val="20"/>
          <w:szCs w:val="20"/>
          <w:color w:val="auto"/>
        </w:rPr>
      </w:pPr>
      <w:r>
        <w:rPr>
          <w:rFonts w:ascii="Arial" w:cs="Arial" w:eastAsia="Arial" w:hAnsi="Arial"/>
          <w:sz w:val="15"/>
          <w:szCs w:val="15"/>
          <w:color w:val="auto"/>
        </w:rPr>
        <w:t>During the years ended December 31, 2015, 2014 and 2013, the Company recorded no income tax benefits for the net operating losses incurred in each year or interim period, due to its uncertainty of realizing a benefit from those items.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60"/>
          </w:cols>
          <w:pgMar w:left="220" w:top="300" w:right="31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31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 reconciliation of the U.S. federal statutory income tax rate to the Company’s effective income tax rate is as follows:</w:t>
      </w:r>
    </w:p>
    <w:p>
      <w:pPr>
        <w:spacing w:after="0" w:line="236" w:lineRule="exact"/>
        <w:rPr>
          <w:sz w:val="20"/>
          <w:szCs w:val="20"/>
          <w:color w:val="auto"/>
        </w:rPr>
      </w:pPr>
    </w:p>
    <w:p>
      <w:pPr>
        <w:ind w:left="7600"/>
        <w:spacing w:after="0"/>
        <w:rPr>
          <w:sz w:val="20"/>
          <w:szCs w:val="20"/>
          <w:color w:val="auto"/>
        </w:rPr>
      </w:pPr>
      <w:r>
        <w:rPr>
          <w:rFonts w:ascii="Arial" w:cs="Arial" w:eastAsia="Arial" w:hAnsi="Arial"/>
          <w:sz w:val="12"/>
          <w:szCs w:val="12"/>
          <w:b w:val="1"/>
          <w:bCs w:val="1"/>
          <w:color w:val="auto"/>
        </w:rPr>
        <w:t>Year Ended December 31,</w:t>
      </w:r>
    </w:p>
    <w:tbl>
      <w:tblPr>
        <w:tblLayout w:type="fixed"/>
        <w:tblInd w:w="520" w:type="dxa"/>
        <w:tblCellMar>
          <w:top w:w="0" w:type="dxa"/>
          <w:left w:w="0" w:type="dxa"/>
          <w:bottom w:w="0" w:type="dxa"/>
          <w:right w:w="0" w:type="dxa"/>
        </w:tblCellMar>
      </w:tblPr>
      <w:tr>
        <w:trPr>
          <w:trHeight w:val="122"/>
        </w:trPr>
        <w:tc>
          <w:tcPr>
            <w:tcW w:w="640" w:type="dxa"/>
            <w:vAlign w:val="bottom"/>
          </w:tcPr>
          <w:p>
            <w:pPr>
              <w:spacing w:after="0"/>
              <w:rPr>
                <w:sz w:val="10"/>
                <w:szCs w:val="10"/>
                <w:color w:val="auto"/>
              </w:rPr>
            </w:pPr>
          </w:p>
        </w:tc>
        <w:tc>
          <w:tcPr>
            <w:tcW w:w="5200" w:type="dxa"/>
            <w:vAlign w:val="bottom"/>
            <w:tcBorders>
              <w:bottom w:val="single" w:sz="8" w:color="CFF0FC"/>
            </w:tcBorders>
            <w:gridSpan w:val="2"/>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2015</w:t>
            </w:r>
          </w:p>
        </w:tc>
        <w:tc>
          <w:tcPr>
            <w:tcW w:w="18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CFF0FC"/>
            </w:tcBorders>
          </w:tcPr>
          <w:p>
            <w:pPr>
              <w:spacing w:after="0"/>
              <w:rPr>
                <w:sz w:val="10"/>
                <w:szCs w:val="10"/>
                <w:color w:val="auto"/>
              </w:rPr>
            </w:pPr>
          </w:p>
        </w:tc>
        <w:tc>
          <w:tcPr>
            <w:tcW w:w="100" w:type="dxa"/>
            <w:vAlign w:val="bottom"/>
            <w:tcBorders>
              <w:top w:val="single" w:sz="8" w:color="auto"/>
              <w:bottom w:val="single" w:sz="8" w:color="CFF0FC"/>
            </w:tcBorders>
          </w:tcPr>
          <w:p>
            <w:pPr>
              <w:spacing w:after="0"/>
              <w:rPr>
                <w:sz w:val="10"/>
                <w:szCs w:val="10"/>
                <w:color w:val="auto"/>
              </w:rPr>
            </w:pPr>
          </w:p>
        </w:tc>
        <w:tc>
          <w:tcPr>
            <w:tcW w:w="700" w:type="dxa"/>
            <w:vAlign w:val="bottom"/>
            <w:tcBorders>
              <w:top w:val="single" w:sz="8" w:color="auto"/>
              <w:bottom w:val="single" w:sz="8" w:color="auto"/>
            </w:tcBorders>
            <w:gridSpan w:val="2"/>
          </w:tcPr>
          <w:p>
            <w:pPr>
              <w:jc w:val="right"/>
              <w:ind w:right="60"/>
              <w:spacing w:after="0" w:line="122"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CFF0FC"/>
            </w:tcBorders>
          </w:tcPr>
          <w:p>
            <w:pPr>
              <w:spacing w:after="0"/>
              <w:rPr>
                <w:sz w:val="10"/>
                <w:szCs w:val="10"/>
                <w:color w:val="auto"/>
              </w:rPr>
            </w:pPr>
          </w:p>
        </w:tc>
        <w:tc>
          <w:tcPr>
            <w:tcW w:w="120" w:type="dxa"/>
            <w:vAlign w:val="bottom"/>
            <w:tcBorders>
              <w:top w:val="single" w:sz="8" w:color="auto"/>
              <w:bottom w:val="single" w:sz="8" w:color="CFF0FC"/>
            </w:tcBorders>
          </w:tcPr>
          <w:p>
            <w:pPr>
              <w:spacing w:after="0"/>
              <w:rPr>
                <w:sz w:val="10"/>
                <w:szCs w:val="10"/>
                <w:color w:val="auto"/>
              </w:rPr>
            </w:pPr>
          </w:p>
        </w:tc>
        <w:tc>
          <w:tcPr>
            <w:tcW w:w="660" w:type="dxa"/>
            <w:vAlign w:val="bottom"/>
            <w:tcBorders>
              <w:top w:val="single" w:sz="8" w:color="auto"/>
              <w:bottom w:val="single" w:sz="8" w:color="auto"/>
            </w:tcBorders>
            <w:gridSpan w:val="2"/>
          </w:tcPr>
          <w:p>
            <w:pPr>
              <w:jc w:val="right"/>
              <w:ind w:right="20"/>
              <w:spacing w:after="0" w:line="122"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top w:val="single" w:sz="8" w:color="auto"/>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588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Federal statutory income tax rate</w:t>
            </w:r>
          </w:p>
        </w:tc>
        <w:tc>
          <w:tcPr>
            <w:tcW w:w="58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w w:val="98"/>
              </w:rPr>
              <w:t>(34.0)%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w w:val="95"/>
              </w:rPr>
              <w:t>(34.0)%</w:t>
            </w:r>
          </w:p>
        </w:tc>
        <w:tc>
          <w:tcPr>
            <w:tcW w:w="1360" w:type="dxa"/>
            <w:vAlign w:val="bottom"/>
            <w:gridSpan w:val="5"/>
            <w:shd w:val="clear" w:color="auto" w:fill="CFF0FC"/>
          </w:tcPr>
          <w:p>
            <w:pPr>
              <w:jc w:val="right"/>
              <w:ind w:right="20"/>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80" w:type="dxa"/>
            <w:vAlign w:val="bottom"/>
            <w:gridSpan w:val="3"/>
          </w:tcPr>
          <w:p>
            <w:pPr>
              <w:ind w:left="200"/>
              <w:spacing w:after="0"/>
              <w:rPr>
                <w:sz w:val="20"/>
                <w:szCs w:val="20"/>
                <w:color w:val="auto"/>
              </w:rPr>
            </w:pPr>
            <w:r>
              <w:rPr>
                <w:rFonts w:ascii="Arial" w:cs="Arial" w:eastAsia="Arial" w:hAnsi="Arial"/>
                <w:sz w:val="15"/>
                <w:szCs w:val="15"/>
                <w:color w:val="auto"/>
              </w:rPr>
              <w:t>Research and development tax credits</w:t>
            </w: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5"/>
                <w:szCs w:val="15"/>
                <w:color w:val="auto"/>
              </w:rPr>
              <w:t>(3.8)</w:t>
            </w:r>
          </w:p>
        </w:tc>
        <w:tc>
          <w:tcPr>
            <w:tcW w:w="1360" w:type="dxa"/>
            <w:vAlign w:val="bottom"/>
            <w:gridSpan w:val="5"/>
          </w:tcPr>
          <w:p>
            <w:pPr>
              <w:jc w:val="right"/>
              <w:ind w:right="14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80" w:type="dxa"/>
            <w:vAlign w:val="bottom"/>
            <w:gridSpan w:val="3"/>
            <w:shd w:val="clear" w:color="auto" w:fill="CFF0FC"/>
          </w:tcPr>
          <w:p>
            <w:pPr>
              <w:ind w:left="200"/>
              <w:spacing w:after="0"/>
              <w:rPr>
                <w:sz w:val="20"/>
                <w:szCs w:val="20"/>
                <w:color w:val="auto"/>
              </w:rPr>
            </w:pPr>
            <w:r>
              <w:rPr>
                <w:rFonts w:ascii="Arial" w:cs="Arial" w:eastAsia="Arial" w:hAnsi="Arial"/>
                <w:sz w:val="15"/>
                <w:szCs w:val="15"/>
                <w:color w:val="auto"/>
              </w:rPr>
              <w:t>State taxes, net of federal benefit</w:t>
            </w: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(5.3)</w:t>
            </w:r>
          </w:p>
        </w:tc>
        <w:tc>
          <w:tcPr>
            <w:tcW w:w="1360" w:type="dxa"/>
            <w:vAlign w:val="bottom"/>
            <w:gridSpan w:val="5"/>
            <w:shd w:val="clear" w:color="auto" w:fill="CFF0FC"/>
          </w:tcPr>
          <w:p>
            <w:pPr>
              <w:jc w:val="right"/>
              <w:ind w:right="14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80" w:type="dxa"/>
            <w:vAlign w:val="bottom"/>
            <w:gridSpan w:val="3"/>
          </w:tcPr>
          <w:p>
            <w:pPr>
              <w:ind w:left="200"/>
              <w:spacing w:after="0"/>
              <w:rPr>
                <w:sz w:val="20"/>
                <w:szCs w:val="20"/>
                <w:color w:val="auto"/>
              </w:rPr>
            </w:pPr>
            <w:r>
              <w:rPr>
                <w:rFonts w:ascii="Arial" w:cs="Arial" w:eastAsia="Arial" w:hAnsi="Arial"/>
                <w:sz w:val="15"/>
                <w:szCs w:val="15"/>
                <w:color w:val="auto"/>
              </w:rPr>
              <w:t>Stock-based compensation</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80" w:type="dxa"/>
            <w:vAlign w:val="bottom"/>
            <w:gridSpan w:val="3"/>
            <w:shd w:val="clear" w:color="auto" w:fill="CFF0FC"/>
          </w:tcPr>
          <w:p>
            <w:pPr>
              <w:ind w:left="200"/>
              <w:spacing w:after="0"/>
              <w:rPr>
                <w:sz w:val="20"/>
                <w:szCs w:val="20"/>
                <w:color w:val="auto"/>
              </w:rPr>
            </w:pPr>
            <w:r>
              <w:rPr>
                <w:rFonts w:ascii="Arial" w:cs="Arial" w:eastAsia="Arial" w:hAnsi="Arial"/>
                <w:sz w:val="15"/>
                <w:szCs w:val="15"/>
                <w:color w:val="auto"/>
              </w:rPr>
              <w:t>Revaluation of preferred stock warrant liability</w:t>
            </w:r>
          </w:p>
        </w:tc>
        <w:tc>
          <w:tcPr>
            <w:tcW w:w="18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80" w:type="dxa"/>
            <w:vAlign w:val="bottom"/>
            <w:gridSpan w:val="3"/>
          </w:tcPr>
          <w:p>
            <w:pPr>
              <w:ind w:left="200"/>
              <w:spacing w:after="0"/>
              <w:rPr>
                <w:sz w:val="20"/>
                <w:szCs w:val="20"/>
                <w:color w:val="auto"/>
              </w:rPr>
            </w:pPr>
            <w:r>
              <w:rPr>
                <w:rFonts w:ascii="Arial" w:cs="Arial" w:eastAsia="Arial" w:hAnsi="Arial"/>
                <w:sz w:val="15"/>
                <w:szCs w:val="15"/>
                <w:color w:val="auto"/>
              </w:rPr>
              <w:t>Other</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2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Change in deferred tax asset valuation allowance</w:t>
            </w:r>
          </w:p>
        </w:tc>
        <w:tc>
          <w:tcPr>
            <w:tcW w:w="68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40.6</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37.3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color w:val="auto"/>
              </w:rPr>
              <w:t>44.2</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20" w:type="dxa"/>
            <w:vAlign w:val="bottom"/>
            <w:gridSpan w:val="4"/>
          </w:tcPr>
          <w:p>
            <w:pPr>
              <w:ind w:left="640"/>
              <w:spacing w:after="0"/>
              <w:rPr>
                <w:sz w:val="20"/>
                <w:szCs w:val="20"/>
                <w:color w:val="auto"/>
              </w:rPr>
            </w:pPr>
            <w:r>
              <w:rPr>
                <w:rFonts w:ascii="Arial" w:cs="Arial" w:eastAsia="Arial" w:hAnsi="Arial"/>
                <w:sz w:val="15"/>
                <w:szCs w:val="15"/>
                <w:color w:val="auto"/>
              </w:rPr>
              <w:t>Effective income tax rate</w:t>
            </w:r>
          </w:p>
        </w:tc>
        <w:tc>
          <w:tcPr>
            <w:tcW w:w="18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520" w:type="dxa"/>
            <w:vAlign w:val="bottom"/>
            <w:gridSpan w:val="4"/>
          </w:tcPr>
          <w:p>
            <w:pPr>
              <w:spacing w:after="0"/>
              <w:rPr>
                <w:sz w:val="20"/>
                <w:szCs w:val="20"/>
                <w:color w:val="auto"/>
              </w:rPr>
            </w:pPr>
            <w:r>
              <w:rPr>
                <w:rFonts w:ascii="Arial" w:cs="Arial" w:eastAsia="Arial" w:hAnsi="Arial"/>
                <w:sz w:val="15"/>
                <w:szCs w:val="15"/>
                <w:color w:val="auto"/>
              </w:rPr>
              <w:t>Net deferred tax assets as of December 31, 2015 and 2014 consisted of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20" w:type="dxa"/>
            <w:vAlign w:val="bottom"/>
            <w:tcBorders>
              <w:bottom w:val="single" w:sz="8" w:color="CFF0FC"/>
            </w:tcBorders>
          </w:tcPr>
          <w:p>
            <w:pPr>
              <w:spacing w:after="0"/>
              <w:rPr>
                <w:sz w:val="10"/>
                <w:szCs w:val="10"/>
                <w:color w:val="auto"/>
              </w:rPr>
            </w:pPr>
          </w:p>
        </w:tc>
        <w:tc>
          <w:tcPr>
            <w:tcW w:w="680" w:type="dxa"/>
            <w:vAlign w:val="bottom"/>
            <w:tcBorders>
              <w:bottom w:val="single" w:sz="8" w:color="CFF0FC"/>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ind w:right="377"/>
              <w:spacing w:after="0" w:line="122" w:lineRule="exact"/>
              <w:rPr>
                <w:sz w:val="20"/>
                <w:szCs w:val="20"/>
                <w:color w:val="auto"/>
              </w:rPr>
            </w:pPr>
            <w:r>
              <w:rPr>
                <w:rFonts w:ascii="Arial" w:cs="Arial" w:eastAsia="Arial" w:hAnsi="Arial"/>
                <w:sz w:val="12"/>
                <w:szCs w:val="12"/>
                <w:b w:val="1"/>
                <w:bCs w:val="1"/>
                <w:color w:val="auto"/>
                <w:w w:val="97"/>
              </w:rPr>
              <w:t>2015</w:t>
            </w: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391"/>
              <w:spacing w:after="0" w:line="122" w:lineRule="exact"/>
              <w:rPr>
                <w:sz w:val="20"/>
                <w:szCs w:val="20"/>
                <w:color w:val="auto"/>
              </w:rPr>
            </w:pPr>
            <w:r>
              <w:rPr>
                <w:rFonts w:ascii="Arial" w:cs="Arial" w:eastAsia="Arial" w:hAnsi="Arial"/>
                <w:sz w:val="12"/>
                <w:szCs w:val="12"/>
                <w:b w:val="1"/>
                <w:bCs w:val="1"/>
                <w:color w:val="auto"/>
                <w:w w:val="82"/>
              </w:rPr>
              <w:t>2014</w:t>
            </w:r>
          </w:p>
        </w:tc>
        <w:tc>
          <w:tcPr>
            <w:tcW w:w="80" w:type="dxa"/>
            <w:vAlign w:val="bottom"/>
            <w:tcBorders>
              <w:bottom w:val="single" w:sz="8" w:color="CFF0FC"/>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color w:val="auto"/>
              </w:rPr>
              <w:t>Net operating loss carryforwards</w:t>
            </w:r>
          </w:p>
        </w:tc>
        <w:tc>
          <w:tcPr>
            <w:tcW w:w="38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25,293</w:t>
            </w:r>
          </w:p>
        </w:tc>
        <w:tc>
          <w:tcPr>
            <w:tcW w:w="80" w:type="dxa"/>
            <w:vAlign w:val="bottom"/>
          </w:tcPr>
          <w:p>
            <w:pPr>
              <w:spacing w:after="0"/>
              <w:rPr>
                <w:sz w:val="16"/>
                <w:szCs w:val="16"/>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7,946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Research and development tax credit carryforwards</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4,180</w:t>
            </w: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1,055</w:t>
            </w:r>
          </w:p>
        </w:tc>
        <w:tc>
          <w:tcPr>
            <w:tcW w:w="80" w:type="dxa"/>
            <w:vAlign w:val="bottom"/>
            <w:shd w:val="clear" w:color="auto" w:fill="CFF0FC"/>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color w:val="auto"/>
              </w:rPr>
              <w:t>Capitalized organization costs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527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571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Stock-based compensation expense</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1,897</w:t>
            </w: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436</w:t>
            </w:r>
          </w:p>
        </w:tc>
        <w:tc>
          <w:tcPr>
            <w:tcW w:w="80" w:type="dxa"/>
            <w:vAlign w:val="bottom"/>
            <w:shd w:val="clear" w:color="auto" w:fill="CFF0FC"/>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color w:val="auto"/>
              </w:rPr>
              <w:t>Charitable Contributions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jc w:val="right"/>
              <w:ind w:right="6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Accrued expenses</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977</w:t>
            </w: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447</w:t>
            </w:r>
          </w:p>
        </w:tc>
        <w:tc>
          <w:tcPr>
            <w:tcW w:w="80" w:type="dxa"/>
            <w:vAlign w:val="bottom"/>
            <w:shd w:val="clear" w:color="auto" w:fill="CFF0FC"/>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tcBorders>
              <w:bottom w:val="single" w:sz="8" w:color="CFF0FC"/>
            </w:tcBorders>
            <w:gridSpan w:val="2"/>
          </w:tcPr>
          <w:p>
            <w:pPr>
              <w:ind w:left="200"/>
              <w:spacing w:after="0"/>
              <w:rPr>
                <w:sz w:val="20"/>
                <w:szCs w:val="20"/>
                <w:color w:val="auto"/>
              </w:rPr>
            </w:pPr>
            <w:r>
              <w:rPr>
                <w:rFonts w:ascii="Arial" w:cs="Arial" w:eastAsia="Arial" w:hAnsi="Arial"/>
                <w:sz w:val="15"/>
                <w:szCs w:val="15"/>
                <w:color w:val="auto"/>
              </w:rPr>
              <w:t>Capitalized research and development expenses</w:t>
            </w:r>
          </w:p>
        </w:tc>
        <w:tc>
          <w:tcPr>
            <w:tcW w:w="1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126</w:t>
            </w: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136</w:t>
            </w:r>
          </w:p>
        </w:tc>
        <w:tc>
          <w:tcPr>
            <w:tcW w:w="80" w:type="dxa"/>
            <w:vAlign w:val="bottom"/>
            <w:tcBorders>
              <w:bottom w:val="single" w:sz="8" w:color="CFF0FC"/>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00" w:type="dxa"/>
            <w:vAlign w:val="bottom"/>
            <w:gridSpan w:val="2"/>
            <w:shd w:val="clear" w:color="auto" w:fill="CFF0FC"/>
          </w:tcPr>
          <w:p>
            <w:pPr>
              <w:ind w:left="380"/>
              <w:spacing w:after="0"/>
              <w:rPr>
                <w:sz w:val="20"/>
                <w:szCs w:val="20"/>
                <w:color w:val="auto"/>
              </w:rPr>
            </w:pPr>
            <w:r>
              <w:rPr>
                <w:rFonts w:ascii="Arial" w:cs="Arial" w:eastAsia="Arial" w:hAnsi="Arial"/>
                <w:sz w:val="15"/>
                <w:szCs w:val="15"/>
                <w:color w:val="auto"/>
              </w:rPr>
              <w:t>Total deferred tax assets</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33,005</w:t>
            </w:r>
          </w:p>
        </w:tc>
        <w:tc>
          <w:tcPr>
            <w:tcW w:w="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10,591</w:t>
            </w:r>
          </w:p>
        </w:tc>
        <w:tc>
          <w:tcPr>
            <w:tcW w:w="80" w:type="dxa"/>
            <w:vAlign w:val="bottom"/>
            <w:shd w:val="clear" w:color="auto" w:fill="CFF0FC"/>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5880" w:type="dxa"/>
            <w:vAlign w:val="bottom"/>
            <w:gridSpan w:val="3"/>
          </w:tcPr>
          <w:p>
            <w:pPr>
              <w:ind w:left="580"/>
              <w:spacing w:after="0"/>
              <w:rPr>
                <w:sz w:val="20"/>
                <w:szCs w:val="20"/>
                <w:color w:val="auto"/>
              </w:rPr>
            </w:pPr>
            <w:r>
              <w:rPr>
                <w:rFonts w:ascii="Arial" w:cs="Arial" w:eastAsia="Arial" w:hAnsi="Arial"/>
                <w:sz w:val="15"/>
                <w:szCs w:val="15"/>
                <w:color w:val="auto"/>
              </w:rPr>
              <w:t>Deferred tax liabilities:</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3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(228)</w:t>
            </w: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(69)</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gridSpan w:val="2"/>
            <w:vMerge w:val="restart"/>
          </w:tcPr>
          <w:p>
            <w:pPr>
              <w:ind w:left="380"/>
              <w:spacing w:after="0"/>
              <w:rPr>
                <w:sz w:val="20"/>
                <w:szCs w:val="20"/>
                <w:color w:val="auto"/>
              </w:rPr>
            </w:pPr>
            <w:r>
              <w:rPr>
                <w:rFonts w:ascii="Arial" w:cs="Arial" w:eastAsia="Arial" w:hAnsi="Arial"/>
                <w:sz w:val="15"/>
                <w:szCs w:val="15"/>
                <w:color w:val="auto"/>
              </w:rPr>
              <w:t>Total deferred tax liabilities</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5"/>
                <w:szCs w:val="15"/>
                <w:color w:val="auto"/>
              </w:rPr>
              <w:t>(228)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5"/>
                <w:szCs w:val="15"/>
                <w:color w:val="auto"/>
              </w:rPr>
              <w:t>(69)</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gridSpan w:val="2"/>
            <w:vMerge w:val="restart"/>
            <w:shd w:val="clear" w:color="auto" w:fill="CFF0FC"/>
          </w:tcPr>
          <w:p>
            <w:pPr>
              <w:spacing w:after="0"/>
              <w:rPr>
                <w:sz w:val="20"/>
                <w:szCs w:val="20"/>
                <w:color w:val="auto"/>
              </w:rPr>
            </w:pPr>
            <w:r>
              <w:rPr>
                <w:rFonts w:ascii="Arial" w:cs="Arial" w:eastAsia="Arial" w:hAnsi="Arial"/>
                <w:sz w:val="15"/>
                <w:szCs w:val="15"/>
                <w:color w:val="auto"/>
              </w:rPr>
              <w:t>Valuation allowance</w:t>
            </w: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0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(32,777)</w:t>
            </w:r>
          </w:p>
        </w:tc>
        <w:tc>
          <w:tcPr>
            <w:tcW w:w="1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(10,522)</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gridSpan w:val="2"/>
            <w:vMerge w:val="restart"/>
          </w:tcPr>
          <w:p>
            <w:pPr>
              <w:ind w:left="380"/>
              <w:spacing w:after="0"/>
              <w:rPr>
                <w:sz w:val="20"/>
                <w:szCs w:val="20"/>
                <w:color w:val="auto"/>
              </w:rPr>
            </w:pPr>
            <w:r>
              <w:rPr>
                <w:rFonts w:ascii="Arial" w:cs="Arial" w:eastAsia="Arial" w:hAnsi="Arial"/>
                <w:sz w:val="15"/>
                <w:szCs w:val="15"/>
                <w:color w:val="auto"/>
              </w:rPr>
              <w:t>Net deferred tax assets</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jc w:val="right"/>
              <w:ind w:right="6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20" w:firstLine="520"/>
        <w:spacing w:after="0" w:line="312" w:lineRule="auto"/>
        <w:rPr>
          <w:sz w:val="20"/>
          <w:szCs w:val="20"/>
          <w:color w:val="auto"/>
        </w:rPr>
      </w:pPr>
      <w:r>
        <w:rPr>
          <w:rFonts w:ascii="Arial" w:cs="Arial" w:eastAsia="Arial" w:hAnsi="Arial"/>
          <w:sz w:val="12"/>
          <w:szCs w:val="12"/>
          <w:color w:val="auto"/>
        </w:rPr>
        <w:t>As of December 31, 2015, the Company had net operating loss carryforwards for federal and state income tax purposes of $65,401 and $64,266, respectively, which both begin to expire in 2031. As of December 31, 2015, the Company also had available research and development tax credit carryforwards for federal and state income tax purposes of $3,045 and $1,331, respectively, which begin to expire in 2031 and 2027, respectively.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our formation, we have raised capital through the issuance of capital stock on several occasions. These financings, combined with the purchasing shareholders' subsequent disposition of those shares, may have resulted in a change of control as defined by Section 382 or could result in a change of control in the future upon subsequent disposition. We conducted an analysis under Section 382 to determine if historical changes in ownership through August 31, 2015 would limit or otherwise restrict our ability to utilize these NOL and R&amp;D credit carryforwards. As a result of this analysis, we do not believe there are any significant limitations on our ability to utilize these carryforwards. However, future changes in ownership after August 31, 2015 could affect the limitation in future years. Any limitation may result in expiration of a portion of the NOL or R&amp;D credit carryforwards before utilization. At December 31, 2015, $856 of the federal net operating loss carryforwards, and $856 of the state net operating loss carryforwards relate to excess stock based compensation tax benefits for which the benefit will be recorded to additional paid-in capital when recognized.</w:t>
      </w:r>
    </w:p>
    <w:p>
      <w:pPr>
        <w:spacing w:after="0" w:line="302"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The Company has evaluated the positive and negative evidence bearing upon its ability to realize the deferred tax assets. Management has considered the Company’s history of cumulative net losses incurred since inception and its lack of</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200" w:lineRule="exact"/>
        <w:rPr>
          <w:sz w:val="20"/>
          <w:szCs w:val="20"/>
          <w:color w:val="auto"/>
        </w:rPr>
      </w:pPr>
    </w:p>
    <w:p>
      <w:pPr>
        <w:spacing w:after="0" w:line="31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2015 and 2014. Management reevaluates the positive and negative evidence at each reporting period.</w:t>
      </w:r>
    </w:p>
    <w:p>
      <w:pPr>
        <w:spacing w:after="0" w:line="157"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Changes in the valuation allowance for deferred tax assets during the years ended December 31, 2015, 2014 and 2013 related primarily to the increases in net operating loss carryforwards, research and development tax credit carryforwards and stock-based compensation were as follows:</w:t>
      </w:r>
    </w:p>
    <w:p>
      <w:pPr>
        <w:spacing w:after="0" w:line="20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w w:val="88"/>
              </w:rPr>
              <w:t>Year Ended December 31,</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80" w:type="dxa"/>
            <w:vAlign w:val="bottom"/>
            <w:tcBorders>
              <w:bottom w:val="single" w:sz="8" w:color="CFF0FC"/>
            </w:tcBorders>
          </w:tcPr>
          <w:p>
            <w:pPr>
              <w:spacing w:after="0"/>
              <w:rPr>
                <w:sz w:val="10"/>
                <w:szCs w:val="10"/>
                <w:color w:val="auto"/>
              </w:rPr>
            </w:pPr>
          </w:p>
        </w:tc>
        <w:tc>
          <w:tcPr>
            <w:tcW w:w="10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0"/>
              <w:spacing w:after="0" w:line="122"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50"/>
              <w:spacing w:after="0" w:line="122" w:lineRule="exact"/>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380" w:type="dxa"/>
            <w:vAlign w:val="bottom"/>
            <w:shd w:val="clear" w:color="auto" w:fill="CFF0FC"/>
          </w:tcPr>
          <w:p>
            <w:pPr>
              <w:spacing w:after="0"/>
              <w:rPr>
                <w:sz w:val="20"/>
                <w:szCs w:val="20"/>
                <w:color w:val="auto"/>
              </w:rPr>
            </w:pPr>
            <w:r>
              <w:rPr>
                <w:rFonts w:ascii="Arial" w:cs="Arial" w:eastAsia="Arial" w:hAnsi="Arial"/>
                <w:sz w:val="15"/>
                <w:szCs w:val="15"/>
                <w:color w:val="auto"/>
              </w:rPr>
              <w:t>Valuation allowance at beginning of year</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(10,522)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(4,294)</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186"/>
        </w:trPr>
        <w:tc>
          <w:tcPr>
            <w:tcW w:w="4380" w:type="dxa"/>
            <w:vAlign w:val="bottom"/>
          </w:tcPr>
          <w:p>
            <w:pPr>
              <w:ind w:left="200"/>
              <w:spacing w:after="0"/>
              <w:rPr>
                <w:sz w:val="20"/>
                <w:szCs w:val="20"/>
                <w:color w:val="auto"/>
              </w:rPr>
            </w:pPr>
            <w:r>
              <w:rPr>
                <w:rFonts w:ascii="Arial" w:cs="Arial" w:eastAsia="Arial" w:hAnsi="Arial"/>
                <w:sz w:val="15"/>
                <w:szCs w:val="15"/>
                <w:color w:val="auto"/>
              </w:rPr>
              <w:t>Decreases recorded as benefit to income tax provision</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3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Increases recorded to income tax provision</w:t>
            </w: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(22,255)</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(6,228)</w:t>
            </w: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(2,695)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5"/>
                <w:szCs w:val="15"/>
                <w:color w:val="auto"/>
              </w:rPr>
              <w:t>Valuation allowance as of end of year</w:t>
            </w: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80" w:type="dxa"/>
            <w:vAlign w:val="bottom"/>
            <w:vMerge w:val="continue"/>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(32,777)</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(10,522)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(4,294)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Selected Quarterly Financial Data (Unaudited)</w:t>
      </w:r>
    </w:p>
    <w:p>
      <w:pPr>
        <w:spacing w:after="0" w:line="94" w:lineRule="exact"/>
        <w:rPr>
          <w:sz w:val="20"/>
          <w:szCs w:val="20"/>
          <w:color w:val="auto"/>
        </w:rPr>
      </w:pPr>
    </w:p>
    <w:p>
      <w:pPr>
        <w:ind w:right="100" w:firstLine="520"/>
        <w:spacing w:after="0" w:line="298" w:lineRule="auto"/>
        <w:rPr>
          <w:sz w:val="20"/>
          <w:szCs w:val="20"/>
          <w:color w:val="auto"/>
        </w:rPr>
      </w:pPr>
      <w:r>
        <w:rPr>
          <w:rFonts w:ascii="Arial" w:cs="Arial" w:eastAsia="Arial" w:hAnsi="Arial"/>
          <w:sz w:val="14"/>
          <w:szCs w:val="14"/>
          <w:color w:val="auto"/>
        </w:rPr>
        <w:t>The following table contains quarterly financial information for 2015 and 2014.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33"/>
              <w:spacing w:after="0"/>
              <w:rPr>
                <w:sz w:val="20"/>
                <w:szCs w:val="20"/>
                <w:color w:val="auto"/>
              </w:rPr>
            </w:pPr>
            <w:r>
              <w:rPr>
                <w:rFonts w:ascii="Arial" w:cs="Arial" w:eastAsia="Arial" w:hAnsi="Arial"/>
                <w:sz w:val="12"/>
                <w:szCs w:val="12"/>
                <w:b w:val="1"/>
                <w:bCs w:val="1"/>
                <w:color w:val="auto"/>
                <w:w w:val="89"/>
              </w:rPr>
              <w:t>2015</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5"/>
        </w:trPr>
        <w:tc>
          <w:tcPr>
            <w:tcW w:w="5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272"/>
              <w:spacing w:after="0" w:line="105" w:lineRule="exact"/>
              <w:rPr>
                <w:sz w:val="20"/>
                <w:szCs w:val="20"/>
                <w:color w:val="auto"/>
              </w:rPr>
            </w:pPr>
            <w:r>
              <w:rPr>
                <w:rFonts w:ascii="Arial" w:cs="Arial" w:eastAsia="Arial" w:hAnsi="Arial"/>
                <w:sz w:val="12"/>
                <w:szCs w:val="12"/>
                <w:b w:val="1"/>
                <w:bCs w:val="1"/>
                <w:color w:val="auto"/>
                <w:w w:val="92"/>
              </w:rPr>
              <w:t>First</w:t>
            </w:r>
          </w:p>
        </w:tc>
        <w:tc>
          <w:tcPr>
            <w:tcW w:w="280" w:type="dxa"/>
            <w:vAlign w:val="bottom"/>
          </w:tcPr>
          <w:p>
            <w:pPr>
              <w:spacing w:after="0"/>
              <w:rPr>
                <w:sz w:val="9"/>
                <w:szCs w:val="9"/>
                <w:color w:val="auto"/>
              </w:rPr>
            </w:pPr>
          </w:p>
        </w:tc>
        <w:tc>
          <w:tcPr>
            <w:tcW w:w="960" w:type="dxa"/>
            <w:vAlign w:val="bottom"/>
          </w:tcPr>
          <w:p>
            <w:pPr>
              <w:jc w:val="center"/>
              <w:ind w:right="252"/>
              <w:spacing w:after="0" w:line="105" w:lineRule="exact"/>
              <w:rPr>
                <w:sz w:val="20"/>
                <w:szCs w:val="20"/>
                <w:color w:val="auto"/>
              </w:rPr>
            </w:pPr>
            <w:r>
              <w:rPr>
                <w:rFonts w:ascii="Arial" w:cs="Arial" w:eastAsia="Arial" w:hAnsi="Arial"/>
                <w:sz w:val="12"/>
                <w:szCs w:val="12"/>
                <w:b w:val="1"/>
                <w:bCs w:val="1"/>
                <w:color w:val="auto"/>
                <w:w w:val="82"/>
              </w:rPr>
              <w:t>Second</w:t>
            </w:r>
          </w:p>
        </w:tc>
        <w:tc>
          <w:tcPr>
            <w:tcW w:w="280" w:type="dxa"/>
            <w:vAlign w:val="bottom"/>
          </w:tcPr>
          <w:p>
            <w:pPr>
              <w:spacing w:after="0"/>
              <w:rPr>
                <w:sz w:val="9"/>
                <w:szCs w:val="9"/>
                <w:color w:val="auto"/>
              </w:rPr>
            </w:pPr>
          </w:p>
        </w:tc>
        <w:tc>
          <w:tcPr>
            <w:tcW w:w="980" w:type="dxa"/>
            <w:vAlign w:val="bottom"/>
          </w:tcPr>
          <w:p>
            <w:pPr>
              <w:jc w:val="center"/>
              <w:ind w:right="253"/>
              <w:spacing w:after="0" w:line="105" w:lineRule="exact"/>
              <w:rPr>
                <w:sz w:val="20"/>
                <w:szCs w:val="20"/>
                <w:color w:val="auto"/>
              </w:rPr>
            </w:pPr>
            <w:r>
              <w:rPr>
                <w:rFonts w:ascii="Arial" w:cs="Arial" w:eastAsia="Arial" w:hAnsi="Arial"/>
                <w:sz w:val="12"/>
                <w:szCs w:val="12"/>
                <w:b w:val="1"/>
                <w:bCs w:val="1"/>
                <w:color w:val="auto"/>
                <w:w w:val="99"/>
              </w:rPr>
              <w:t>Third</w:t>
            </w:r>
          </w:p>
        </w:tc>
        <w:tc>
          <w:tcPr>
            <w:tcW w:w="280" w:type="dxa"/>
            <w:vAlign w:val="bottom"/>
          </w:tcPr>
          <w:p>
            <w:pPr>
              <w:spacing w:after="0"/>
              <w:rPr>
                <w:sz w:val="9"/>
                <w:szCs w:val="9"/>
                <w:color w:val="auto"/>
              </w:rPr>
            </w:pPr>
          </w:p>
        </w:tc>
        <w:tc>
          <w:tcPr>
            <w:tcW w:w="980" w:type="dxa"/>
            <w:vAlign w:val="bottom"/>
          </w:tcPr>
          <w:p>
            <w:pPr>
              <w:jc w:val="center"/>
              <w:ind w:right="272"/>
              <w:spacing w:after="0" w:line="105" w:lineRule="exact"/>
              <w:rPr>
                <w:sz w:val="20"/>
                <w:szCs w:val="20"/>
                <w:color w:val="auto"/>
              </w:rPr>
            </w:pPr>
            <w:r>
              <w:rPr>
                <w:rFonts w:ascii="Arial" w:cs="Arial" w:eastAsia="Arial" w:hAnsi="Arial"/>
                <w:sz w:val="12"/>
                <w:szCs w:val="12"/>
                <w:b w:val="1"/>
                <w:bCs w:val="1"/>
                <w:color w:val="auto"/>
                <w:w w:val="94"/>
              </w:rPr>
              <w:t>Fourth</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272"/>
              <w:spacing w:after="0"/>
              <w:rPr>
                <w:sz w:val="20"/>
                <w:szCs w:val="20"/>
                <w:color w:val="auto"/>
              </w:rPr>
            </w:pPr>
            <w:r>
              <w:rPr>
                <w:rFonts w:ascii="Arial" w:cs="Arial" w:eastAsia="Arial" w:hAnsi="Arial"/>
                <w:sz w:val="12"/>
                <w:szCs w:val="12"/>
                <w:b w:val="1"/>
                <w:bCs w:val="1"/>
                <w:color w:val="auto"/>
                <w:w w:val="92"/>
              </w:rPr>
              <w:t>Quarter</w:t>
            </w:r>
          </w:p>
        </w:tc>
        <w:tc>
          <w:tcPr>
            <w:tcW w:w="280" w:type="dxa"/>
            <w:vAlign w:val="bottom"/>
          </w:tcPr>
          <w:p>
            <w:pPr>
              <w:spacing w:after="0"/>
              <w:rPr>
                <w:sz w:val="11"/>
                <w:szCs w:val="11"/>
                <w:color w:val="auto"/>
              </w:rPr>
            </w:pPr>
          </w:p>
        </w:tc>
        <w:tc>
          <w:tcPr>
            <w:tcW w:w="960" w:type="dxa"/>
            <w:vAlign w:val="bottom"/>
          </w:tcPr>
          <w:p>
            <w:pPr>
              <w:jc w:val="center"/>
              <w:ind w:right="272"/>
              <w:spacing w:after="0"/>
              <w:rPr>
                <w:sz w:val="20"/>
                <w:szCs w:val="20"/>
                <w:color w:val="auto"/>
              </w:rPr>
            </w:pPr>
            <w:r>
              <w:rPr>
                <w:rFonts w:ascii="Arial" w:cs="Arial" w:eastAsia="Arial" w:hAnsi="Arial"/>
                <w:sz w:val="12"/>
                <w:szCs w:val="12"/>
                <w:b w:val="1"/>
                <w:bCs w:val="1"/>
                <w:color w:val="auto"/>
                <w:w w:val="96"/>
              </w:rPr>
              <w:t>Quarter</w:t>
            </w:r>
          </w:p>
        </w:tc>
        <w:tc>
          <w:tcPr>
            <w:tcW w:w="280" w:type="dxa"/>
            <w:vAlign w:val="bottom"/>
          </w:tcPr>
          <w:p>
            <w:pPr>
              <w:spacing w:after="0"/>
              <w:rPr>
                <w:sz w:val="11"/>
                <w:szCs w:val="11"/>
                <w:color w:val="auto"/>
              </w:rPr>
            </w:pPr>
          </w:p>
        </w:tc>
        <w:tc>
          <w:tcPr>
            <w:tcW w:w="980" w:type="dxa"/>
            <w:vAlign w:val="bottom"/>
          </w:tcPr>
          <w:p>
            <w:pPr>
              <w:jc w:val="center"/>
              <w:ind w:right="273"/>
              <w:spacing w:after="0"/>
              <w:rPr>
                <w:sz w:val="20"/>
                <w:szCs w:val="20"/>
                <w:color w:val="auto"/>
              </w:rPr>
            </w:pPr>
            <w:r>
              <w:rPr>
                <w:rFonts w:ascii="Arial" w:cs="Arial" w:eastAsia="Arial" w:hAnsi="Arial"/>
                <w:sz w:val="12"/>
                <w:szCs w:val="12"/>
                <w:b w:val="1"/>
                <w:bCs w:val="1"/>
                <w:color w:val="auto"/>
                <w:w w:val="92"/>
              </w:rPr>
              <w:t>Quarter</w:t>
            </w:r>
          </w:p>
        </w:tc>
        <w:tc>
          <w:tcPr>
            <w:tcW w:w="280" w:type="dxa"/>
            <w:vAlign w:val="bottom"/>
          </w:tcPr>
          <w:p>
            <w:pPr>
              <w:spacing w:after="0"/>
              <w:rPr>
                <w:sz w:val="11"/>
                <w:szCs w:val="11"/>
                <w:color w:val="auto"/>
              </w:rPr>
            </w:pPr>
          </w:p>
        </w:tc>
        <w:tc>
          <w:tcPr>
            <w:tcW w:w="980" w:type="dxa"/>
            <w:vAlign w:val="bottom"/>
          </w:tcPr>
          <w:p>
            <w:pPr>
              <w:jc w:val="center"/>
              <w:ind w:right="272"/>
              <w:spacing w:after="0"/>
              <w:rPr>
                <w:sz w:val="20"/>
                <w:szCs w:val="20"/>
                <w:color w:val="auto"/>
              </w:rPr>
            </w:pPr>
            <w:r>
              <w:rPr>
                <w:rFonts w:ascii="Arial" w:cs="Arial" w:eastAsia="Arial" w:hAnsi="Arial"/>
                <w:sz w:val="12"/>
                <w:szCs w:val="12"/>
                <w:b w:val="1"/>
                <w:bCs w:val="1"/>
                <w:color w:val="auto"/>
                <w:w w:val="92"/>
              </w:rPr>
              <w:t>Quarter</w:t>
            </w:r>
          </w:p>
        </w:tc>
        <w:tc>
          <w:tcPr>
            <w:tcW w:w="320" w:type="dxa"/>
            <w:vAlign w:val="bottom"/>
          </w:tcPr>
          <w:p>
            <w:pPr>
              <w:spacing w:after="0"/>
              <w:rPr>
                <w:sz w:val="11"/>
                <w:szCs w:val="11"/>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r>
      <w:tr>
        <w:trPr>
          <w:trHeight w:val="122"/>
        </w:trPr>
        <w:tc>
          <w:tcPr>
            <w:tcW w:w="5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92"/>
              <w:spacing w:after="0"/>
              <w:rPr>
                <w:sz w:val="20"/>
                <w:szCs w:val="20"/>
                <w:color w:val="auto"/>
              </w:rPr>
            </w:pPr>
            <w:r>
              <w:rPr>
                <w:rFonts w:ascii="Arial" w:cs="Arial" w:eastAsia="Arial" w:hAnsi="Arial"/>
                <w:sz w:val="15"/>
                <w:szCs w:val="15"/>
                <w:color w:val="auto"/>
              </w:rPr>
              <w:t>8,167</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5"/>
                <w:szCs w:val="15"/>
                <w:color w:val="auto"/>
              </w:rPr>
              <w:t>12,340</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5"/>
                <w:szCs w:val="15"/>
                <w:color w:val="auto"/>
              </w:rPr>
              <w:t>14,561</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72"/>
              <w:spacing w:after="0"/>
              <w:rPr>
                <w:sz w:val="20"/>
                <w:szCs w:val="20"/>
                <w:color w:val="auto"/>
              </w:rPr>
            </w:pPr>
            <w:r>
              <w:rPr>
                <w:rFonts w:ascii="Arial" w:cs="Arial" w:eastAsia="Arial" w:hAnsi="Arial"/>
                <w:sz w:val="15"/>
                <w:szCs w:val="15"/>
                <w:color w:val="auto"/>
              </w:rPr>
              <w:t>19,788</w:t>
            </w:r>
          </w:p>
        </w:tc>
        <w:tc>
          <w:tcPr>
            <w:tcW w:w="32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54,856</w:t>
            </w:r>
          </w:p>
        </w:tc>
        <w:tc>
          <w:tcPr>
            <w:tcW w:w="100" w:type="dxa"/>
            <w:vAlign w:val="bottom"/>
            <w:shd w:val="clear" w:color="auto" w:fill="CFF0FC"/>
          </w:tcPr>
          <w:p>
            <w:pPr>
              <w:spacing w:after="0"/>
              <w:rPr>
                <w:sz w:val="16"/>
                <w:szCs w:val="16"/>
                <w:color w:val="auto"/>
              </w:rPr>
            </w:pPr>
          </w:p>
        </w:tc>
      </w:tr>
      <w:tr>
        <w:trPr>
          <w:trHeight w:val="186"/>
        </w:trPr>
        <w:tc>
          <w:tcPr>
            <w:tcW w:w="5300" w:type="dxa"/>
            <w:vAlign w:val="bottom"/>
          </w:tcPr>
          <w:p>
            <w:pPr>
              <w:spacing w:after="0"/>
              <w:rPr>
                <w:sz w:val="20"/>
                <w:szCs w:val="20"/>
                <w:color w:val="auto"/>
              </w:rPr>
            </w:pPr>
            <w:r>
              <w:rPr>
                <w:rFonts w:ascii="Arial" w:cs="Arial" w:eastAsia="Arial" w:hAnsi="Arial"/>
                <w:sz w:val="15"/>
                <w:szCs w:val="15"/>
                <w:color w:val="auto"/>
              </w:rPr>
              <w:t>Loss from operations</w:t>
            </w:r>
          </w:p>
        </w:tc>
        <w:tc>
          <w:tcPr>
            <w:tcW w:w="18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5"/>
                <w:szCs w:val="15"/>
                <w:color w:val="auto"/>
              </w:rPr>
              <w:t>(8,167)</w:t>
            </w:r>
          </w:p>
        </w:tc>
        <w:tc>
          <w:tcPr>
            <w:tcW w:w="28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5"/>
                <w:szCs w:val="15"/>
                <w:color w:val="auto"/>
              </w:rPr>
              <w:t>(12,340)</w:t>
            </w:r>
          </w:p>
        </w:tc>
        <w:tc>
          <w:tcPr>
            <w:tcW w:w="2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5"/>
                <w:szCs w:val="15"/>
                <w:color w:val="auto"/>
              </w:rPr>
              <w:t>(14,561)</w:t>
            </w:r>
          </w:p>
        </w:tc>
        <w:tc>
          <w:tcPr>
            <w:tcW w:w="2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5"/>
                <w:szCs w:val="15"/>
                <w:color w:val="auto"/>
              </w:rPr>
              <w:t>(19,788)</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(54,856)</w:t>
            </w:r>
          </w:p>
        </w:tc>
      </w:tr>
      <w:tr>
        <w:trPr>
          <w:trHeight w:val="186"/>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5"/>
                <w:szCs w:val="15"/>
                <w:color w:val="auto"/>
              </w:rPr>
              <w:t>(7,971)</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5"/>
                <w:szCs w:val="15"/>
                <w:color w:val="auto"/>
              </w:rPr>
              <w:t>(12,555)</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5"/>
                <w:szCs w:val="15"/>
                <w:color w:val="auto"/>
              </w:rPr>
              <w:t>(14,620)</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5"/>
                <w:szCs w:val="15"/>
                <w:color w:val="auto"/>
              </w:rPr>
              <w:t>(19,634)</w:t>
            </w:r>
          </w:p>
        </w:tc>
        <w:tc>
          <w:tcPr>
            <w:tcW w:w="3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(54,780)</w:t>
            </w:r>
          </w:p>
        </w:tc>
      </w:tr>
      <w:tr>
        <w:trPr>
          <w:trHeight w:val="175"/>
        </w:trPr>
        <w:tc>
          <w:tcPr>
            <w:tcW w:w="5300" w:type="dxa"/>
            <w:vAlign w:val="bottom"/>
          </w:tcPr>
          <w:p>
            <w:pPr>
              <w:spacing w:after="0"/>
              <w:rPr>
                <w:sz w:val="20"/>
                <w:szCs w:val="20"/>
                <w:color w:val="auto"/>
              </w:rPr>
            </w:pPr>
            <w:r>
              <w:rPr>
                <w:rFonts w:ascii="Arial" w:cs="Arial" w:eastAsia="Arial" w:hAnsi="Arial"/>
                <w:sz w:val="15"/>
                <w:szCs w:val="15"/>
                <w:color w:val="auto"/>
              </w:rPr>
              <w:t>Net loss per share applicable to common</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5300" w:type="dxa"/>
            <w:vAlign w:val="bottom"/>
          </w:tcPr>
          <w:p>
            <w:pPr>
              <w:ind w:left="120"/>
              <w:spacing w:after="0"/>
              <w:rPr>
                <w:sz w:val="20"/>
                <w:szCs w:val="20"/>
                <w:color w:val="auto"/>
              </w:rPr>
            </w:pPr>
            <w:r>
              <w:rPr>
                <w:rFonts w:ascii="Arial" w:cs="Arial" w:eastAsia="Arial" w:hAnsi="Arial"/>
                <w:sz w:val="15"/>
                <w:szCs w:val="15"/>
                <w:color w:val="auto"/>
              </w:rPr>
              <w:t>stockholders -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5"/>
                <w:szCs w:val="15"/>
                <w:color w:val="auto"/>
              </w:rPr>
              <w:t>(1.15)</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2"/>
              <w:spacing w:after="0"/>
              <w:rPr>
                <w:sz w:val="20"/>
                <w:szCs w:val="20"/>
                <w:color w:val="auto"/>
              </w:rPr>
            </w:pPr>
            <w:r>
              <w:rPr>
                <w:rFonts w:ascii="Arial" w:cs="Arial" w:eastAsia="Arial" w:hAnsi="Arial"/>
                <w:sz w:val="15"/>
                <w:szCs w:val="15"/>
                <w:color w:val="auto"/>
              </w:rPr>
              <w:t>(1.45)</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3"/>
              <w:spacing w:after="0"/>
              <w:rPr>
                <w:sz w:val="20"/>
                <w:szCs w:val="20"/>
                <w:color w:val="auto"/>
              </w:rPr>
            </w:pPr>
            <w:r>
              <w:rPr>
                <w:rFonts w:ascii="Arial" w:cs="Arial" w:eastAsia="Arial" w:hAnsi="Arial"/>
                <w:sz w:val="15"/>
                <w:szCs w:val="15"/>
                <w:color w:val="auto"/>
              </w:rPr>
              <w:t>(0.38)</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2"/>
              <w:spacing w:after="0"/>
              <w:rPr>
                <w:sz w:val="20"/>
                <w:szCs w:val="20"/>
                <w:color w:val="auto"/>
              </w:rPr>
            </w:pPr>
            <w:r>
              <w:rPr>
                <w:rFonts w:ascii="Arial" w:cs="Arial" w:eastAsia="Arial" w:hAnsi="Arial"/>
                <w:sz w:val="15"/>
                <w:szCs w:val="15"/>
                <w:color w:val="auto"/>
              </w:rPr>
              <w:t>(0.50)</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(2.33)</w:t>
            </w:r>
          </w:p>
        </w:tc>
      </w:tr>
      <w:tr>
        <w:trPr>
          <w:trHeight w:val="361"/>
        </w:trPr>
        <w:tc>
          <w:tcPr>
            <w:tcW w:w="5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233"/>
              <w:spacing w:after="0"/>
              <w:rPr>
                <w:sz w:val="20"/>
                <w:szCs w:val="20"/>
                <w:color w:val="auto"/>
              </w:rPr>
            </w:pPr>
            <w:r>
              <w:rPr>
                <w:rFonts w:ascii="Arial" w:cs="Arial" w:eastAsia="Arial" w:hAnsi="Arial"/>
                <w:sz w:val="12"/>
                <w:szCs w:val="12"/>
                <w:b w:val="1"/>
                <w:bCs w:val="1"/>
                <w:color w:val="auto"/>
                <w:w w:val="89"/>
              </w:rPr>
              <w:t>2014</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5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272"/>
              <w:spacing w:after="0" w:line="105" w:lineRule="exact"/>
              <w:rPr>
                <w:sz w:val="20"/>
                <w:szCs w:val="20"/>
                <w:color w:val="auto"/>
              </w:rPr>
            </w:pPr>
            <w:r>
              <w:rPr>
                <w:rFonts w:ascii="Arial" w:cs="Arial" w:eastAsia="Arial" w:hAnsi="Arial"/>
                <w:sz w:val="12"/>
                <w:szCs w:val="12"/>
                <w:b w:val="1"/>
                <w:bCs w:val="1"/>
                <w:color w:val="auto"/>
                <w:w w:val="92"/>
              </w:rPr>
              <w:t>First</w:t>
            </w:r>
          </w:p>
        </w:tc>
        <w:tc>
          <w:tcPr>
            <w:tcW w:w="280" w:type="dxa"/>
            <w:vAlign w:val="bottom"/>
          </w:tcPr>
          <w:p>
            <w:pPr>
              <w:spacing w:after="0"/>
              <w:rPr>
                <w:sz w:val="9"/>
                <w:szCs w:val="9"/>
                <w:color w:val="auto"/>
              </w:rPr>
            </w:pPr>
          </w:p>
        </w:tc>
        <w:tc>
          <w:tcPr>
            <w:tcW w:w="960" w:type="dxa"/>
            <w:vAlign w:val="bottom"/>
          </w:tcPr>
          <w:p>
            <w:pPr>
              <w:jc w:val="center"/>
              <w:ind w:right="252"/>
              <w:spacing w:after="0" w:line="105" w:lineRule="exact"/>
              <w:rPr>
                <w:sz w:val="20"/>
                <w:szCs w:val="20"/>
                <w:color w:val="auto"/>
              </w:rPr>
            </w:pPr>
            <w:r>
              <w:rPr>
                <w:rFonts w:ascii="Arial" w:cs="Arial" w:eastAsia="Arial" w:hAnsi="Arial"/>
                <w:sz w:val="12"/>
                <w:szCs w:val="12"/>
                <w:b w:val="1"/>
                <w:bCs w:val="1"/>
                <w:color w:val="auto"/>
                <w:w w:val="82"/>
              </w:rPr>
              <w:t>Second</w:t>
            </w:r>
          </w:p>
        </w:tc>
        <w:tc>
          <w:tcPr>
            <w:tcW w:w="280" w:type="dxa"/>
            <w:vAlign w:val="bottom"/>
          </w:tcPr>
          <w:p>
            <w:pPr>
              <w:spacing w:after="0"/>
              <w:rPr>
                <w:sz w:val="9"/>
                <w:szCs w:val="9"/>
                <w:color w:val="auto"/>
              </w:rPr>
            </w:pPr>
          </w:p>
        </w:tc>
        <w:tc>
          <w:tcPr>
            <w:tcW w:w="980" w:type="dxa"/>
            <w:vAlign w:val="bottom"/>
          </w:tcPr>
          <w:p>
            <w:pPr>
              <w:jc w:val="center"/>
              <w:ind w:right="253"/>
              <w:spacing w:after="0" w:line="105" w:lineRule="exact"/>
              <w:rPr>
                <w:sz w:val="20"/>
                <w:szCs w:val="20"/>
                <w:color w:val="auto"/>
              </w:rPr>
            </w:pPr>
            <w:r>
              <w:rPr>
                <w:rFonts w:ascii="Arial" w:cs="Arial" w:eastAsia="Arial" w:hAnsi="Arial"/>
                <w:sz w:val="12"/>
                <w:szCs w:val="12"/>
                <w:b w:val="1"/>
                <w:bCs w:val="1"/>
                <w:color w:val="auto"/>
                <w:w w:val="99"/>
              </w:rPr>
              <w:t>Third</w:t>
            </w:r>
          </w:p>
        </w:tc>
        <w:tc>
          <w:tcPr>
            <w:tcW w:w="280" w:type="dxa"/>
            <w:vAlign w:val="bottom"/>
          </w:tcPr>
          <w:p>
            <w:pPr>
              <w:spacing w:after="0"/>
              <w:rPr>
                <w:sz w:val="9"/>
                <w:szCs w:val="9"/>
                <w:color w:val="auto"/>
              </w:rPr>
            </w:pPr>
          </w:p>
        </w:tc>
        <w:tc>
          <w:tcPr>
            <w:tcW w:w="980" w:type="dxa"/>
            <w:vAlign w:val="bottom"/>
          </w:tcPr>
          <w:p>
            <w:pPr>
              <w:jc w:val="center"/>
              <w:ind w:right="272"/>
              <w:spacing w:after="0" w:line="105" w:lineRule="exact"/>
              <w:rPr>
                <w:sz w:val="20"/>
                <w:szCs w:val="20"/>
                <w:color w:val="auto"/>
              </w:rPr>
            </w:pPr>
            <w:r>
              <w:rPr>
                <w:rFonts w:ascii="Arial" w:cs="Arial" w:eastAsia="Arial" w:hAnsi="Arial"/>
                <w:sz w:val="12"/>
                <w:szCs w:val="12"/>
                <w:b w:val="1"/>
                <w:bCs w:val="1"/>
                <w:color w:val="auto"/>
                <w:w w:val="94"/>
              </w:rPr>
              <w:t>Fourth</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272"/>
              <w:spacing w:after="0"/>
              <w:rPr>
                <w:sz w:val="20"/>
                <w:szCs w:val="20"/>
                <w:color w:val="auto"/>
              </w:rPr>
            </w:pPr>
            <w:r>
              <w:rPr>
                <w:rFonts w:ascii="Arial" w:cs="Arial" w:eastAsia="Arial" w:hAnsi="Arial"/>
                <w:sz w:val="12"/>
                <w:szCs w:val="12"/>
                <w:b w:val="1"/>
                <w:bCs w:val="1"/>
                <w:color w:val="auto"/>
                <w:w w:val="92"/>
              </w:rPr>
              <w:t>Quarter</w:t>
            </w:r>
          </w:p>
        </w:tc>
        <w:tc>
          <w:tcPr>
            <w:tcW w:w="280" w:type="dxa"/>
            <w:vAlign w:val="bottom"/>
          </w:tcPr>
          <w:p>
            <w:pPr>
              <w:spacing w:after="0"/>
              <w:rPr>
                <w:sz w:val="11"/>
                <w:szCs w:val="11"/>
                <w:color w:val="auto"/>
              </w:rPr>
            </w:pPr>
          </w:p>
        </w:tc>
        <w:tc>
          <w:tcPr>
            <w:tcW w:w="960" w:type="dxa"/>
            <w:vAlign w:val="bottom"/>
          </w:tcPr>
          <w:p>
            <w:pPr>
              <w:jc w:val="center"/>
              <w:ind w:right="272"/>
              <w:spacing w:after="0"/>
              <w:rPr>
                <w:sz w:val="20"/>
                <w:szCs w:val="20"/>
                <w:color w:val="auto"/>
              </w:rPr>
            </w:pPr>
            <w:r>
              <w:rPr>
                <w:rFonts w:ascii="Arial" w:cs="Arial" w:eastAsia="Arial" w:hAnsi="Arial"/>
                <w:sz w:val="12"/>
                <w:szCs w:val="12"/>
                <w:b w:val="1"/>
                <w:bCs w:val="1"/>
                <w:color w:val="auto"/>
                <w:w w:val="96"/>
              </w:rPr>
              <w:t>Quarter</w:t>
            </w:r>
          </w:p>
        </w:tc>
        <w:tc>
          <w:tcPr>
            <w:tcW w:w="280" w:type="dxa"/>
            <w:vAlign w:val="bottom"/>
          </w:tcPr>
          <w:p>
            <w:pPr>
              <w:spacing w:after="0"/>
              <w:rPr>
                <w:sz w:val="11"/>
                <w:szCs w:val="11"/>
                <w:color w:val="auto"/>
              </w:rPr>
            </w:pPr>
          </w:p>
        </w:tc>
        <w:tc>
          <w:tcPr>
            <w:tcW w:w="980" w:type="dxa"/>
            <w:vAlign w:val="bottom"/>
          </w:tcPr>
          <w:p>
            <w:pPr>
              <w:jc w:val="center"/>
              <w:ind w:right="273"/>
              <w:spacing w:after="0"/>
              <w:rPr>
                <w:sz w:val="20"/>
                <w:szCs w:val="20"/>
                <w:color w:val="auto"/>
              </w:rPr>
            </w:pPr>
            <w:r>
              <w:rPr>
                <w:rFonts w:ascii="Arial" w:cs="Arial" w:eastAsia="Arial" w:hAnsi="Arial"/>
                <w:sz w:val="12"/>
                <w:szCs w:val="12"/>
                <w:b w:val="1"/>
                <w:bCs w:val="1"/>
                <w:color w:val="auto"/>
                <w:w w:val="92"/>
              </w:rPr>
              <w:t>Quarter</w:t>
            </w:r>
          </w:p>
        </w:tc>
        <w:tc>
          <w:tcPr>
            <w:tcW w:w="280" w:type="dxa"/>
            <w:vAlign w:val="bottom"/>
          </w:tcPr>
          <w:p>
            <w:pPr>
              <w:spacing w:after="0"/>
              <w:rPr>
                <w:sz w:val="11"/>
                <w:szCs w:val="11"/>
                <w:color w:val="auto"/>
              </w:rPr>
            </w:pPr>
          </w:p>
        </w:tc>
        <w:tc>
          <w:tcPr>
            <w:tcW w:w="980" w:type="dxa"/>
            <w:vAlign w:val="bottom"/>
          </w:tcPr>
          <w:p>
            <w:pPr>
              <w:jc w:val="center"/>
              <w:ind w:right="272"/>
              <w:spacing w:after="0"/>
              <w:rPr>
                <w:sz w:val="20"/>
                <w:szCs w:val="20"/>
                <w:color w:val="auto"/>
              </w:rPr>
            </w:pPr>
            <w:r>
              <w:rPr>
                <w:rFonts w:ascii="Arial" w:cs="Arial" w:eastAsia="Arial" w:hAnsi="Arial"/>
                <w:sz w:val="12"/>
                <w:szCs w:val="12"/>
                <w:b w:val="1"/>
                <w:bCs w:val="1"/>
                <w:color w:val="auto"/>
                <w:w w:val="92"/>
              </w:rPr>
              <w:t>Quarter</w:t>
            </w:r>
          </w:p>
        </w:tc>
        <w:tc>
          <w:tcPr>
            <w:tcW w:w="320" w:type="dxa"/>
            <w:vAlign w:val="bottom"/>
          </w:tcPr>
          <w:p>
            <w:pPr>
              <w:spacing w:after="0"/>
              <w:rPr>
                <w:sz w:val="11"/>
                <w:szCs w:val="11"/>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r>
      <w:tr>
        <w:trPr>
          <w:trHeight w:val="122"/>
        </w:trPr>
        <w:tc>
          <w:tcPr>
            <w:tcW w:w="5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92"/>
              <w:spacing w:after="0"/>
              <w:rPr>
                <w:sz w:val="20"/>
                <w:szCs w:val="20"/>
                <w:color w:val="auto"/>
              </w:rPr>
            </w:pPr>
            <w:r>
              <w:rPr>
                <w:rFonts w:ascii="Arial" w:cs="Arial" w:eastAsia="Arial" w:hAnsi="Arial"/>
                <w:sz w:val="15"/>
                <w:szCs w:val="15"/>
                <w:color w:val="auto"/>
              </w:rPr>
              <w:t>1,672</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5"/>
                <w:szCs w:val="15"/>
                <w:color w:val="auto"/>
              </w:rPr>
              <w:t>2,618</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5"/>
                <w:szCs w:val="15"/>
                <w:color w:val="auto"/>
              </w:rPr>
              <w:t>3,579</w:t>
            </w:r>
          </w:p>
        </w:tc>
        <w:tc>
          <w:tcPr>
            <w:tcW w:w="28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72"/>
              <w:spacing w:after="0"/>
              <w:rPr>
                <w:sz w:val="20"/>
                <w:szCs w:val="20"/>
                <w:color w:val="auto"/>
              </w:rPr>
            </w:pPr>
            <w:r>
              <w:rPr>
                <w:rFonts w:ascii="Arial" w:cs="Arial" w:eastAsia="Arial" w:hAnsi="Arial"/>
                <w:sz w:val="15"/>
                <w:szCs w:val="15"/>
                <w:color w:val="auto"/>
              </w:rPr>
              <w:t>7,213</w:t>
            </w:r>
          </w:p>
        </w:tc>
        <w:tc>
          <w:tcPr>
            <w:tcW w:w="32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15,082</w:t>
            </w:r>
          </w:p>
        </w:tc>
        <w:tc>
          <w:tcPr>
            <w:tcW w:w="100" w:type="dxa"/>
            <w:vAlign w:val="bottom"/>
            <w:shd w:val="clear" w:color="auto" w:fill="CFF0FC"/>
          </w:tcPr>
          <w:p>
            <w:pPr>
              <w:spacing w:after="0"/>
              <w:rPr>
                <w:sz w:val="16"/>
                <w:szCs w:val="16"/>
                <w:color w:val="auto"/>
              </w:rPr>
            </w:pPr>
          </w:p>
        </w:tc>
      </w:tr>
      <w:tr>
        <w:trPr>
          <w:trHeight w:val="186"/>
        </w:trPr>
        <w:tc>
          <w:tcPr>
            <w:tcW w:w="5300" w:type="dxa"/>
            <w:vAlign w:val="bottom"/>
          </w:tcPr>
          <w:p>
            <w:pPr>
              <w:spacing w:after="0"/>
              <w:rPr>
                <w:sz w:val="20"/>
                <w:szCs w:val="20"/>
                <w:color w:val="auto"/>
              </w:rPr>
            </w:pPr>
            <w:r>
              <w:rPr>
                <w:rFonts w:ascii="Arial" w:cs="Arial" w:eastAsia="Arial" w:hAnsi="Arial"/>
                <w:sz w:val="15"/>
                <w:szCs w:val="15"/>
                <w:color w:val="auto"/>
              </w:rPr>
              <w:t>Loss from operations</w:t>
            </w:r>
          </w:p>
        </w:tc>
        <w:tc>
          <w:tcPr>
            <w:tcW w:w="18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5"/>
                <w:szCs w:val="15"/>
                <w:color w:val="auto"/>
              </w:rPr>
              <w:t>(1,672)</w:t>
            </w:r>
          </w:p>
        </w:tc>
        <w:tc>
          <w:tcPr>
            <w:tcW w:w="28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5"/>
                <w:szCs w:val="15"/>
                <w:color w:val="auto"/>
              </w:rPr>
              <w:t>(2,618)</w:t>
            </w:r>
          </w:p>
        </w:tc>
        <w:tc>
          <w:tcPr>
            <w:tcW w:w="28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5"/>
                <w:szCs w:val="15"/>
                <w:color w:val="auto"/>
              </w:rPr>
              <w:t>(3,579)</w:t>
            </w:r>
          </w:p>
        </w:tc>
        <w:tc>
          <w:tcPr>
            <w:tcW w:w="28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5"/>
                <w:szCs w:val="15"/>
                <w:color w:val="auto"/>
              </w:rPr>
              <w:t>(7,213)</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(15,082)</w:t>
            </w:r>
          </w:p>
        </w:tc>
      </w:tr>
      <w:tr>
        <w:trPr>
          <w:trHeight w:val="186"/>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5"/>
                <w:szCs w:val="15"/>
                <w:color w:val="auto"/>
              </w:rPr>
              <w:t>(1,689)</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5"/>
                <w:szCs w:val="15"/>
                <w:color w:val="auto"/>
              </w:rPr>
              <w:t>(2,677)</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5"/>
                <w:szCs w:val="15"/>
                <w:color w:val="auto"/>
              </w:rPr>
              <w:t>(4,161)</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5"/>
                <w:szCs w:val="15"/>
                <w:color w:val="auto"/>
              </w:rPr>
              <w:t>(8,182)</w:t>
            </w:r>
          </w:p>
        </w:tc>
        <w:tc>
          <w:tcPr>
            <w:tcW w:w="3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(16,709)</w:t>
            </w:r>
          </w:p>
        </w:tc>
      </w:tr>
      <w:tr>
        <w:trPr>
          <w:trHeight w:val="175"/>
        </w:trPr>
        <w:tc>
          <w:tcPr>
            <w:tcW w:w="5300" w:type="dxa"/>
            <w:vAlign w:val="bottom"/>
          </w:tcPr>
          <w:p>
            <w:pPr>
              <w:spacing w:after="0"/>
              <w:rPr>
                <w:sz w:val="20"/>
                <w:szCs w:val="20"/>
                <w:color w:val="auto"/>
              </w:rPr>
            </w:pPr>
            <w:r>
              <w:rPr>
                <w:rFonts w:ascii="Arial" w:cs="Arial" w:eastAsia="Arial" w:hAnsi="Arial"/>
                <w:sz w:val="15"/>
                <w:szCs w:val="15"/>
                <w:color w:val="auto"/>
              </w:rPr>
              <w:t>Net loss per share applicable to common</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5300" w:type="dxa"/>
            <w:vAlign w:val="bottom"/>
          </w:tcPr>
          <w:p>
            <w:pPr>
              <w:ind w:left="120"/>
              <w:spacing w:after="0"/>
              <w:rPr>
                <w:sz w:val="20"/>
                <w:szCs w:val="20"/>
                <w:color w:val="auto"/>
              </w:rPr>
            </w:pPr>
            <w:r>
              <w:rPr>
                <w:rFonts w:ascii="Arial" w:cs="Arial" w:eastAsia="Arial" w:hAnsi="Arial"/>
                <w:sz w:val="15"/>
                <w:szCs w:val="15"/>
                <w:color w:val="auto"/>
              </w:rPr>
              <w:t>stockholders -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5"/>
                <w:szCs w:val="15"/>
                <w:color w:val="auto"/>
              </w:rPr>
              <w:t>(0.29)</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2"/>
              <w:spacing w:after="0"/>
              <w:rPr>
                <w:sz w:val="20"/>
                <w:szCs w:val="20"/>
                <w:color w:val="auto"/>
              </w:rPr>
            </w:pPr>
            <w:r>
              <w:rPr>
                <w:rFonts w:ascii="Arial" w:cs="Arial" w:eastAsia="Arial" w:hAnsi="Arial"/>
                <w:sz w:val="15"/>
                <w:szCs w:val="15"/>
                <w:color w:val="auto"/>
              </w:rPr>
              <w:t>(0.45)</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3"/>
              <w:spacing w:after="0"/>
              <w:rPr>
                <w:sz w:val="20"/>
                <w:szCs w:val="20"/>
                <w:color w:val="auto"/>
              </w:rPr>
            </w:pPr>
            <w:r>
              <w:rPr>
                <w:rFonts w:ascii="Arial" w:cs="Arial" w:eastAsia="Arial" w:hAnsi="Arial"/>
                <w:sz w:val="15"/>
                <w:szCs w:val="15"/>
                <w:color w:val="auto"/>
              </w:rPr>
              <w:t>(0.68)</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2"/>
              <w:spacing w:after="0"/>
              <w:rPr>
                <w:sz w:val="20"/>
                <w:szCs w:val="20"/>
                <w:color w:val="auto"/>
              </w:rPr>
            </w:pPr>
            <w:r>
              <w:rPr>
                <w:rFonts w:ascii="Arial" w:cs="Arial" w:eastAsia="Arial" w:hAnsi="Arial"/>
                <w:sz w:val="15"/>
                <w:szCs w:val="15"/>
                <w:color w:val="auto"/>
              </w:rPr>
              <w:t>(1.24)</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(2.67)</w:t>
            </w:r>
          </w:p>
        </w:tc>
      </w:tr>
    </w:tbl>
    <w:p>
      <w:pPr>
        <w:spacing w:after="0" w:line="313"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94" w:lineRule="exact"/>
        <w:rPr>
          <w:sz w:val="20"/>
          <w:szCs w:val="20"/>
          <w:color w:val="auto"/>
        </w:rPr>
      </w:pPr>
    </w:p>
    <w:p>
      <w:pPr>
        <w:ind w:right="100" w:firstLine="520"/>
        <w:spacing w:after="0" w:line="273" w:lineRule="auto"/>
        <w:rPr>
          <w:sz w:val="20"/>
          <w:szCs w:val="20"/>
          <w:color w:val="auto"/>
        </w:rPr>
      </w:pPr>
      <w:r>
        <w:rPr>
          <w:rFonts w:ascii="Arial" w:cs="Arial" w:eastAsia="Arial" w:hAnsi="Arial"/>
          <w:sz w:val="14"/>
          <w:szCs w:val="14"/>
          <w:color w:val="auto"/>
        </w:rPr>
        <w:t>In October 2010, the Company entered into a services agreement with Flagship Ventures Management, Inc., an affiliate of one of its stockholders, Flagship Venture Funds, to provide general and administrative services to the Company, including the employer portions of employee health and dental benefit plans for Seres Therapeutics employees and consulting services. The Company made payments under the agreement of $502, $454 and $391 during the years ended December 31, 2015, 2014 and 2013, respectively. There were no amounts due to Flagship Ventures Management, Inc. related to the services agreement as of December 31, 2015 and 2014.</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5"/>
          <w:szCs w:val="15"/>
          <w:b w:val="1"/>
          <w:bCs w:val="1"/>
          <w:color w:val="auto"/>
        </w:rPr>
        <w:t>SERES THERAPEUTICS,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and per share data)</w:t>
      </w:r>
    </w:p>
    <w:p>
      <w:pPr>
        <w:spacing w:after="0" w:line="338"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401(k) Savings Plan</w:t>
      </w:r>
    </w:p>
    <w:p>
      <w:pPr>
        <w:spacing w:after="0" w:line="94" w:lineRule="exact"/>
        <w:rPr>
          <w:sz w:val="20"/>
          <w:szCs w:val="20"/>
          <w:color w:val="auto"/>
        </w:rPr>
      </w:pPr>
    </w:p>
    <w:p>
      <w:pPr>
        <w:ind w:right="60" w:firstLine="520"/>
        <w:spacing w:after="0" w:line="279" w:lineRule="auto"/>
        <w:rPr>
          <w:sz w:val="20"/>
          <w:szCs w:val="20"/>
          <w:color w:val="auto"/>
        </w:rPr>
      </w:pPr>
      <w:r>
        <w:rPr>
          <w:rFonts w:ascii="Arial" w:cs="Arial" w:eastAsia="Arial" w:hAnsi="Arial"/>
          <w:sz w:val="14"/>
          <w:szCs w:val="14"/>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not made any contributions to date under the 401(k) Savings Plan as of December 31, 2015.</w:t>
      </w:r>
    </w:p>
    <w:p>
      <w:pPr>
        <w:spacing w:after="0" w:line="288"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94" w:lineRule="exact"/>
        <w:rPr>
          <w:sz w:val="20"/>
          <w:szCs w:val="20"/>
          <w:color w:val="auto"/>
        </w:rPr>
      </w:pPr>
    </w:p>
    <w:p>
      <w:pPr>
        <w:ind w:right="160" w:firstLine="520"/>
        <w:spacing w:after="0" w:line="252" w:lineRule="auto"/>
        <w:rPr>
          <w:sz w:val="20"/>
          <w:szCs w:val="20"/>
          <w:color w:val="auto"/>
        </w:rPr>
      </w:pPr>
      <w:r>
        <w:rPr>
          <w:rFonts w:ascii="Arial" w:cs="Arial" w:eastAsia="Arial" w:hAnsi="Arial"/>
          <w:sz w:val="15"/>
          <w:szCs w:val="15"/>
          <w:color w:val="auto"/>
        </w:rPr>
        <w:t>In January 2016 the Company entered into a Collaboration and License Agreement (the “License Agreement”) with Nestec Ltd. (“NHS”) for the development and commercialization of certain of the Company’s product candidates in development for the treatment and management of CDI and IBD, including ulcerative colitis and Crohn’s disease. NHS is a related party to the Company since an affiliate of NHS is one of the Company’s stockholders.</w:t>
      </w:r>
    </w:p>
    <w:p>
      <w:pPr>
        <w:spacing w:after="0" w:line="157" w:lineRule="exact"/>
        <w:rPr>
          <w:sz w:val="20"/>
          <w:szCs w:val="20"/>
          <w:color w:val="auto"/>
        </w:rPr>
      </w:pPr>
    </w:p>
    <w:p>
      <w:pPr>
        <w:ind w:right="60" w:firstLine="520"/>
        <w:spacing w:after="0" w:line="252" w:lineRule="auto"/>
        <w:rPr>
          <w:sz w:val="20"/>
          <w:szCs w:val="20"/>
          <w:color w:val="auto"/>
        </w:rPr>
      </w:pPr>
      <w:r>
        <w:rPr>
          <w:rFonts w:ascii="Arial" w:cs="Arial" w:eastAsia="Arial" w:hAnsi="Arial"/>
          <w:sz w:val="15"/>
          <w:szCs w:val="15"/>
          <w:color w:val="auto"/>
        </w:rPr>
        <w:t>The License Agreement will support the development of the Company’s portfolio of products for CDI and IBD in markets outside of the United States and Canada (the “Licensed Territory”) and is expected to provide financial support for the Company’s ongoing research and development. The Company has retained full commercial rights to the Company’s entire portfolio of product candidates with respect to the United States and Canada.</w:t>
      </w:r>
    </w:p>
    <w:p>
      <w:pPr>
        <w:spacing w:after="0" w:line="157" w:lineRule="exact"/>
        <w:rPr>
          <w:sz w:val="20"/>
          <w:szCs w:val="20"/>
          <w:color w:val="auto"/>
        </w:rPr>
      </w:pPr>
    </w:p>
    <w:p>
      <w:pPr>
        <w:jc w:val="both"/>
        <w:ind w:right="160" w:firstLine="520"/>
        <w:spacing w:after="0" w:line="346" w:lineRule="auto"/>
        <w:rPr>
          <w:sz w:val="20"/>
          <w:szCs w:val="20"/>
          <w:color w:val="auto"/>
        </w:rPr>
      </w:pPr>
      <w:r>
        <w:rPr>
          <w:rFonts w:ascii="Arial" w:cs="Arial" w:eastAsia="Arial" w:hAnsi="Arial"/>
          <w:sz w:val="12"/>
          <w:szCs w:val="12"/>
          <w:color w:val="auto"/>
        </w:rPr>
        <w:t>Under the License Agreement, the Company granted to NHS (i) an exclusive, royalty-bearing license to develop and commercialize, in the Licensed Territory, certain products based on the Company’s microbiome technology that are being developed for the treatment of CDI and IBD, including SER-109, SER-262, SER-287 and SER-301 (collectively, the “NHS Collaboration Products”) and (ii) a non-exclusive license to develop, make and export NHS Collaboration Products worldwide solely for the commercialization in the Licensed Territory.</w:t>
      </w:r>
    </w:p>
    <w:p>
      <w:pPr>
        <w:spacing w:after="0" w:line="103" w:lineRule="exact"/>
        <w:rPr>
          <w:sz w:val="20"/>
          <w:szCs w:val="20"/>
          <w:color w:val="auto"/>
        </w:rPr>
      </w:pPr>
    </w:p>
    <w:p>
      <w:pPr>
        <w:ind w:firstLine="520"/>
        <w:spacing w:after="0" w:line="249" w:lineRule="auto"/>
        <w:rPr>
          <w:sz w:val="20"/>
          <w:szCs w:val="20"/>
          <w:color w:val="auto"/>
        </w:rPr>
      </w:pPr>
      <w:r>
        <w:rPr>
          <w:rFonts w:ascii="Arial" w:cs="Arial" w:eastAsia="Arial" w:hAnsi="Arial"/>
          <w:sz w:val="15"/>
          <w:szCs w:val="15"/>
          <w:color w:val="auto"/>
        </w:rPr>
        <w:t>In exchange for the license, NHS is obligated to pay the Company an upfront cash payment of $120,000, which the Company received in February 2016. NHS has also agreed to pay the Company tiered royalties, at percentages ranging from the high single digits to high teens, of net sales of NHS Collaboration Products in the Licensed Territory. Additionally, NHS has agreed to pay the Company up to $660,000 for the achievement of certain development and regulatory milestones and up to an aggregate of $1,125,000 for the achievement of certain commercial milestones related to the sales of NHS Collaboration Products.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5"/>
          <w:szCs w:val="15"/>
          <w:b w:val="1"/>
          <w:bCs w:val="1"/>
          <w:color w:val="auto"/>
        </w:rPr>
        <w:t>SIGNATURES</w:t>
      </w:r>
    </w:p>
    <w:p>
      <w:pPr>
        <w:spacing w:after="0" w:line="182" w:lineRule="exact"/>
        <w:rPr>
          <w:sz w:val="20"/>
          <w:szCs w:val="20"/>
          <w:color w:val="auto"/>
        </w:rPr>
      </w:pPr>
    </w:p>
    <w:p>
      <w:pPr>
        <w:ind w:right="500" w:firstLine="520"/>
        <w:spacing w:after="0" w:line="262"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0" w:lineRule="exact"/>
        <w:rPr>
          <w:sz w:val="20"/>
          <w:szCs w:val="20"/>
          <w:color w:val="auto"/>
        </w:rPr>
      </w:pPr>
    </w:p>
    <w:p>
      <w:pPr>
        <w:ind w:left="7520"/>
        <w:spacing w:after="0"/>
        <w:rPr>
          <w:sz w:val="20"/>
          <w:szCs w:val="20"/>
          <w:color w:val="auto"/>
        </w:rPr>
      </w:pPr>
      <w:r>
        <w:rPr>
          <w:rFonts w:ascii="Arial" w:cs="Arial" w:eastAsia="Arial" w:hAnsi="Arial"/>
          <w:sz w:val="15"/>
          <w:szCs w:val="15"/>
          <w:b w:val="1"/>
          <w:bCs w:val="1"/>
          <w:color w:val="auto"/>
        </w:rPr>
        <w:t>SERES THERAPEUTICS, INC.</w:t>
      </w:r>
    </w:p>
    <w:p>
      <w:pPr>
        <w:spacing w:after="0" w:line="225" w:lineRule="exact"/>
        <w:rPr>
          <w:sz w:val="20"/>
          <w:szCs w:val="20"/>
          <w:color w:val="auto"/>
        </w:rPr>
      </w:pPr>
    </w:p>
    <w:p>
      <w:pPr>
        <w:ind w:left="20"/>
        <w:spacing w:after="0"/>
        <w:tabs>
          <w:tab w:leader="none" w:pos="7500" w:val="left"/>
          <w:tab w:leader="none" w:pos="8120" w:val="left"/>
        </w:tabs>
        <w:rPr>
          <w:sz w:val="20"/>
          <w:szCs w:val="20"/>
          <w:color w:val="auto"/>
        </w:rPr>
      </w:pPr>
      <w:r>
        <w:rPr>
          <w:rFonts w:ascii="Arial" w:cs="Arial" w:eastAsia="Arial" w:hAnsi="Arial"/>
          <w:sz w:val="15"/>
          <w:szCs w:val="15"/>
          <w:color w:val="auto"/>
        </w:rPr>
        <w:t>Date: March 14, 2016</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Roger J. Pomerantz</w:t>
      </w:r>
    </w:p>
    <w:p>
      <w:pPr>
        <w:spacing w:after="0" w:line="13" w:lineRule="exact"/>
        <w:rPr>
          <w:sz w:val="20"/>
          <w:szCs w:val="20"/>
          <w:color w:val="auto"/>
        </w:rPr>
      </w:pPr>
    </w:p>
    <w:p>
      <w:pPr>
        <w:ind w:left="8140"/>
        <w:spacing w:after="0"/>
        <w:rPr>
          <w:sz w:val="20"/>
          <w:szCs w:val="20"/>
          <w:color w:val="auto"/>
        </w:rPr>
      </w:pPr>
      <w:r>
        <w:rPr>
          <w:rFonts w:ascii="Arial" w:cs="Arial" w:eastAsia="Arial" w:hAnsi="Arial"/>
          <w:sz w:val="15"/>
          <w:szCs w:val="15"/>
          <w:color w:val="auto"/>
        </w:rPr>
        <w:t>Roger J. Pomerantz</w:t>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2"/>
          <w:szCs w:val="12"/>
          <w:i w:val="1"/>
          <w:iCs w:val="1"/>
          <w:color w:val="auto"/>
        </w:rPr>
        <w:t>President, Chief Executive Officer and Chairman of the</w:t>
      </w:r>
    </w:p>
    <w:p>
      <w:pPr>
        <w:spacing w:after="0" w:line="37" w:lineRule="exact"/>
        <w:rPr>
          <w:sz w:val="20"/>
          <w:szCs w:val="20"/>
          <w:color w:val="auto"/>
        </w:rPr>
      </w:pPr>
    </w:p>
    <w:p>
      <w:pPr>
        <w:ind w:left="8140"/>
        <w:spacing w:after="0"/>
        <w:rPr>
          <w:sz w:val="20"/>
          <w:szCs w:val="20"/>
          <w:color w:val="auto"/>
        </w:rPr>
      </w:pPr>
      <w:r>
        <w:rPr>
          <w:rFonts w:ascii="Arial" w:cs="Arial" w:eastAsia="Arial" w:hAnsi="Arial"/>
          <w:sz w:val="15"/>
          <w:szCs w:val="15"/>
          <w:i w:val="1"/>
          <w:iCs w:val="1"/>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520"/>
        <w:spacing w:after="0" w:line="262"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60"/>
          </w:cols>
          <w:pgMar w:left="220" w:top="475" w:right="219" w:bottom="1440" w:gutter="0" w:footer="0" w:header="0"/>
        </w:sectPr>
      </w:pPr>
    </w:p>
    <w:p>
      <w:pPr>
        <w:spacing w:after="0" w:line="164" w:lineRule="exact"/>
        <w:rPr>
          <w:sz w:val="20"/>
          <w:szCs w:val="20"/>
          <w:color w:val="auto"/>
        </w:rPr>
      </w:pPr>
    </w:p>
    <w:p>
      <w:pPr>
        <w:jc w:val="center"/>
        <w:ind w:left="620"/>
        <w:spacing w:after="0"/>
        <w:rPr>
          <w:sz w:val="20"/>
          <w:szCs w:val="20"/>
          <w:color w:val="auto"/>
        </w:rPr>
      </w:pPr>
      <w:r>
        <w:rPr>
          <w:rFonts w:ascii="Arial" w:cs="Arial" w:eastAsia="Arial" w:hAnsi="Arial"/>
          <w:sz w:val="12"/>
          <w:szCs w:val="12"/>
          <w:b w:val="1"/>
          <w:bCs w:val="1"/>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5495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/s/ Roger J.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2"/>
          <w:szCs w:val="12"/>
          <w:color w:val="231F20"/>
        </w:rPr>
        <w:t>Roger J. Pomerantz, M.D.</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Eric D. Shaff</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/s/ Noubar B. Afeyan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2"/>
          <w:szCs w:val="12"/>
          <w:color w:val="231F20"/>
        </w:rPr>
        <w:t>Noubar B. Afeyan, Ph.D.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/s/ Dennis Ausiello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Dennis Ausiello, M.D.</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 Grégory Behar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Grégory Behar</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2"/>
          <w:szCs w:val="12"/>
          <w:color w:val="231F20"/>
        </w:rPr>
        <w:t>Werner Cautreels, Ph.D.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/s/ Kurt C.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Kurt C. Graves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231F20"/>
        </w:rPr>
        <w:t>/s/ Peter Barton Hutt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Peter Barton Hutt</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 Richard N. Kender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Richard N. Kender</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 Lorence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5"/>
          <w:szCs w:val="15"/>
          <w:color w:val="231F20"/>
        </w:rPr>
        <w:t>Lorence H. Kim, M.D.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000" w:type="dxa"/>
            <w:vAlign w:val="bottom"/>
            <w:tcBorders>
              <w:bottom w:val="single" w:sz="8" w:color="auto"/>
            </w:tcBorders>
          </w:tcPr>
          <w:p>
            <w:pPr>
              <w:ind w:left="1880"/>
              <w:spacing w:after="0"/>
              <w:rPr>
                <w:sz w:val="20"/>
                <w:szCs w:val="20"/>
                <w:color w:val="auto"/>
              </w:rPr>
            </w:pPr>
            <w:r>
              <w:rPr>
                <w:rFonts w:ascii="Arial" w:cs="Arial" w:eastAsia="Arial" w:hAnsi="Arial"/>
                <w:sz w:val="12"/>
                <w:szCs w:val="12"/>
                <w:b w:val="1"/>
                <w:bCs w:val="1"/>
                <w:color w:val="231F20"/>
              </w:rPr>
              <w:t>Title</w:t>
            </w:r>
          </w:p>
        </w:tc>
        <w:tc>
          <w:tcPr>
            <w:tcW w:w="120" w:type="dxa"/>
            <w:vAlign w:val="bottom"/>
          </w:tcPr>
          <w:p>
            <w:pPr>
              <w:spacing w:after="0"/>
              <w:rPr>
                <w:sz w:val="12"/>
                <w:szCs w:val="12"/>
                <w:color w:val="auto"/>
              </w:rPr>
            </w:pPr>
          </w:p>
        </w:tc>
        <w:tc>
          <w:tcPr>
            <w:tcW w:w="3200" w:type="dxa"/>
            <w:vAlign w:val="bottom"/>
            <w:tcBorders>
              <w:bottom w:val="single" w:sz="8" w:color="auto"/>
            </w:tcBorders>
          </w:tcPr>
          <w:p>
            <w:pPr>
              <w:ind w:left="1480"/>
              <w:spacing w:after="0"/>
              <w:rPr>
                <w:sz w:val="20"/>
                <w:szCs w:val="20"/>
                <w:color w:val="auto"/>
              </w:rPr>
            </w:pPr>
            <w:r>
              <w:rPr>
                <w:rFonts w:ascii="Arial" w:cs="Arial" w:eastAsia="Arial" w:hAnsi="Arial"/>
                <w:sz w:val="12"/>
                <w:szCs w:val="12"/>
                <w:b w:val="1"/>
                <w:bCs w:val="1"/>
                <w:color w:val="231F20"/>
              </w:rPr>
              <w:t>Date</w:t>
            </w:r>
          </w:p>
        </w:tc>
      </w:tr>
      <w:tr>
        <w:trPr>
          <w:trHeight w:val="276"/>
        </w:trPr>
        <w:tc>
          <w:tcPr>
            <w:tcW w:w="4120" w:type="dxa"/>
            <w:vAlign w:val="bottom"/>
            <w:gridSpan w:val="2"/>
          </w:tcPr>
          <w:p>
            <w:pPr>
              <w:spacing w:after="0"/>
              <w:rPr>
                <w:sz w:val="20"/>
                <w:szCs w:val="20"/>
                <w:color w:val="auto"/>
              </w:rPr>
            </w:pPr>
            <w:r>
              <w:rPr>
                <w:rFonts w:ascii="Arial" w:cs="Arial" w:eastAsia="Arial" w:hAnsi="Arial"/>
                <w:sz w:val="15"/>
                <w:szCs w:val="15"/>
                <w:color w:val="231F20"/>
              </w:rPr>
              <w:t>President, Chief Executive Officer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175"/>
        </w:trPr>
        <w:tc>
          <w:tcPr>
            <w:tcW w:w="4120" w:type="dxa"/>
            <w:vAlign w:val="bottom"/>
            <w:gridSpan w:val="2"/>
          </w:tcPr>
          <w:p>
            <w:pPr>
              <w:spacing w:after="0"/>
              <w:rPr>
                <w:sz w:val="20"/>
                <w:szCs w:val="20"/>
                <w:color w:val="auto"/>
              </w:rPr>
            </w:pPr>
            <w:r>
              <w:rPr>
                <w:rFonts w:ascii="Arial" w:cs="Arial" w:eastAsia="Arial" w:hAnsi="Arial"/>
                <w:sz w:val="15"/>
                <w:szCs w:val="15"/>
                <w:color w:val="231F20"/>
              </w:rPr>
              <w:t>and Chairman of the Board</w:t>
            </w:r>
          </w:p>
        </w:tc>
        <w:tc>
          <w:tcPr>
            <w:tcW w:w="3200" w:type="dxa"/>
            <w:vAlign w:val="bottom"/>
          </w:tcPr>
          <w:p>
            <w:pPr>
              <w:spacing w:after="0"/>
              <w:rPr>
                <w:sz w:val="15"/>
                <w:szCs w:val="15"/>
                <w:color w:val="auto"/>
              </w:rPr>
            </w:pPr>
          </w:p>
        </w:tc>
      </w:tr>
      <w:tr>
        <w:trPr>
          <w:trHeight w:val="186"/>
        </w:trPr>
        <w:tc>
          <w:tcPr>
            <w:tcW w:w="4120" w:type="dxa"/>
            <w:vAlign w:val="bottom"/>
            <w:gridSpan w:val="2"/>
          </w:tcPr>
          <w:p>
            <w:pPr>
              <w:spacing w:after="0"/>
              <w:rPr>
                <w:sz w:val="20"/>
                <w:szCs w:val="20"/>
                <w:color w:val="auto"/>
              </w:rPr>
            </w:pPr>
            <w:r>
              <w:rPr>
                <w:rFonts w:ascii="Arial" w:cs="Arial" w:eastAsia="Arial" w:hAnsi="Arial"/>
                <w:sz w:val="15"/>
                <w:szCs w:val="15"/>
                <w:color w:val="231F20"/>
              </w:rPr>
              <w:t>(principal executive officer)</w:t>
            </w:r>
          </w:p>
        </w:tc>
        <w:tc>
          <w:tcPr>
            <w:tcW w:w="3200" w:type="dxa"/>
            <w:vAlign w:val="bottom"/>
          </w:tcPr>
          <w:p>
            <w:pPr>
              <w:spacing w:after="0"/>
              <w:rPr>
                <w:sz w:val="16"/>
                <w:szCs w:val="16"/>
                <w:color w:val="auto"/>
              </w:rPr>
            </w:pPr>
          </w:p>
        </w:tc>
      </w:tr>
      <w:tr>
        <w:trPr>
          <w:trHeight w:val="273"/>
        </w:trPr>
        <w:tc>
          <w:tcPr>
            <w:tcW w:w="4120" w:type="dxa"/>
            <w:vAlign w:val="bottom"/>
            <w:gridSpan w:val="2"/>
          </w:tcPr>
          <w:p>
            <w:pPr>
              <w:spacing w:after="0"/>
              <w:rPr>
                <w:sz w:val="20"/>
                <w:szCs w:val="20"/>
                <w:color w:val="auto"/>
              </w:rPr>
            </w:pPr>
            <w:r>
              <w:rPr>
                <w:rFonts w:ascii="Arial" w:cs="Arial" w:eastAsia="Arial" w:hAnsi="Arial"/>
                <w:sz w:val="15"/>
                <w:szCs w:val="15"/>
                <w:color w:val="231F20"/>
              </w:rPr>
              <w:t>Chief Financial Officer and</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175"/>
        </w:trPr>
        <w:tc>
          <w:tcPr>
            <w:tcW w:w="4120" w:type="dxa"/>
            <w:vAlign w:val="bottom"/>
            <w:gridSpan w:val="2"/>
          </w:tcPr>
          <w:p>
            <w:pPr>
              <w:spacing w:after="0"/>
              <w:rPr>
                <w:sz w:val="20"/>
                <w:szCs w:val="20"/>
                <w:color w:val="auto"/>
              </w:rPr>
            </w:pPr>
            <w:r>
              <w:rPr>
                <w:rFonts w:ascii="Arial" w:cs="Arial" w:eastAsia="Arial" w:hAnsi="Arial"/>
                <w:sz w:val="15"/>
                <w:szCs w:val="15"/>
                <w:color w:val="231F20"/>
              </w:rPr>
              <w:t>Executive Vice President (principal</w:t>
            </w:r>
          </w:p>
        </w:tc>
        <w:tc>
          <w:tcPr>
            <w:tcW w:w="3200" w:type="dxa"/>
            <w:vAlign w:val="bottom"/>
          </w:tcPr>
          <w:p>
            <w:pPr>
              <w:spacing w:after="0"/>
              <w:rPr>
                <w:sz w:val="15"/>
                <w:szCs w:val="15"/>
                <w:color w:val="auto"/>
              </w:rPr>
            </w:pPr>
          </w:p>
        </w:tc>
      </w:tr>
      <w:tr>
        <w:trPr>
          <w:trHeight w:val="186"/>
        </w:trPr>
        <w:tc>
          <w:tcPr>
            <w:tcW w:w="4120" w:type="dxa"/>
            <w:vAlign w:val="bottom"/>
            <w:gridSpan w:val="2"/>
          </w:tcPr>
          <w:p>
            <w:pPr>
              <w:spacing w:after="0"/>
              <w:rPr>
                <w:sz w:val="20"/>
                <w:szCs w:val="20"/>
                <w:color w:val="auto"/>
              </w:rPr>
            </w:pPr>
            <w:r>
              <w:rPr>
                <w:rFonts w:ascii="Arial" w:cs="Arial" w:eastAsia="Arial" w:hAnsi="Arial"/>
                <w:sz w:val="15"/>
                <w:szCs w:val="15"/>
                <w:color w:val="231F20"/>
              </w:rPr>
              <w:t>financial and accounting officer)</w:t>
            </w:r>
          </w:p>
        </w:tc>
        <w:tc>
          <w:tcPr>
            <w:tcW w:w="3200" w:type="dxa"/>
            <w:vAlign w:val="bottom"/>
          </w:tcPr>
          <w:p>
            <w:pPr>
              <w:spacing w:after="0"/>
              <w:rPr>
                <w:sz w:val="16"/>
                <w:szCs w:val="16"/>
                <w:color w:val="auto"/>
              </w:rPr>
            </w:pPr>
          </w:p>
        </w:tc>
      </w:tr>
      <w:tr>
        <w:trPr>
          <w:trHeight w:val="273"/>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r>
        <w:trPr>
          <w:trHeight w:val="459"/>
        </w:trPr>
        <w:tc>
          <w:tcPr>
            <w:tcW w:w="4120" w:type="dxa"/>
            <w:vAlign w:val="bottom"/>
            <w:gridSpan w:val="2"/>
          </w:tcPr>
          <w:p>
            <w:pPr>
              <w:spacing w:after="0"/>
              <w:rPr>
                <w:sz w:val="20"/>
                <w:szCs w:val="20"/>
                <w:color w:val="auto"/>
              </w:rPr>
            </w:pPr>
            <w:r>
              <w:rPr>
                <w:rFonts w:ascii="Arial" w:cs="Arial" w:eastAsia="Arial" w:hAnsi="Arial"/>
                <w:sz w:val="15"/>
                <w:szCs w:val="15"/>
                <w:color w:val="231F20"/>
              </w:rPr>
              <w:t>Director</w:t>
            </w:r>
          </w:p>
        </w:tc>
        <w:tc>
          <w:tcPr>
            <w:tcW w:w="3200" w:type="dxa"/>
            <w:vAlign w:val="bottom"/>
          </w:tcPr>
          <w:p>
            <w:pPr>
              <w:ind w:left="2280"/>
              <w:spacing w:after="0"/>
              <w:rPr>
                <w:sz w:val="20"/>
                <w:szCs w:val="20"/>
                <w:color w:val="auto"/>
              </w:rPr>
            </w:pPr>
            <w:r>
              <w:rPr>
                <w:rFonts w:ascii="Arial" w:cs="Arial" w:eastAsia="Arial" w:hAnsi="Arial"/>
                <w:sz w:val="15"/>
                <w:szCs w:val="15"/>
                <w:color w:val="231F20"/>
                <w:w w:val="86"/>
              </w:rPr>
              <w:t>March 14,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591185</wp:posOffset>
            </wp:positionV>
            <wp:extent cx="731202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3420" w:space="720"/>
            <w:col w:w="7320"/>
          </w:cols>
          <w:pgMar w:left="220" w:top="475" w:right="219" w:bottom="1440" w:gutter="0" w:footer="0" w:header="0"/>
          <w:type w:val="continuous"/>
        </w:sectPr>
      </w:pPr>
    </w:p>
    <w:bookmarkStart w:id="113" w:name="page114"/>
    <w:bookmarkEnd w:id="113"/>
    <w:p>
      <w:pPr>
        <w:jc w:val="center"/>
        <w:ind w:right="20"/>
        <w:spacing w:after="0"/>
        <w:rPr>
          <w:sz w:val="20"/>
          <w:szCs w:val="20"/>
          <w:color w:val="auto"/>
        </w:rPr>
      </w:pPr>
      <w:r>
        <w:rPr>
          <w:rFonts w:ascii="Arial" w:cs="Arial" w:eastAsia="Arial" w:hAnsi="Arial"/>
          <w:sz w:val="15"/>
          <w:szCs w:val="15"/>
          <w:b w:val="1"/>
          <w:bCs w:val="1"/>
          <w:color w:val="auto"/>
        </w:rPr>
        <w:t>EXHIBIT INDEX</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rPr>
              <w:t>Incorporated by Reference</w:t>
            </w:r>
          </w:p>
        </w:tc>
        <w:tc>
          <w:tcPr>
            <w:tcW w:w="860" w:type="dxa"/>
            <w:vAlign w:val="bottom"/>
            <w:tcBorders>
              <w:bottom w:val="single" w:sz="8" w:color="auto"/>
            </w:tcBorders>
          </w:tcPr>
          <w:p>
            <w:pPr>
              <w:spacing w:after="0"/>
              <w:rPr>
                <w:sz w:val="12"/>
                <w:szCs w:val="12"/>
                <w:color w:val="auto"/>
              </w:rPr>
            </w:pPr>
          </w:p>
        </w:tc>
        <w:tc>
          <w:tcPr>
            <w:tcW w:w="1200" w:type="dxa"/>
            <w:vAlign w:val="bottom"/>
          </w:tcPr>
          <w:p>
            <w:pPr>
              <w:jc w:val="center"/>
              <w:ind w:left="134"/>
              <w:spacing w:after="0"/>
              <w:rPr>
                <w:sz w:val="20"/>
                <w:szCs w:val="20"/>
                <w:color w:val="auto"/>
              </w:rPr>
            </w:pPr>
            <w:r>
              <w:rPr>
                <w:rFonts w:ascii="Arial" w:cs="Arial" w:eastAsia="Arial" w:hAnsi="Arial"/>
                <w:sz w:val="12"/>
                <w:szCs w:val="12"/>
                <w:b w:val="1"/>
                <w:bCs w:val="1"/>
                <w:color w:val="auto"/>
                <w:w w:val="89"/>
              </w:rPr>
              <w:t>Filed/</w:t>
            </w:r>
          </w:p>
        </w:tc>
        <w:tc>
          <w:tcPr>
            <w:tcW w:w="1220" w:type="dxa"/>
            <w:vAlign w:val="bottom"/>
          </w:tcPr>
          <w:p>
            <w:pPr>
              <w:spacing w:after="0"/>
              <w:rPr>
                <w:sz w:val="12"/>
                <w:szCs w:val="12"/>
                <w:color w:val="auto"/>
              </w:rPr>
            </w:pPr>
          </w:p>
        </w:tc>
      </w:tr>
      <w:tr>
        <w:trPr>
          <w:trHeight w:val="94"/>
        </w:trPr>
        <w:tc>
          <w:tcPr>
            <w:tcW w:w="780" w:type="dxa"/>
            <w:vAlign w:val="bottom"/>
          </w:tcPr>
          <w:p>
            <w:pPr>
              <w:spacing w:after="0" w:line="94" w:lineRule="exact"/>
              <w:rPr>
                <w:sz w:val="20"/>
                <w:szCs w:val="20"/>
                <w:color w:val="auto"/>
              </w:rPr>
            </w:pPr>
            <w:r>
              <w:rPr>
                <w:rFonts w:ascii="Arial" w:cs="Arial" w:eastAsia="Arial" w:hAnsi="Arial"/>
                <w:sz w:val="10"/>
                <w:szCs w:val="10"/>
                <w:b w:val="1"/>
                <w:bCs w:val="1"/>
                <w:color w:val="auto"/>
              </w:rPr>
              <w:t>Exhibit</w:t>
            </w: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Filing</w:t>
            </w:r>
          </w:p>
        </w:tc>
        <w:tc>
          <w:tcPr>
            <w:tcW w:w="1200" w:type="dxa"/>
            <w:vAlign w:val="bottom"/>
          </w:tcPr>
          <w:p>
            <w:pPr>
              <w:jc w:val="center"/>
              <w:ind w:left="134"/>
              <w:spacing w:after="0" w:line="94" w:lineRule="exact"/>
              <w:rPr>
                <w:sz w:val="20"/>
                <w:szCs w:val="20"/>
                <w:color w:val="auto"/>
              </w:rPr>
            </w:pPr>
            <w:r>
              <w:rPr>
                <w:rFonts w:ascii="Arial" w:cs="Arial" w:eastAsia="Arial" w:hAnsi="Arial"/>
                <w:sz w:val="10"/>
                <w:szCs w:val="10"/>
                <w:b w:val="1"/>
                <w:bCs w:val="1"/>
                <w:color w:val="auto"/>
              </w:rPr>
              <w:t>Furnished</w:t>
            </w:r>
          </w:p>
        </w:tc>
        <w:tc>
          <w:tcPr>
            <w:tcW w:w="1220" w:type="dxa"/>
            <w:vAlign w:val="bottom"/>
          </w:tcPr>
          <w:p>
            <w:pPr>
              <w:spacing w:after="0"/>
              <w:rPr>
                <w:sz w:val="8"/>
                <w:szCs w:val="8"/>
                <w:color w:val="auto"/>
              </w:rPr>
            </w:pPr>
          </w:p>
        </w:tc>
      </w:tr>
      <w:tr>
        <w:trPr>
          <w:trHeight w:val="138"/>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4500" w:type="dxa"/>
            <w:vAlign w:val="bottom"/>
            <w:tcBorders>
              <w:bottom w:val="single" w:sz="8" w:color="auto"/>
            </w:tcBorders>
          </w:tcPr>
          <w:p>
            <w:pPr>
              <w:ind w:left="1900"/>
              <w:spacing w:after="0"/>
              <w:rPr>
                <w:sz w:val="20"/>
                <w:szCs w:val="20"/>
                <w:color w:val="auto"/>
              </w:rPr>
            </w:pPr>
            <w:r>
              <w:rPr>
                <w:rFonts w:ascii="Arial" w:cs="Arial" w:eastAsia="Arial" w:hAnsi="Arial"/>
                <w:sz w:val="12"/>
                <w:szCs w:val="12"/>
                <w:b w:val="1"/>
                <w:bCs w:val="1"/>
                <w:color w:val="auto"/>
              </w:rPr>
              <w:t>Exhibit Description</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Form</w:t>
            </w: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File No.</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200" w:type="dxa"/>
            <w:vAlign w:val="bottom"/>
            <w:tcBorders>
              <w:bottom w:val="single" w:sz="8" w:color="auto"/>
            </w:tcBorders>
          </w:tcPr>
          <w:p>
            <w:pPr>
              <w:jc w:val="center"/>
              <w:ind w:left="114"/>
              <w:spacing w:after="0"/>
              <w:rPr>
                <w:sz w:val="20"/>
                <w:szCs w:val="20"/>
                <w:color w:val="auto"/>
              </w:rPr>
            </w:pPr>
            <w:r>
              <w:rPr>
                <w:rFonts w:ascii="Arial" w:cs="Arial" w:eastAsia="Arial" w:hAnsi="Arial"/>
                <w:sz w:val="12"/>
                <w:szCs w:val="12"/>
                <w:b w:val="1"/>
                <w:bCs w:val="1"/>
                <w:color w:val="auto"/>
                <w:w w:val="90"/>
              </w:rPr>
              <w:t>Herewith</w:t>
            </w:r>
          </w:p>
        </w:tc>
        <w:tc>
          <w:tcPr>
            <w:tcW w:w="1220" w:type="dxa"/>
            <w:vAlign w:val="bottom"/>
          </w:tcPr>
          <w:p>
            <w:pPr>
              <w:spacing w:after="0"/>
              <w:rPr>
                <w:sz w:val="11"/>
                <w:szCs w:val="11"/>
                <w:color w:val="auto"/>
              </w:rPr>
            </w:pPr>
          </w:p>
        </w:tc>
      </w:tr>
      <w:tr>
        <w:trPr>
          <w:trHeight w:val="330"/>
        </w:trPr>
        <w:tc>
          <w:tcPr>
            <w:tcW w:w="780" w:type="dxa"/>
            <w:vAlign w:val="bottom"/>
          </w:tcPr>
          <w:p>
            <w:pPr>
              <w:spacing w:after="0"/>
              <w:rPr>
                <w:sz w:val="20"/>
                <w:szCs w:val="20"/>
                <w:color w:val="auto"/>
              </w:rPr>
            </w:pPr>
            <w:r>
              <w:rPr>
                <w:rFonts w:ascii="Arial" w:cs="Arial" w:eastAsia="Arial" w:hAnsi="Arial"/>
                <w:sz w:val="15"/>
                <w:szCs w:val="15"/>
                <w:color w:val="auto"/>
              </w:rPr>
              <w:t>3.1</w:t>
            </w:r>
          </w:p>
        </w:tc>
        <w:tc>
          <w:tcPr>
            <w:tcW w:w="4500" w:type="dxa"/>
            <w:vAlign w:val="bottom"/>
          </w:tcPr>
          <w:p>
            <w:pPr>
              <w:ind w:left="360"/>
              <w:spacing w:after="0"/>
              <w:rPr>
                <w:sz w:val="20"/>
                <w:szCs w:val="20"/>
                <w:color w:val="auto"/>
              </w:rPr>
            </w:pPr>
            <w:r>
              <w:rPr>
                <w:rFonts w:ascii="Arial" w:cs="Arial" w:eastAsia="Arial" w:hAnsi="Arial"/>
                <w:sz w:val="15"/>
                <w:szCs w:val="15"/>
                <w:color w:val="auto"/>
              </w:rPr>
              <w:t>Restated Certificate of Incorporation, filed on July 1, 2015</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8-K</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001-37465</w:t>
            </w: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3.1</w:t>
            </w: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7/1/15</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3.2</w:t>
            </w:r>
          </w:p>
        </w:tc>
        <w:tc>
          <w:tcPr>
            <w:tcW w:w="4500" w:type="dxa"/>
            <w:vAlign w:val="bottom"/>
          </w:tcPr>
          <w:p>
            <w:pPr>
              <w:ind w:left="360"/>
              <w:spacing w:after="0"/>
              <w:rPr>
                <w:sz w:val="20"/>
                <w:szCs w:val="20"/>
                <w:color w:val="auto"/>
              </w:rPr>
            </w:pPr>
            <w:r>
              <w:rPr>
                <w:rFonts w:ascii="Arial" w:cs="Arial" w:eastAsia="Arial" w:hAnsi="Arial"/>
                <w:sz w:val="15"/>
                <w:szCs w:val="15"/>
                <w:color w:val="auto"/>
              </w:rPr>
              <w:t>Amended and Restated By-Laws</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8-K</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001-37465</w:t>
            </w: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3.2</w:t>
            </w: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7/1/15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4.1</w:t>
            </w:r>
          </w:p>
        </w:tc>
        <w:tc>
          <w:tcPr>
            <w:tcW w:w="4500" w:type="dxa"/>
            <w:vAlign w:val="bottom"/>
          </w:tcPr>
          <w:p>
            <w:pPr>
              <w:ind w:left="360"/>
              <w:spacing w:after="0"/>
              <w:rPr>
                <w:sz w:val="20"/>
                <w:szCs w:val="20"/>
                <w:color w:val="auto"/>
              </w:rPr>
            </w:pPr>
            <w:r>
              <w:rPr>
                <w:rFonts w:ascii="Arial" w:cs="Arial" w:eastAsia="Arial" w:hAnsi="Arial"/>
                <w:sz w:val="15"/>
                <w:szCs w:val="15"/>
                <w:color w:val="auto"/>
              </w:rPr>
              <w:t>Amended and Restated Investors’ Rights Agreement, dated</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4.1</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5/27/15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w w:val="93"/>
              </w:rPr>
              <w:t>December 19, 2014, by and among the Registrant and each of the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investors listed on Schedule A thereto</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4.2</w:t>
            </w:r>
          </w:p>
        </w:tc>
        <w:tc>
          <w:tcPr>
            <w:tcW w:w="4500" w:type="dxa"/>
            <w:vAlign w:val="bottom"/>
          </w:tcPr>
          <w:p>
            <w:pPr>
              <w:ind w:left="360"/>
              <w:spacing w:after="0"/>
              <w:rPr>
                <w:sz w:val="20"/>
                <w:szCs w:val="20"/>
                <w:color w:val="auto"/>
              </w:rPr>
            </w:pPr>
            <w:r>
              <w:rPr>
                <w:rFonts w:ascii="Arial" w:cs="Arial" w:eastAsia="Arial" w:hAnsi="Arial"/>
                <w:sz w:val="15"/>
                <w:szCs w:val="15"/>
                <w:color w:val="auto"/>
                <w:w w:val="92"/>
              </w:rPr>
              <w:t>Specimen Stock Certificate evidencing the shares of common stock</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4.2</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10.1#</w:t>
            </w:r>
          </w:p>
        </w:tc>
        <w:tc>
          <w:tcPr>
            <w:tcW w:w="4500" w:type="dxa"/>
            <w:vAlign w:val="bottom"/>
          </w:tcPr>
          <w:p>
            <w:pPr>
              <w:ind w:left="360"/>
              <w:spacing w:after="0"/>
              <w:rPr>
                <w:sz w:val="20"/>
                <w:szCs w:val="20"/>
                <w:color w:val="auto"/>
              </w:rPr>
            </w:pPr>
            <w:r>
              <w:rPr>
                <w:rFonts w:ascii="Arial" w:cs="Arial" w:eastAsia="Arial" w:hAnsi="Arial"/>
                <w:sz w:val="15"/>
                <w:szCs w:val="15"/>
                <w:color w:val="auto"/>
              </w:rPr>
              <w:t>2015 Incentive Award Plan and forms of award agreements</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S-1/A</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10.2</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thereunder</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10.2#</w:t>
            </w:r>
          </w:p>
        </w:tc>
        <w:tc>
          <w:tcPr>
            <w:tcW w:w="4500" w:type="dxa"/>
            <w:vAlign w:val="bottom"/>
          </w:tcPr>
          <w:p>
            <w:pPr>
              <w:ind w:left="360"/>
              <w:spacing w:after="0"/>
              <w:rPr>
                <w:sz w:val="20"/>
                <w:szCs w:val="20"/>
                <w:color w:val="auto"/>
              </w:rPr>
            </w:pPr>
            <w:r>
              <w:rPr>
                <w:rFonts w:ascii="Arial" w:cs="Arial" w:eastAsia="Arial" w:hAnsi="Arial"/>
                <w:sz w:val="15"/>
                <w:szCs w:val="15"/>
                <w:color w:val="auto"/>
              </w:rPr>
              <w:t>2015 Employee Stock Purchase Plan</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S-1/A</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10.3</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10.3#</w:t>
            </w:r>
          </w:p>
        </w:tc>
        <w:tc>
          <w:tcPr>
            <w:tcW w:w="4500" w:type="dxa"/>
            <w:vAlign w:val="bottom"/>
          </w:tcPr>
          <w:p>
            <w:pPr>
              <w:ind w:left="360"/>
              <w:spacing w:after="0"/>
              <w:rPr>
                <w:sz w:val="20"/>
                <w:szCs w:val="20"/>
                <w:color w:val="auto"/>
              </w:rPr>
            </w:pPr>
            <w:r>
              <w:rPr>
                <w:rFonts w:ascii="Arial" w:cs="Arial" w:eastAsia="Arial" w:hAnsi="Arial"/>
                <w:sz w:val="15"/>
                <w:szCs w:val="15"/>
                <w:color w:val="auto"/>
              </w:rPr>
              <w:t>Non-Employee Director Compensation Program</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S-1/A</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10.4</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10.4</w:t>
            </w:r>
          </w:p>
        </w:tc>
        <w:tc>
          <w:tcPr>
            <w:tcW w:w="4500" w:type="dxa"/>
            <w:vAlign w:val="bottom"/>
          </w:tcPr>
          <w:p>
            <w:pPr>
              <w:ind w:left="360"/>
              <w:spacing w:after="0"/>
              <w:rPr>
                <w:sz w:val="20"/>
                <w:szCs w:val="20"/>
                <w:color w:val="auto"/>
              </w:rPr>
            </w:pPr>
            <w:r>
              <w:rPr>
                <w:rFonts w:ascii="Arial" w:cs="Arial" w:eastAsia="Arial" w:hAnsi="Arial"/>
                <w:sz w:val="15"/>
                <w:szCs w:val="15"/>
                <w:color w:val="auto"/>
              </w:rPr>
              <w:t>Lease Agreement, dated April 1, 2015, by and between the</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10.13</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5/27/15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Registrant and ARE-MA Region No. 38, LLC</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10.5#</w:t>
            </w:r>
          </w:p>
        </w:tc>
        <w:tc>
          <w:tcPr>
            <w:tcW w:w="4500" w:type="dxa"/>
            <w:vAlign w:val="bottom"/>
          </w:tcPr>
          <w:p>
            <w:pPr>
              <w:ind w:left="360"/>
              <w:spacing w:after="0"/>
              <w:rPr>
                <w:sz w:val="20"/>
                <w:szCs w:val="20"/>
                <w:color w:val="auto"/>
              </w:rPr>
            </w:pPr>
            <w:r>
              <w:rPr>
                <w:rFonts w:ascii="Arial" w:cs="Arial" w:eastAsia="Arial" w:hAnsi="Arial"/>
                <w:sz w:val="15"/>
                <w:szCs w:val="15"/>
                <w:color w:val="auto"/>
                <w:w w:val="92"/>
              </w:rPr>
              <w:t>Employment Agreement, dated June 14, 2015, by and between the</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10.6</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Registrant and Roger J. Pomerantz</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10.6#</w:t>
            </w:r>
          </w:p>
        </w:tc>
        <w:tc>
          <w:tcPr>
            <w:tcW w:w="4500" w:type="dxa"/>
            <w:vAlign w:val="bottom"/>
          </w:tcPr>
          <w:p>
            <w:pPr>
              <w:ind w:left="360"/>
              <w:spacing w:after="0"/>
              <w:rPr>
                <w:sz w:val="20"/>
                <w:szCs w:val="20"/>
                <w:color w:val="auto"/>
              </w:rPr>
            </w:pPr>
            <w:r>
              <w:rPr>
                <w:rFonts w:ascii="Arial" w:cs="Arial" w:eastAsia="Arial" w:hAnsi="Arial"/>
                <w:sz w:val="15"/>
                <w:szCs w:val="15"/>
                <w:color w:val="auto"/>
                <w:w w:val="92"/>
              </w:rPr>
              <w:t>Employment Agreement, dated June 14, 2015, by and between the</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10.7</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Registrant and Eric D. Shaff</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10.7#</w:t>
            </w:r>
          </w:p>
        </w:tc>
        <w:tc>
          <w:tcPr>
            <w:tcW w:w="4500" w:type="dxa"/>
            <w:vAlign w:val="bottom"/>
          </w:tcPr>
          <w:p>
            <w:pPr>
              <w:ind w:left="360"/>
              <w:spacing w:after="0"/>
              <w:rPr>
                <w:sz w:val="20"/>
                <w:szCs w:val="20"/>
                <w:color w:val="auto"/>
              </w:rPr>
            </w:pPr>
            <w:r>
              <w:rPr>
                <w:rFonts w:ascii="Arial" w:cs="Arial" w:eastAsia="Arial" w:hAnsi="Arial"/>
                <w:sz w:val="15"/>
                <w:szCs w:val="15"/>
                <w:color w:val="auto"/>
                <w:w w:val="95"/>
              </w:rPr>
              <w:t>Amendment to Employment Agreement, dated August 7, 2015 by</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10-Q</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001-37456</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10.7</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8/10/15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and between the Registrant and Eric. D. Shaff</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10.8#</w:t>
            </w:r>
          </w:p>
        </w:tc>
        <w:tc>
          <w:tcPr>
            <w:tcW w:w="4500" w:type="dxa"/>
            <w:vAlign w:val="bottom"/>
          </w:tcPr>
          <w:p>
            <w:pPr>
              <w:ind w:left="360"/>
              <w:spacing w:after="0"/>
              <w:rPr>
                <w:sz w:val="20"/>
                <w:szCs w:val="20"/>
                <w:color w:val="auto"/>
              </w:rPr>
            </w:pPr>
            <w:r>
              <w:rPr>
                <w:rFonts w:ascii="Arial" w:cs="Arial" w:eastAsia="Arial" w:hAnsi="Arial"/>
                <w:sz w:val="15"/>
                <w:szCs w:val="15"/>
                <w:color w:val="auto"/>
                <w:w w:val="92"/>
              </w:rPr>
              <w:t>Employment Agreement, dated June 13, 2015, by and between the</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10.8</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Registrant and David N. Cook</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10.9#</w:t>
            </w:r>
          </w:p>
        </w:tc>
        <w:tc>
          <w:tcPr>
            <w:tcW w:w="4500" w:type="dxa"/>
            <w:vAlign w:val="bottom"/>
          </w:tcPr>
          <w:p>
            <w:pPr>
              <w:ind w:left="360"/>
              <w:spacing w:after="0"/>
              <w:rPr>
                <w:sz w:val="20"/>
                <w:szCs w:val="20"/>
                <w:color w:val="auto"/>
              </w:rPr>
            </w:pPr>
            <w:r>
              <w:rPr>
                <w:rFonts w:ascii="Arial" w:cs="Arial" w:eastAsia="Arial" w:hAnsi="Arial"/>
                <w:sz w:val="15"/>
                <w:szCs w:val="15"/>
                <w:color w:val="auto"/>
                <w:w w:val="90"/>
              </w:rPr>
              <w:t>Amendment to Employment Agreement, dated June 13, 2015 by and</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10-Q</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001-37456</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10.9</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8/10/15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between the Registrant and David N. Cook</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10.10#</w:t>
            </w:r>
          </w:p>
        </w:tc>
        <w:tc>
          <w:tcPr>
            <w:tcW w:w="4500" w:type="dxa"/>
            <w:vAlign w:val="bottom"/>
          </w:tcPr>
          <w:p>
            <w:pPr>
              <w:ind w:left="360"/>
              <w:spacing w:after="0"/>
              <w:rPr>
                <w:sz w:val="20"/>
                <w:szCs w:val="20"/>
                <w:color w:val="auto"/>
              </w:rPr>
            </w:pPr>
            <w:r>
              <w:rPr>
                <w:rFonts w:ascii="Arial" w:cs="Arial" w:eastAsia="Arial" w:hAnsi="Arial"/>
                <w:sz w:val="15"/>
                <w:szCs w:val="15"/>
                <w:color w:val="auto"/>
              </w:rPr>
              <w:t>Employment Agreement, dated 10, 2015, by and between the</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10-Q</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001-37456</w:t>
            </w: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10.10</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8/10/15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Registrant and John G. Aunins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10.11#</w:t>
            </w:r>
          </w:p>
        </w:tc>
        <w:tc>
          <w:tcPr>
            <w:tcW w:w="4500" w:type="dxa"/>
            <w:vAlign w:val="bottom"/>
          </w:tcPr>
          <w:p>
            <w:pPr>
              <w:ind w:left="360"/>
              <w:spacing w:after="0"/>
              <w:rPr>
                <w:sz w:val="20"/>
                <w:szCs w:val="20"/>
                <w:color w:val="auto"/>
              </w:rPr>
            </w:pPr>
            <w:r>
              <w:rPr>
                <w:rFonts w:ascii="Arial" w:cs="Arial" w:eastAsia="Arial" w:hAnsi="Arial"/>
                <w:sz w:val="15"/>
                <w:szCs w:val="15"/>
                <w:color w:val="auto"/>
                <w:w w:val="92"/>
              </w:rPr>
              <w:t>Employment Agreement, dated June 13, 2015, by and between the</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10.10</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Registrant and Michele Trucksis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10.12#</w:t>
            </w:r>
          </w:p>
        </w:tc>
        <w:tc>
          <w:tcPr>
            <w:tcW w:w="4500" w:type="dxa"/>
            <w:vAlign w:val="bottom"/>
          </w:tcPr>
          <w:p>
            <w:pPr>
              <w:ind w:left="360"/>
              <w:spacing w:after="0"/>
              <w:rPr>
                <w:sz w:val="20"/>
                <w:szCs w:val="20"/>
                <w:color w:val="auto"/>
              </w:rPr>
            </w:pPr>
            <w:r>
              <w:rPr>
                <w:rFonts w:ascii="Arial" w:cs="Arial" w:eastAsia="Arial" w:hAnsi="Arial"/>
                <w:sz w:val="15"/>
                <w:szCs w:val="15"/>
                <w:color w:val="auto"/>
                <w:w w:val="95"/>
              </w:rPr>
              <w:t>Amendment to Employment Agreement, dated August 7, 2015 by</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10-Q</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001-37456</w:t>
            </w: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10.12</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8/10/15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and between the Registrant and Michele Trucksis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10.13</w:t>
            </w:r>
          </w:p>
        </w:tc>
        <w:tc>
          <w:tcPr>
            <w:tcW w:w="4500" w:type="dxa"/>
            <w:vAlign w:val="bottom"/>
          </w:tcPr>
          <w:p>
            <w:pPr>
              <w:ind w:left="360"/>
              <w:spacing w:after="0"/>
              <w:rPr>
                <w:sz w:val="20"/>
                <w:szCs w:val="20"/>
                <w:color w:val="auto"/>
              </w:rPr>
            </w:pPr>
            <w:r>
              <w:rPr>
                <w:rFonts w:ascii="Arial" w:cs="Arial" w:eastAsia="Arial" w:hAnsi="Arial"/>
                <w:sz w:val="15"/>
                <w:szCs w:val="15"/>
                <w:color w:val="auto"/>
                <w:w w:val="88"/>
              </w:rPr>
              <w:t>Lease, dated November 11, 2015, by and between the Registrant and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ind w:left="134"/>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BMR-Sidney Research Campus, LLC</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21.1</w:t>
            </w:r>
          </w:p>
        </w:tc>
        <w:tc>
          <w:tcPr>
            <w:tcW w:w="4500" w:type="dxa"/>
            <w:vAlign w:val="bottom"/>
          </w:tcPr>
          <w:p>
            <w:pPr>
              <w:ind w:left="360"/>
              <w:spacing w:after="0"/>
              <w:rPr>
                <w:sz w:val="20"/>
                <w:szCs w:val="20"/>
                <w:color w:val="auto"/>
              </w:rPr>
            </w:pPr>
            <w:r>
              <w:rPr>
                <w:rFonts w:ascii="Arial" w:cs="Arial" w:eastAsia="Arial" w:hAnsi="Arial"/>
                <w:sz w:val="15"/>
                <w:szCs w:val="15"/>
                <w:color w:val="auto"/>
              </w:rPr>
              <w:t>Subsidiaries of Seres Therapeutics, Inc.</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rPr>
              <w:t>S-1/A</w:t>
            </w: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333-204484</w:t>
            </w: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21.1</w:t>
            </w:r>
          </w:p>
        </w:tc>
        <w:tc>
          <w:tcPr>
            <w:tcW w:w="860" w:type="dxa"/>
            <w:vAlign w:val="bottom"/>
          </w:tcPr>
          <w:p>
            <w:pPr>
              <w:jc w:val="center"/>
              <w:spacing w:after="0"/>
              <w:rPr>
                <w:sz w:val="20"/>
                <w:szCs w:val="20"/>
                <w:color w:val="auto"/>
              </w:rPr>
            </w:pPr>
            <w:r>
              <w:rPr>
                <w:rFonts w:ascii="Arial" w:cs="Arial" w:eastAsia="Arial" w:hAnsi="Arial"/>
                <w:sz w:val="15"/>
                <w:szCs w:val="15"/>
                <w:color w:val="auto"/>
                <w:w w:val="87"/>
              </w:rPr>
              <w:t>6/16/15</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23.1</w:t>
            </w:r>
          </w:p>
        </w:tc>
        <w:tc>
          <w:tcPr>
            <w:tcW w:w="4500" w:type="dxa"/>
            <w:vAlign w:val="bottom"/>
          </w:tcPr>
          <w:p>
            <w:pPr>
              <w:ind w:left="360"/>
              <w:spacing w:after="0"/>
              <w:rPr>
                <w:sz w:val="20"/>
                <w:szCs w:val="20"/>
                <w:color w:val="auto"/>
              </w:rPr>
            </w:pPr>
            <w:r>
              <w:rPr>
                <w:rFonts w:ascii="Arial" w:cs="Arial" w:eastAsia="Arial" w:hAnsi="Arial"/>
                <w:sz w:val="15"/>
                <w:szCs w:val="15"/>
                <w:color w:val="auto"/>
                <w:w w:val="92"/>
              </w:rPr>
              <w:t>Consent of PricewaterhouseCoopers LLP, Independent Registered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ind w:left="134"/>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4500" w:type="dxa"/>
            <w:vAlign w:val="bottom"/>
          </w:tcPr>
          <w:p>
            <w:pPr>
              <w:ind w:left="360"/>
              <w:spacing w:after="0"/>
              <w:rPr>
                <w:sz w:val="20"/>
                <w:szCs w:val="20"/>
                <w:color w:val="auto"/>
              </w:rPr>
            </w:pPr>
            <w:r>
              <w:rPr>
                <w:rFonts w:ascii="Arial" w:cs="Arial" w:eastAsia="Arial" w:hAnsi="Arial"/>
                <w:sz w:val="15"/>
                <w:szCs w:val="15"/>
                <w:color w:val="auto"/>
              </w:rPr>
              <w:t>Public Accounting Firm</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5"/>
                <w:szCs w:val="15"/>
                <w:color w:val="auto"/>
              </w:rPr>
              <w:t>31.1</w:t>
            </w:r>
          </w:p>
        </w:tc>
        <w:tc>
          <w:tcPr>
            <w:tcW w:w="4500" w:type="dxa"/>
            <w:vAlign w:val="bottom"/>
          </w:tcPr>
          <w:p>
            <w:pPr>
              <w:ind w:left="360"/>
              <w:spacing w:after="0"/>
              <w:rPr>
                <w:sz w:val="20"/>
                <w:szCs w:val="20"/>
                <w:color w:val="auto"/>
              </w:rPr>
            </w:pPr>
            <w:r>
              <w:rPr>
                <w:rFonts w:ascii="Arial" w:cs="Arial" w:eastAsia="Arial" w:hAnsi="Arial"/>
                <w:sz w:val="15"/>
                <w:szCs w:val="15"/>
                <w:color w:val="auto"/>
                <w:w w:val="96"/>
              </w:rPr>
              <w:t>Rule 13a-14(a)/15d-14(a) Certification of Chief Executive Officer</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ind w:left="134"/>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5"/>
                <w:szCs w:val="15"/>
                <w:color w:val="auto"/>
              </w:rPr>
            </w:pPr>
          </w:p>
        </w:tc>
      </w:tr>
      <w:tr>
        <w:trPr>
          <w:trHeight w:val="186"/>
        </w:trPr>
        <w:tc>
          <w:tcPr>
            <w:tcW w:w="780" w:type="dxa"/>
            <w:vAlign w:val="bottom"/>
          </w:tcPr>
          <w:p>
            <w:pPr>
              <w:spacing w:after="0"/>
              <w:rPr>
                <w:sz w:val="20"/>
                <w:szCs w:val="20"/>
                <w:color w:val="auto"/>
              </w:rPr>
            </w:pPr>
            <w:r>
              <w:rPr>
                <w:rFonts w:ascii="Arial" w:cs="Arial" w:eastAsia="Arial" w:hAnsi="Arial"/>
                <w:sz w:val="15"/>
                <w:szCs w:val="15"/>
                <w:color w:val="auto"/>
              </w:rPr>
              <w:t>31.2</w:t>
            </w:r>
          </w:p>
        </w:tc>
        <w:tc>
          <w:tcPr>
            <w:tcW w:w="4500" w:type="dxa"/>
            <w:vAlign w:val="bottom"/>
          </w:tcPr>
          <w:p>
            <w:pPr>
              <w:ind w:left="360"/>
              <w:spacing w:after="0"/>
              <w:rPr>
                <w:sz w:val="20"/>
                <w:szCs w:val="20"/>
                <w:color w:val="auto"/>
              </w:rPr>
            </w:pPr>
            <w:r>
              <w:rPr>
                <w:rFonts w:ascii="Arial" w:cs="Arial" w:eastAsia="Arial" w:hAnsi="Arial"/>
                <w:sz w:val="15"/>
                <w:szCs w:val="15"/>
                <w:color w:val="auto"/>
                <w:w w:val="97"/>
              </w:rPr>
              <w:t>Rule 13a-14(a)/15d-14(a) Certification of Chief Financial Officer</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jc w:val="center"/>
              <w:ind w:left="134"/>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6"/>
                <w:szCs w:val="16"/>
                <w:color w:val="auto"/>
              </w:rPr>
            </w:pPr>
          </w:p>
        </w:tc>
      </w:tr>
      <w:tr>
        <w:trPr>
          <w:trHeight w:val="439"/>
        </w:trPr>
        <w:tc>
          <w:tcPr>
            <w:tcW w:w="7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75" w:right="19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Incorporated by Reference</w:t>
            </w:r>
          </w:p>
        </w:tc>
        <w:tc>
          <w:tcPr>
            <w:tcW w:w="820" w:type="dxa"/>
            <w:vAlign w:val="bottom"/>
            <w:tcBorders>
              <w:bottom w:val="single" w:sz="8" w:color="auto"/>
            </w:tcBorders>
          </w:tcPr>
          <w:p>
            <w:pPr>
              <w:spacing w:after="0"/>
              <w:rPr>
                <w:sz w:val="12"/>
                <w:szCs w:val="12"/>
                <w:color w:val="auto"/>
              </w:rPr>
            </w:pPr>
          </w:p>
        </w:tc>
        <w:tc>
          <w:tcPr>
            <w:tcW w:w="1200" w:type="dxa"/>
            <w:vAlign w:val="bottom"/>
          </w:tcPr>
          <w:p>
            <w:pPr>
              <w:jc w:val="center"/>
              <w:ind w:left="132"/>
              <w:spacing w:after="0"/>
              <w:rPr>
                <w:sz w:val="20"/>
                <w:szCs w:val="20"/>
                <w:color w:val="auto"/>
              </w:rPr>
            </w:pPr>
            <w:r>
              <w:rPr>
                <w:rFonts w:ascii="Arial" w:cs="Arial" w:eastAsia="Arial" w:hAnsi="Arial"/>
                <w:sz w:val="12"/>
                <w:szCs w:val="12"/>
                <w:b w:val="1"/>
                <w:bCs w:val="1"/>
                <w:color w:val="auto"/>
                <w:w w:val="89"/>
              </w:rPr>
              <w:t>Filed/</w:t>
            </w:r>
          </w:p>
        </w:tc>
      </w:tr>
      <w:tr>
        <w:trPr>
          <w:trHeight w:val="94"/>
        </w:trPr>
        <w:tc>
          <w:tcPr>
            <w:tcW w:w="840" w:type="dxa"/>
            <w:vAlign w:val="bottom"/>
          </w:tcPr>
          <w:p>
            <w:pPr>
              <w:spacing w:after="0" w:line="94" w:lineRule="exact"/>
              <w:rPr>
                <w:sz w:val="20"/>
                <w:szCs w:val="20"/>
                <w:color w:val="auto"/>
              </w:rPr>
            </w:pPr>
            <w:r>
              <w:rPr>
                <w:rFonts w:ascii="Arial" w:cs="Arial" w:eastAsia="Arial" w:hAnsi="Arial"/>
                <w:sz w:val="10"/>
                <w:szCs w:val="10"/>
                <w:b w:val="1"/>
                <w:bCs w:val="1"/>
                <w:color w:val="auto"/>
              </w:rPr>
              <w:t>Exhibit</w:t>
            </w:r>
          </w:p>
        </w:tc>
        <w:tc>
          <w:tcPr>
            <w:tcW w:w="4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Filing</w:t>
            </w:r>
          </w:p>
        </w:tc>
        <w:tc>
          <w:tcPr>
            <w:tcW w:w="1200" w:type="dxa"/>
            <w:vAlign w:val="bottom"/>
          </w:tcPr>
          <w:p>
            <w:pPr>
              <w:jc w:val="center"/>
              <w:ind w:left="132"/>
              <w:spacing w:after="0" w:line="94" w:lineRule="exact"/>
              <w:rPr>
                <w:sz w:val="20"/>
                <w:szCs w:val="20"/>
                <w:color w:val="auto"/>
              </w:rPr>
            </w:pPr>
            <w:r>
              <w:rPr>
                <w:rFonts w:ascii="Arial" w:cs="Arial" w:eastAsia="Arial" w:hAnsi="Arial"/>
                <w:sz w:val="10"/>
                <w:szCs w:val="10"/>
                <w:b w:val="1"/>
                <w:bCs w:val="1"/>
                <w:color w:val="auto"/>
              </w:rPr>
              <w:t>Furnished</w:t>
            </w:r>
          </w:p>
        </w:tc>
      </w:tr>
      <w:tr>
        <w:trPr>
          <w:trHeight w:val="138"/>
        </w:trPr>
        <w:tc>
          <w:tcPr>
            <w:tcW w:w="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4540" w:type="dxa"/>
            <w:vAlign w:val="bottom"/>
            <w:tcBorders>
              <w:bottom w:val="single" w:sz="8" w:color="auto"/>
            </w:tcBorders>
          </w:tcPr>
          <w:p>
            <w:pPr>
              <w:ind w:left="1840"/>
              <w:spacing w:after="0"/>
              <w:rPr>
                <w:sz w:val="20"/>
                <w:szCs w:val="20"/>
                <w:color w:val="auto"/>
              </w:rPr>
            </w:pPr>
            <w:r>
              <w:rPr>
                <w:rFonts w:ascii="Arial" w:cs="Arial" w:eastAsia="Arial" w:hAnsi="Arial"/>
                <w:sz w:val="12"/>
                <w:szCs w:val="12"/>
                <w:b w:val="1"/>
                <w:bCs w:val="1"/>
                <w:color w:val="auto"/>
              </w:rPr>
              <w:t>Exhibit Description</w:t>
            </w: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Form</w:t>
            </w: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File No.</w:t>
            </w: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Exhibit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200" w:type="dxa"/>
            <w:vAlign w:val="bottom"/>
            <w:tcBorders>
              <w:bottom w:val="single" w:sz="8" w:color="auto"/>
            </w:tcBorders>
          </w:tcPr>
          <w:p>
            <w:pPr>
              <w:jc w:val="center"/>
              <w:ind w:left="112"/>
              <w:spacing w:after="0"/>
              <w:rPr>
                <w:sz w:val="20"/>
                <w:szCs w:val="20"/>
                <w:color w:val="auto"/>
              </w:rPr>
            </w:pPr>
            <w:r>
              <w:rPr>
                <w:rFonts w:ascii="Arial" w:cs="Arial" w:eastAsia="Arial" w:hAnsi="Arial"/>
                <w:sz w:val="12"/>
                <w:szCs w:val="12"/>
                <w:b w:val="1"/>
                <w:bCs w:val="1"/>
                <w:color w:val="auto"/>
                <w:w w:val="90"/>
              </w:rPr>
              <w:t>Herewith</w:t>
            </w:r>
          </w:p>
        </w:tc>
      </w:tr>
      <w:tr>
        <w:trPr>
          <w:trHeight w:val="155"/>
        </w:trPr>
        <w:tc>
          <w:tcPr>
            <w:tcW w:w="840" w:type="dxa"/>
            <w:vAlign w:val="bottom"/>
          </w:tcPr>
          <w:p>
            <w:pPr>
              <w:spacing w:after="0" w:line="156" w:lineRule="exact"/>
              <w:rPr>
                <w:sz w:val="20"/>
                <w:szCs w:val="20"/>
                <w:color w:val="auto"/>
              </w:rPr>
            </w:pPr>
            <w:r>
              <w:rPr>
                <w:rFonts w:ascii="Arial" w:cs="Arial" w:eastAsia="Arial" w:hAnsi="Arial"/>
                <w:sz w:val="15"/>
                <w:szCs w:val="15"/>
                <w:color w:val="auto"/>
              </w:rPr>
              <w:t>32.1</w:t>
            </w:r>
          </w:p>
        </w:tc>
        <w:tc>
          <w:tcPr>
            <w:tcW w:w="4540" w:type="dxa"/>
            <w:vAlign w:val="bottom"/>
          </w:tcPr>
          <w:p>
            <w:pPr>
              <w:ind w:left="300"/>
              <w:spacing w:after="0" w:line="156" w:lineRule="exact"/>
              <w:rPr>
                <w:sz w:val="20"/>
                <w:szCs w:val="20"/>
                <w:color w:val="auto"/>
              </w:rPr>
            </w:pPr>
            <w:r>
              <w:rPr>
                <w:rFonts w:ascii="Arial" w:cs="Arial" w:eastAsia="Arial" w:hAnsi="Arial"/>
                <w:sz w:val="15"/>
                <w:szCs w:val="15"/>
                <w:color w:val="auto"/>
              </w:rPr>
              <w:t>Section 1350 Certification of Chief Executive</w:t>
            </w: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jc w:val="center"/>
              <w:ind w:left="112"/>
              <w:spacing w:after="0" w:line="156" w:lineRule="exact"/>
              <w:rPr>
                <w:sz w:val="20"/>
                <w:szCs w:val="20"/>
                <w:color w:val="auto"/>
              </w:rPr>
            </w:pPr>
            <w:r>
              <w:rPr>
                <w:rFonts w:ascii="Arial" w:cs="Arial" w:eastAsia="Arial" w:hAnsi="Arial"/>
                <w:sz w:val="15"/>
                <w:szCs w:val="15"/>
                <w:color w:val="auto"/>
              </w:rPr>
              <w:t>**</w:t>
            </w:r>
          </w:p>
        </w:tc>
      </w:tr>
      <w:tr>
        <w:trPr>
          <w:trHeight w:val="175"/>
        </w:trPr>
        <w:tc>
          <w:tcPr>
            <w:tcW w:w="840" w:type="dxa"/>
            <w:vAlign w:val="bottom"/>
          </w:tcPr>
          <w:p>
            <w:pPr>
              <w:spacing w:after="0"/>
              <w:rPr>
                <w:sz w:val="15"/>
                <w:szCs w:val="15"/>
                <w:color w:val="auto"/>
              </w:rPr>
            </w:pPr>
          </w:p>
        </w:tc>
        <w:tc>
          <w:tcPr>
            <w:tcW w:w="4540" w:type="dxa"/>
            <w:vAlign w:val="bottom"/>
          </w:tcPr>
          <w:p>
            <w:pPr>
              <w:ind w:left="300"/>
              <w:spacing w:after="0"/>
              <w:rPr>
                <w:sz w:val="20"/>
                <w:szCs w:val="20"/>
                <w:color w:val="auto"/>
              </w:rPr>
            </w:pPr>
            <w:r>
              <w:rPr>
                <w:rFonts w:ascii="Arial" w:cs="Arial" w:eastAsia="Arial" w:hAnsi="Arial"/>
                <w:sz w:val="15"/>
                <w:szCs w:val="15"/>
                <w:color w:val="auto"/>
              </w:rPr>
              <w:t>Officer</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840" w:type="dxa"/>
            <w:vAlign w:val="bottom"/>
          </w:tcPr>
          <w:p>
            <w:pPr>
              <w:spacing w:after="0"/>
              <w:rPr>
                <w:sz w:val="20"/>
                <w:szCs w:val="20"/>
                <w:color w:val="auto"/>
              </w:rPr>
            </w:pPr>
            <w:r>
              <w:rPr>
                <w:rFonts w:ascii="Arial" w:cs="Arial" w:eastAsia="Arial" w:hAnsi="Arial"/>
                <w:sz w:val="15"/>
                <w:szCs w:val="15"/>
                <w:color w:val="auto"/>
              </w:rPr>
              <w:t>32.2</w:t>
            </w:r>
          </w:p>
        </w:tc>
        <w:tc>
          <w:tcPr>
            <w:tcW w:w="4540" w:type="dxa"/>
            <w:vAlign w:val="bottom"/>
          </w:tcPr>
          <w:p>
            <w:pPr>
              <w:ind w:left="300"/>
              <w:spacing w:after="0"/>
              <w:rPr>
                <w:sz w:val="20"/>
                <w:szCs w:val="20"/>
                <w:color w:val="auto"/>
              </w:rPr>
            </w:pPr>
            <w:r>
              <w:rPr>
                <w:rFonts w:ascii="Arial" w:cs="Arial" w:eastAsia="Arial" w:hAnsi="Arial"/>
                <w:sz w:val="15"/>
                <w:szCs w:val="15"/>
                <w:color w:val="auto"/>
              </w:rPr>
              <w:t>Section 1350 Certification of Chief Financial Officer</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center"/>
              <w:ind w:left="112"/>
              <w:spacing w:after="0"/>
              <w:rPr>
                <w:sz w:val="20"/>
                <w:szCs w:val="20"/>
                <w:color w:val="auto"/>
              </w:rPr>
            </w:pPr>
            <w:r>
              <w:rPr>
                <w:rFonts w:ascii="Arial" w:cs="Arial" w:eastAsia="Arial" w:hAnsi="Arial"/>
                <w:sz w:val="15"/>
                <w:szCs w:val="15"/>
                <w:color w:val="auto"/>
              </w:rPr>
              <w:t>**</w:t>
            </w:r>
          </w:p>
        </w:tc>
      </w:tr>
      <w:tr>
        <w:trPr>
          <w:trHeight w:val="175"/>
        </w:trPr>
        <w:tc>
          <w:tcPr>
            <w:tcW w:w="840" w:type="dxa"/>
            <w:vAlign w:val="bottom"/>
          </w:tcPr>
          <w:p>
            <w:pPr>
              <w:spacing w:after="0"/>
              <w:rPr>
                <w:sz w:val="20"/>
                <w:szCs w:val="20"/>
                <w:color w:val="auto"/>
              </w:rPr>
            </w:pPr>
            <w:r>
              <w:rPr>
                <w:rFonts w:ascii="Arial" w:cs="Arial" w:eastAsia="Arial" w:hAnsi="Arial"/>
                <w:sz w:val="15"/>
                <w:szCs w:val="15"/>
                <w:color w:val="auto"/>
              </w:rPr>
              <w:t>101.INS</w:t>
            </w:r>
          </w:p>
        </w:tc>
        <w:tc>
          <w:tcPr>
            <w:tcW w:w="4540" w:type="dxa"/>
            <w:vAlign w:val="bottom"/>
          </w:tcPr>
          <w:p>
            <w:pPr>
              <w:ind w:left="300"/>
              <w:spacing w:after="0"/>
              <w:rPr>
                <w:sz w:val="20"/>
                <w:szCs w:val="20"/>
                <w:color w:val="auto"/>
              </w:rPr>
            </w:pPr>
            <w:r>
              <w:rPr>
                <w:rFonts w:ascii="Arial" w:cs="Arial" w:eastAsia="Arial" w:hAnsi="Arial"/>
                <w:sz w:val="15"/>
                <w:szCs w:val="15"/>
                <w:color w:val="auto"/>
              </w:rPr>
              <w:t>XBRL Instance Document</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center"/>
              <w:ind w:left="132"/>
              <w:spacing w:after="0"/>
              <w:rPr>
                <w:sz w:val="20"/>
                <w:szCs w:val="20"/>
                <w:color w:val="auto"/>
              </w:rPr>
            </w:pPr>
            <w:r>
              <w:rPr>
                <w:rFonts w:ascii="Arial" w:cs="Arial" w:eastAsia="Arial" w:hAnsi="Arial"/>
                <w:sz w:val="15"/>
                <w:szCs w:val="15"/>
                <w:color w:val="auto"/>
              </w:rPr>
              <w:t>*</w:t>
            </w:r>
          </w:p>
        </w:tc>
      </w:tr>
      <w:tr>
        <w:trPr>
          <w:trHeight w:val="175"/>
        </w:trPr>
        <w:tc>
          <w:tcPr>
            <w:tcW w:w="840" w:type="dxa"/>
            <w:vAlign w:val="bottom"/>
          </w:tcPr>
          <w:p>
            <w:pPr>
              <w:spacing w:after="0"/>
              <w:rPr>
                <w:sz w:val="20"/>
                <w:szCs w:val="20"/>
                <w:color w:val="auto"/>
              </w:rPr>
            </w:pPr>
            <w:r>
              <w:rPr>
                <w:rFonts w:ascii="Arial" w:cs="Arial" w:eastAsia="Arial" w:hAnsi="Arial"/>
                <w:sz w:val="15"/>
                <w:szCs w:val="15"/>
                <w:color w:val="auto"/>
              </w:rPr>
              <w:t>101.SCH</w:t>
            </w:r>
          </w:p>
        </w:tc>
        <w:tc>
          <w:tcPr>
            <w:tcW w:w="4540" w:type="dxa"/>
            <w:vAlign w:val="bottom"/>
          </w:tcPr>
          <w:p>
            <w:pPr>
              <w:ind w:left="300"/>
              <w:spacing w:after="0"/>
              <w:rPr>
                <w:sz w:val="20"/>
                <w:szCs w:val="20"/>
                <w:color w:val="auto"/>
              </w:rPr>
            </w:pPr>
            <w:r>
              <w:rPr>
                <w:rFonts w:ascii="Arial" w:cs="Arial" w:eastAsia="Arial" w:hAnsi="Arial"/>
                <w:sz w:val="15"/>
                <w:szCs w:val="15"/>
                <w:color w:val="auto"/>
              </w:rPr>
              <w:t>XBRL Taxonomy Extension Schema Document</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center"/>
              <w:ind w:left="132"/>
              <w:spacing w:after="0"/>
              <w:rPr>
                <w:sz w:val="20"/>
                <w:szCs w:val="20"/>
                <w:color w:val="auto"/>
              </w:rPr>
            </w:pPr>
            <w:r>
              <w:rPr>
                <w:rFonts w:ascii="Arial" w:cs="Arial" w:eastAsia="Arial" w:hAnsi="Arial"/>
                <w:sz w:val="15"/>
                <w:szCs w:val="15"/>
                <w:color w:val="auto"/>
              </w:rPr>
              <w:t>*</w:t>
            </w:r>
          </w:p>
        </w:tc>
      </w:tr>
      <w:tr>
        <w:trPr>
          <w:trHeight w:val="175"/>
        </w:trPr>
        <w:tc>
          <w:tcPr>
            <w:tcW w:w="840" w:type="dxa"/>
            <w:vAlign w:val="bottom"/>
          </w:tcPr>
          <w:p>
            <w:pPr>
              <w:spacing w:after="0"/>
              <w:rPr>
                <w:sz w:val="20"/>
                <w:szCs w:val="20"/>
                <w:color w:val="auto"/>
              </w:rPr>
            </w:pPr>
            <w:r>
              <w:rPr>
                <w:rFonts w:ascii="Arial" w:cs="Arial" w:eastAsia="Arial" w:hAnsi="Arial"/>
                <w:sz w:val="15"/>
                <w:szCs w:val="15"/>
                <w:color w:val="auto"/>
              </w:rPr>
              <w:t>101.CAL</w:t>
            </w:r>
          </w:p>
        </w:tc>
        <w:tc>
          <w:tcPr>
            <w:tcW w:w="4540" w:type="dxa"/>
            <w:vAlign w:val="bottom"/>
          </w:tcPr>
          <w:p>
            <w:pPr>
              <w:ind w:left="300"/>
              <w:spacing w:after="0"/>
              <w:rPr>
                <w:sz w:val="20"/>
                <w:szCs w:val="20"/>
                <w:color w:val="auto"/>
              </w:rPr>
            </w:pPr>
            <w:r>
              <w:rPr>
                <w:rFonts w:ascii="Arial" w:cs="Arial" w:eastAsia="Arial" w:hAnsi="Arial"/>
                <w:sz w:val="15"/>
                <w:szCs w:val="15"/>
                <w:color w:val="auto"/>
              </w:rPr>
              <w:t>XBRL Taxonomy Extension Calculation Linkbase Document</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center"/>
              <w:ind w:left="132"/>
              <w:spacing w:after="0"/>
              <w:rPr>
                <w:sz w:val="20"/>
                <w:szCs w:val="20"/>
                <w:color w:val="auto"/>
              </w:rPr>
            </w:pPr>
            <w:r>
              <w:rPr>
                <w:rFonts w:ascii="Arial" w:cs="Arial" w:eastAsia="Arial" w:hAnsi="Arial"/>
                <w:sz w:val="15"/>
                <w:szCs w:val="15"/>
                <w:color w:val="auto"/>
              </w:rPr>
              <w:t>*</w:t>
            </w:r>
          </w:p>
        </w:tc>
      </w:tr>
      <w:tr>
        <w:trPr>
          <w:trHeight w:val="175"/>
        </w:trPr>
        <w:tc>
          <w:tcPr>
            <w:tcW w:w="840" w:type="dxa"/>
            <w:vAlign w:val="bottom"/>
          </w:tcPr>
          <w:p>
            <w:pPr>
              <w:spacing w:after="0"/>
              <w:rPr>
                <w:sz w:val="20"/>
                <w:szCs w:val="20"/>
                <w:color w:val="auto"/>
              </w:rPr>
            </w:pPr>
            <w:r>
              <w:rPr>
                <w:rFonts w:ascii="Arial" w:cs="Arial" w:eastAsia="Arial" w:hAnsi="Arial"/>
                <w:sz w:val="15"/>
                <w:szCs w:val="15"/>
                <w:color w:val="auto"/>
              </w:rPr>
              <w:t>101.LAB</w:t>
            </w:r>
          </w:p>
        </w:tc>
        <w:tc>
          <w:tcPr>
            <w:tcW w:w="4540" w:type="dxa"/>
            <w:vAlign w:val="bottom"/>
          </w:tcPr>
          <w:p>
            <w:pPr>
              <w:ind w:left="300"/>
              <w:spacing w:after="0"/>
              <w:rPr>
                <w:sz w:val="20"/>
                <w:szCs w:val="20"/>
                <w:color w:val="auto"/>
              </w:rPr>
            </w:pPr>
            <w:r>
              <w:rPr>
                <w:rFonts w:ascii="Arial" w:cs="Arial" w:eastAsia="Arial" w:hAnsi="Arial"/>
                <w:sz w:val="15"/>
                <w:szCs w:val="15"/>
                <w:color w:val="auto"/>
              </w:rPr>
              <w:t>XBRL Taxonomy Extension Label Linkbase Document</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center"/>
              <w:ind w:left="132"/>
              <w:spacing w:after="0"/>
              <w:rPr>
                <w:sz w:val="20"/>
                <w:szCs w:val="20"/>
                <w:color w:val="auto"/>
              </w:rPr>
            </w:pPr>
            <w:r>
              <w:rPr>
                <w:rFonts w:ascii="Arial" w:cs="Arial" w:eastAsia="Arial" w:hAnsi="Arial"/>
                <w:sz w:val="15"/>
                <w:szCs w:val="15"/>
                <w:color w:val="auto"/>
              </w:rPr>
              <w:t>*</w:t>
            </w:r>
          </w:p>
        </w:tc>
      </w:tr>
      <w:tr>
        <w:trPr>
          <w:trHeight w:val="175"/>
        </w:trPr>
        <w:tc>
          <w:tcPr>
            <w:tcW w:w="840" w:type="dxa"/>
            <w:vAlign w:val="bottom"/>
          </w:tcPr>
          <w:p>
            <w:pPr>
              <w:spacing w:after="0"/>
              <w:rPr>
                <w:sz w:val="20"/>
                <w:szCs w:val="20"/>
                <w:color w:val="auto"/>
              </w:rPr>
            </w:pPr>
            <w:r>
              <w:rPr>
                <w:rFonts w:ascii="Arial" w:cs="Arial" w:eastAsia="Arial" w:hAnsi="Arial"/>
                <w:sz w:val="15"/>
                <w:szCs w:val="15"/>
                <w:color w:val="auto"/>
              </w:rPr>
              <w:t>101.PRE</w:t>
            </w:r>
          </w:p>
        </w:tc>
        <w:tc>
          <w:tcPr>
            <w:tcW w:w="4540" w:type="dxa"/>
            <w:vAlign w:val="bottom"/>
          </w:tcPr>
          <w:p>
            <w:pPr>
              <w:ind w:left="300"/>
              <w:spacing w:after="0"/>
              <w:rPr>
                <w:sz w:val="20"/>
                <w:szCs w:val="20"/>
                <w:color w:val="auto"/>
              </w:rPr>
            </w:pPr>
            <w:r>
              <w:rPr>
                <w:rFonts w:ascii="Arial" w:cs="Arial" w:eastAsia="Arial" w:hAnsi="Arial"/>
                <w:sz w:val="15"/>
                <w:szCs w:val="15"/>
                <w:color w:val="auto"/>
              </w:rPr>
              <w:t>XBRL Taxonomy Extension Presentation Linkbase Document</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center"/>
              <w:ind w:left="132"/>
              <w:spacing w:after="0"/>
              <w:rPr>
                <w:sz w:val="20"/>
                <w:szCs w:val="20"/>
                <w:color w:val="auto"/>
              </w:rPr>
            </w:pPr>
            <w:r>
              <w:rPr>
                <w:rFonts w:ascii="Arial" w:cs="Arial" w:eastAsia="Arial" w:hAnsi="Arial"/>
                <w:sz w:val="15"/>
                <w:szCs w:val="15"/>
                <w:color w:val="auto"/>
              </w:rPr>
              <w:t>*</w:t>
            </w:r>
          </w:p>
        </w:tc>
      </w:tr>
      <w:tr>
        <w:trPr>
          <w:trHeight w:val="186"/>
        </w:trPr>
        <w:tc>
          <w:tcPr>
            <w:tcW w:w="840" w:type="dxa"/>
            <w:vAlign w:val="bottom"/>
          </w:tcPr>
          <w:p>
            <w:pPr>
              <w:spacing w:after="0"/>
              <w:rPr>
                <w:sz w:val="20"/>
                <w:szCs w:val="20"/>
                <w:color w:val="auto"/>
              </w:rPr>
            </w:pPr>
            <w:r>
              <w:rPr>
                <w:rFonts w:ascii="Arial" w:cs="Arial" w:eastAsia="Arial" w:hAnsi="Arial"/>
                <w:sz w:val="15"/>
                <w:szCs w:val="15"/>
                <w:color w:val="auto"/>
              </w:rPr>
              <w:t>101.DEF</w:t>
            </w:r>
          </w:p>
        </w:tc>
        <w:tc>
          <w:tcPr>
            <w:tcW w:w="4540" w:type="dxa"/>
            <w:vAlign w:val="bottom"/>
          </w:tcPr>
          <w:p>
            <w:pPr>
              <w:ind w:left="300"/>
              <w:spacing w:after="0"/>
              <w:rPr>
                <w:sz w:val="20"/>
                <w:szCs w:val="20"/>
                <w:color w:val="auto"/>
              </w:rPr>
            </w:pPr>
            <w:r>
              <w:rPr>
                <w:rFonts w:ascii="Arial" w:cs="Arial" w:eastAsia="Arial" w:hAnsi="Arial"/>
                <w:sz w:val="15"/>
                <w:szCs w:val="15"/>
                <w:color w:val="auto"/>
              </w:rPr>
              <w:t>XBRL Taxonomy Extension Definition Linkbase Document</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jc w:val="center"/>
              <w:ind w:left="132"/>
              <w:spacing w:after="0"/>
              <w:rPr>
                <w:sz w:val="20"/>
                <w:szCs w:val="20"/>
                <w:color w:val="auto"/>
              </w:rPr>
            </w:pPr>
            <w:r>
              <w:rPr>
                <w:rFonts w:ascii="Arial" w:cs="Arial" w:eastAsia="Arial" w:hAnsi="Arial"/>
                <w:sz w:val="15"/>
                <w:szCs w:val="15"/>
                <w:color w:val="auto"/>
              </w:rPr>
              <w:t>*</w:t>
            </w:r>
          </w:p>
        </w:tc>
      </w:tr>
    </w:tbl>
    <w:p>
      <w:pPr>
        <w:spacing w:after="0" w:line="186" w:lineRule="exact"/>
        <w:rPr>
          <w:sz w:val="20"/>
          <w:szCs w:val="20"/>
          <w:color w:val="auto"/>
        </w:rPr>
      </w:pPr>
    </w:p>
    <w:p>
      <w:pPr>
        <w:ind w:left="520" w:hanging="476"/>
        <w:spacing w:after="0"/>
        <w:tabs>
          <w:tab w:leader="none" w:pos="5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13"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3"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ectPr>
          <w:pgSz w:w="11900" w:h="16838" w:orient="portrait"/>
          <w:cols w:equalWidth="0" w:num="1">
            <w:col w:w="10260"/>
          </w:cols>
          <w:pgMar w:left="220" w:top="472" w:right="14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LEASE</w:t>
      </w:r>
    </w:p>
    <w:p>
      <w:pPr>
        <w:spacing w:after="0" w:line="34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and between</w:t>
      </w:r>
    </w:p>
    <w:p>
      <w:pPr>
        <w:spacing w:after="0" w:line="34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BMR-SIDNEY RESEARCH CAMPUS LLC,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 Delaware limited liability company</w:t>
      </w:r>
    </w:p>
    <w:p>
      <w:pPr>
        <w:spacing w:after="0" w:line="32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4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SERES THERAPEUTICS, INC.,</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732790</wp:posOffset>
            </wp:positionV>
            <wp:extent cx="731202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40"/>
          </w:cols>
          <w:pgMar w:left="1440" w:top="292" w:right="2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340" w:type="dxa"/>
            <w:vAlign w:val="bottom"/>
          </w:tcPr>
          <w:p>
            <w:pPr>
              <w:ind w:left="458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19"/>
                <w:szCs w:val="19"/>
                <w:color w:val="auto"/>
              </w:rPr>
            </w:pPr>
          </w:p>
        </w:tc>
      </w:tr>
      <w:tr>
        <w:trPr>
          <w:trHeight w:val="39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8340" w:type="dxa"/>
            <w:vAlign w:val="bottom"/>
          </w:tcPr>
          <w:p>
            <w:pPr>
              <w:ind w:left="280"/>
              <w:spacing w:after="0"/>
              <w:rPr>
                <w:sz w:val="20"/>
                <w:szCs w:val="20"/>
                <w:color w:val="auto"/>
              </w:rPr>
            </w:pPr>
            <w:r>
              <w:rPr>
                <w:rFonts w:ascii="Arial" w:cs="Arial" w:eastAsia="Arial" w:hAnsi="Arial"/>
                <w:sz w:val="18"/>
                <w:szCs w:val="18"/>
                <w:color w:val="auto"/>
              </w:rPr>
              <w:t>Lease of Premises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8340" w:type="dxa"/>
            <w:vAlign w:val="bottom"/>
          </w:tcPr>
          <w:p>
            <w:pPr>
              <w:ind w:left="280"/>
              <w:spacing w:after="0"/>
              <w:rPr>
                <w:sz w:val="20"/>
                <w:szCs w:val="20"/>
                <w:color w:val="auto"/>
              </w:rPr>
            </w:pPr>
            <w:r>
              <w:rPr>
                <w:rFonts w:ascii="Arial" w:cs="Arial" w:eastAsia="Arial" w:hAnsi="Arial"/>
                <w:sz w:val="18"/>
                <w:szCs w:val="18"/>
                <w:color w:val="auto"/>
              </w:rPr>
              <w:t>Basic Lease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8340" w:type="dxa"/>
            <w:vAlign w:val="bottom"/>
          </w:tcPr>
          <w:p>
            <w:pPr>
              <w:ind w:left="280"/>
              <w:spacing w:after="0"/>
              <w:rPr>
                <w:sz w:val="20"/>
                <w:szCs w:val="20"/>
                <w:color w:val="auto"/>
              </w:rPr>
            </w:pPr>
            <w:r>
              <w:rPr>
                <w:rFonts w:ascii="Arial" w:cs="Arial" w:eastAsia="Arial" w:hAnsi="Arial"/>
                <w:sz w:val="18"/>
                <w:szCs w:val="18"/>
                <w:color w:val="auto"/>
              </w:rPr>
              <w:t>Term</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8340" w:type="dxa"/>
            <w:vAlign w:val="bottom"/>
          </w:tcPr>
          <w:p>
            <w:pPr>
              <w:ind w:left="280"/>
              <w:spacing w:after="0"/>
              <w:rPr>
                <w:sz w:val="20"/>
                <w:szCs w:val="20"/>
                <w:color w:val="auto"/>
              </w:rPr>
            </w:pPr>
            <w:r>
              <w:rPr>
                <w:rFonts w:ascii="Arial" w:cs="Arial" w:eastAsia="Arial" w:hAnsi="Arial"/>
                <w:sz w:val="18"/>
                <w:szCs w:val="18"/>
                <w:color w:val="auto"/>
              </w:rPr>
              <w:t>Possession and Commencement Date.</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8340" w:type="dxa"/>
            <w:vAlign w:val="bottom"/>
          </w:tcPr>
          <w:p>
            <w:pPr>
              <w:ind w:left="280"/>
              <w:spacing w:after="0"/>
              <w:rPr>
                <w:sz w:val="20"/>
                <w:szCs w:val="20"/>
                <w:color w:val="auto"/>
              </w:rPr>
            </w:pPr>
            <w:r>
              <w:rPr>
                <w:rFonts w:ascii="Arial" w:cs="Arial" w:eastAsia="Arial" w:hAnsi="Arial"/>
                <w:sz w:val="18"/>
                <w:szCs w:val="18"/>
                <w:color w:val="auto"/>
              </w:rPr>
              <w:t>Condition of Premises</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8340" w:type="dxa"/>
            <w:vAlign w:val="bottom"/>
          </w:tcPr>
          <w:p>
            <w:pPr>
              <w:ind w:left="280"/>
              <w:spacing w:after="0"/>
              <w:rPr>
                <w:sz w:val="20"/>
                <w:szCs w:val="20"/>
                <w:color w:val="auto"/>
              </w:rPr>
            </w:pPr>
            <w:r>
              <w:rPr>
                <w:rFonts w:ascii="Arial" w:cs="Arial" w:eastAsia="Arial" w:hAnsi="Arial"/>
                <w:sz w:val="18"/>
                <w:szCs w:val="18"/>
                <w:color w:val="auto"/>
              </w:rPr>
              <w:t>Rentable Area</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8340" w:type="dxa"/>
            <w:vAlign w:val="bottom"/>
          </w:tcPr>
          <w:p>
            <w:pPr>
              <w:ind w:left="280"/>
              <w:spacing w:after="0"/>
              <w:rPr>
                <w:sz w:val="20"/>
                <w:szCs w:val="20"/>
                <w:color w:val="auto"/>
              </w:rPr>
            </w:pPr>
            <w:r>
              <w:rPr>
                <w:rFonts w:ascii="Arial" w:cs="Arial" w:eastAsia="Arial" w:hAnsi="Arial"/>
                <w:sz w:val="18"/>
                <w:szCs w:val="18"/>
                <w:color w:val="auto"/>
              </w:rPr>
              <w:t>Rent</w:t>
            </w:r>
          </w:p>
        </w:tc>
        <w:tc>
          <w:tcPr>
            <w:tcW w:w="2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8340" w:type="dxa"/>
            <w:vAlign w:val="bottom"/>
          </w:tcPr>
          <w:p>
            <w:pPr>
              <w:ind w:left="280"/>
              <w:spacing w:after="0"/>
              <w:rPr>
                <w:sz w:val="20"/>
                <w:szCs w:val="20"/>
                <w:color w:val="auto"/>
              </w:rPr>
            </w:pPr>
            <w:r>
              <w:rPr>
                <w:rFonts w:ascii="Arial" w:cs="Arial" w:eastAsia="Arial" w:hAnsi="Arial"/>
                <w:sz w:val="18"/>
                <w:szCs w:val="18"/>
                <w:color w:val="auto"/>
              </w:rPr>
              <w:t>Rent Adjustments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834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8340" w:type="dxa"/>
            <w:vAlign w:val="bottom"/>
          </w:tcPr>
          <w:p>
            <w:pPr>
              <w:ind w:left="280"/>
              <w:spacing w:after="0"/>
              <w:rPr>
                <w:sz w:val="20"/>
                <w:szCs w:val="20"/>
                <w:color w:val="auto"/>
              </w:rPr>
            </w:pPr>
            <w:r>
              <w:rPr>
                <w:rFonts w:ascii="Arial" w:cs="Arial" w:eastAsia="Arial" w:hAnsi="Arial"/>
                <w:sz w:val="18"/>
                <w:szCs w:val="18"/>
                <w:color w:val="auto"/>
              </w:rPr>
              <w:t>Taxes on Tenant’s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8340" w:type="dxa"/>
            <w:vAlign w:val="bottom"/>
          </w:tcPr>
          <w:p>
            <w:pPr>
              <w:ind w:left="280"/>
              <w:spacing w:after="0"/>
              <w:rPr>
                <w:sz w:val="20"/>
                <w:szCs w:val="20"/>
                <w:color w:val="auto"/>
              </w:rPr>
            </w:pPr>
            <w:r>
              <w:rPr>
                <w:rFonts w:ascii="Arial" w:cs="Arial" w:eastAsia="Arial" w:hAnsi="Arial"/>
                <w:sz w:val="18"/>
                <w:szCs w:val="18"/>
                <w:color w:val="auto"/>
              </w:rPr>
              <w:t>Security Deposit</w:t>
            </w:r>
          </w:p>
        </w:tc>
        <w:tc>
          <w:tcPr>
            <w:tcW w:w="2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8340" w:type="dxa"/>
            <w:vAlign w:val="bottom"/>
          </w:tcPr>
          <w:p>
            <w:pPr>
              <w:ind w:left="280"/>
              <w:spacing w:after="0"/>
              <w:rPr>
                <w:sz w:val="20"/>
                <w:szCs w:val="20"/>
                <w:color w:val="auto"/>
              </w:rPr>
            </w:pPr>
            <w:r>
              <w:rPr>
                <w:rFonts w:ascii="Arial" w:cs="Arial" w:eastAsia="Arial" w:hAnsi="Arial"/>
                <w:sz w:val="18"/>
                <w:szCs w:val="18"/>
                <w:color w:val="auto"/>
              </w:rPr>
              <w:t>Use</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8340" w:type="dxa"/>
            <w:vAlign w:val="bottom"/>
          </w:tcPr>
          <w:p>
            <w:pPr>
              <w:ind w:left="280"/>
              <w:spacing w:after="0"/>
              <w:rPr>
                <w:sz w:val="20"/>
                <w:szCs w:val="20"/>
                <w:color w:val="auto"/>
              </w:rPr>
            </w:pPr>
            <w:r>
              <w:rPr>
                <w:rFonts w:ascii="Arial" w:cs="Arial" w:eastAsia="Arial" w:hAnsi="Arial"/>
                <w:sz w:val="18"/>
                <w:szCs w:val="18"/>
                <w:color w:val="auto"/>
              </w:rPr>
              <w:t>Rules and Regulations, CC&amp;Rs, Parking Facilities and Common Area</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8340" w:type="dxa"/>
            <w:vAlign w:val="bottom"/>
          </w:tcPr>
          <w:p>
            <w:pPr>
              <w:ind w:left="280"/>
              <w:spacing w:after="0"/>
              <w:rPr>
                <w:sz w:val="20"/>
                <w:szCs w:val="20"/>
                <w:color w:val="auto"/>
              </w:rPr>
            </w:pPr>
            <w:r>
              <w:rPr>
                <w:rFonts w:ascii="Arial" w:cs="Arial" w:eastAsia="Arial" w:hAnsi="Arial"/>
                <w:sz w:val="18"/>
                <w:szCs w:val="18"/>
                <w:color w:val="auto"/>
              </w:rPr>
              <w:t>Project Control by Landlord</w:t>
            </w:r>
          </w:p>
        </w:tc>
        <w:tc>
          <w:tcPr>
            <w:tcW w:w="2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8340" w:type="dxa"/>
            <w:vAlign w:val="bottom"/>
          </w:tcPr>
          <w:p>
            <w:pPr>
              <w:ind w:left="280"/>
              <w:spacing w:after="0"/>
              <w:rPr>
                <w:sz w:val="20"/>
                <w:szCs w:val="20"/>
                <w:color w:val="auto"/>
              </w:rPr>
            </w:pPr>
            <w:r>
              <w:rPr>
                <w:rFonts w:ascii="Arial" w:cs="Arial" w:eastAsia="Arial" w:hAnsi="Arial"/>
                <w:sz w:val="18"/>
                <w:szCs w:val="18"/>
                <w:color w:val="auto"/>
              </w:rPr>
              <w:t>Quiet Enjoyment</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8340" w:type="dxa"/>
            <w:vAlign w:val="bottom"/>
          </w:tcPr>
          <w:p>
            <w:pPr>
              <w:ind w:left="280"/>
              <w:spacing w:after="0"/>
              <w:rPr>
                <w:sz w:val="20"/>
                <w:szCs w:val="20"/>
                <w:color w:val="auto"/>
              </w:rPr>
            </w:pPr>
            <w:r>
              <w:rPr>
                <w:rFonts w:ascii="Arial" w:cs="Arial" w:eastAsia="Arial" w:hAnsi="Arial"/>
                <w:sz w:val="18"/>
                <w:szCs w:val="18"/>
                <w:color w:val="auto"/>
              </w:rPr>
              <w:t>Utilities and Services</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8340" w:type="dxa"/>
            <w:vAlign w:val="bottom"/>
          </w:tcPr>
          <w:p>
            <w:pPr>
              <w:ind w:left="280"/>
              <w:spacing w:after="0"/>
              <w:rPr>
                <w:sz w:val="20"/>
                <w:szCs w:val="20"/>
                <w:color w:val="auto"/>
              </w:rPr>
            </w:pPr>
            <w:r>
              <w:rPr>
                <w:rFonts w:ascii="Arial" w:cs="Arial" w:eastAsia="Arial" w:hAnsi="Arial"/>
                <w:sz w:val="18"/>
                <w:szCs w:val="18"/>
                <w:color w:val="auto"/>
              </w:rPr>
              <w:t>Alterations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8340" w:type="dxa"/>
            <w:vAlign w:val="bottom"/>
          </w:tcPr>
          <w:p>
            <w:pPr>
              <w:ind w:left="280"/>
              <w:spacing w:after="0"/>
              <w:rPr>
                <w:sz w:val="20"/>
                <w:szCs w:val="20"/>
                <w:color w:val="auto"/>
              </w:rPr>
            </w:pPr>
            <w:r>
              <w:rPr>
                <w:rFonts w:ascii="Arial" w:cs="Arial" w:eastAsia="Arial" w:hAnsi="Arial"/>
                <w:sz w:val="18"/>
                <w:szCs w:val="18"/>
                <w:color w:val="auto"/>
              </w:rPr>
              <w:t>Repairs and Maintenance</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8340" w:type="dxa"/>
            <w:vAlign w:val="bottom"/>
          </w:tcPr>
          <w:p>
            <w:pPr>
              <w:ind w:left="280"/>
              <w:spacing w:after="0"/>
              <w:rPr>
                <w:sz w:val="20"/>
                <w:szCs w:val="20"/>
                <w:color w:val="auto"/>
              </w:rPr>
            </w:pPr>
            <w:r>
              <w:rPr>
                <w:rFonts w:ascii="Arial" w:cs="Arial" w:eastAsia="Arial" w:hAnsi="Arial"/>
                <w:sz w:val="18"/>
                <w:szCs w:val="18"/>
                <w:color w:val="auto"/>
              </w:rPr>
              <w:t>Liens</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8340" w:type="dxa"/>
            <w:vAlign w:val="bottom"/>
          </w:tcPr>
          <w:p>
            <w:pPr>
              <w:ind w:left="280"/>
              <w:spacing w:after="0"/>
              <w:rPr>
                <w:sz w:val="20"/>
                <w:szCs w:val="20"/>
                <w:color w:val="auto"/>
              </w:rPr>
            </w:pPr>
            <w:r>
              <w:rPr>
                <w:rFonts w:ascii="Arial" w:cs="Arial" w:eastAsia="Arial" w:hAnsi="Arial"/>
                <w:sz w:val="18"/>
                <w:szCs w:val="18"/>
                <w:color w:val="auto"/>
              </w:rPr>
              <w:t>Estoppel Certificate</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8340" w:type="dxa"/>
            <w:vAlign w:val="bottom"/>
          </w:tcPr>
          <w:p>
            <w:pPr>
              <w:ind w:left="280"/>
              <w:spacing w:after="0"/>
              <w:rPr>
                <w:sz w:val="20"/>
                <w:szCs w:val="20"/>
                <w:color w:val="auto"/>
              </w:rPr>
            </w:pPr>
            <w:r>
              <w:rPr>
                <w:rFonts w:ascii="Arial" w:cs="Arial" w:eastAsia="Arial" w:hAnsi="Arial"/>
                <w:sz w:val="18"/>
                <w:szCs w:val="18"/>
                <w:color w:val="auto"/>
              </w:rPr>
              <w:t>Hazardous Materials.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8340" w:type="dxa"/>
            <w:vAlign w:val="bottom"/>
          </w:tcPr>
          <w:p>
            <w:pPr>
              <w:ind w:left="280"/>
              <w:spacing w:after="0"/>
              <w:rPr>
                <w:sz w:val="20"/>
                <w:szCs w:val="20"/>
                <w:color w:val="auto"/>
              </w:rPr>
            </w:pPr>
            <w:r>
              <w:rPr>
                <w:rFonts w:ascii="Arial" w:cs="Arial" w:eastAsia="Arial" w:hAnsi="Arial"/>
                <w:sz w:val="18"/>
                <w:szCs w:val="18"/>
                <w:color w:val="auto"/>
              </w:rPr>
              <w:t>Odors and Exhaust</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8340" w:type="dxa"/>
            <w:vAlign w:val="bottom"/>
          </w:tcPr>
          <w:p>
            <w:pPr>
              <w:ind w:left="280"/>
              <w:spacing w:after="0"/>
              <w:rPr>
                <w:sz w:val="20"/>
                <w:szCs w:val="20"/>
                <w:color w:val="auto"/>
              </w:rPr>
            </w:pPr>
            <w:r>
              <w:rPr>
                <w:rFonts w:ascii="Arial" w:cs="Arial" w:eastAsia="Arial" w:hAnsi="Arial"/>
                <w:sz w:val="18"/>
                <w:szCs w:val="18"/>
                <w:color w:val="auto"/>
              </w:rPr>
              <w:t>Insurance; Waivers of Subrogation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8340" w:type="dxa"/>
            <w:vAlign w:val="bottom"/>
          </w:tcPr>
          <w:p>
            <w:pPr>
              <w:ind w:left="280"/>
              <w:spacing w:after="0"/>
              <w:rPr>
                <w:sz w:val="20"/>
                <w:szCs w:val="20"/>
                <w:color w:val="auto"/>
              </w:rPr>
            </w:pPr>
            <w:r>
              <w:rPr>
                <w:rFonts w:ascii="Arial" w:cs="Arial" w:eastAsia="Arial" w:hAnsi="Arial"/>
                <w:sz w:val="18"/>
                <w:szCs w:val="18"/>
                <w:color w:val="auto"/>
              </w:rPr>
              <w:t>Damage or Destruction</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8340" w:type="dxa"/>
            <w:vAlign w:val="bottom"/>
          </w:tcPr>
          <w:p>
            <w:pPr>
              <w:ind w:left="280"/>
              <w:spacing w:after="0"/>
              <w:rPr>
                <w:sz w:val="20"/>
                <w:szCs w:val="20"/>
                <w:color w:val="auto"/>
              </w:rPr>
            </w:pPr>
            <w:r>
              <w:rPr>
                <w:rFonts w:ascii="Arial" w:cs="Arial" w:eastAsia="Arial" w:hAnsi="Arial"/>
                <w:sz w:val="18"/>
                <w:szCs w:val="18"/>
                <w:color w:val="auto"/>
              </w:rPr>
              <w:t>Eminent Domain</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8340" w:type="dxa"/>
            <w:vAlign w:val="bottom"/>
          </w:tcPr>
          <w:p>
            <w:pPr>
              <w:ind w:left="280"/>
              <w:spacing w:after="0"/>
              <w:rPr>
                <w:sz w:val="20"/>
                <w:szCs w:val="20"/>
                <w:color w:val="auto"/>
              </w:rPr>
            </w:pPr>
            <w:r>
              <w:rPr>
                <w:rFonts w:ascii="Arial" w:cs="Arial" w:eastAsia="Arial" w:hAnsi="Arial"/>
                <w:sz w:val="18"/>
                <w:szCs w:val="18"/>
                <w:color w:val="auto"/>
              </w:rPr>
              <w:t>Surrender</w:t>
            </w:r>
          </w:p>
        </w:tc>
        <w:tc>
          <w:tcPr>
            <w:tcW w:w="2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8340" w:type="dxa"/>
            <w:vAlign w:val="bottom"/>
          </w:tcPr>
          <w:p>
            <w:pPr>
              <w:ind w:left="280"/>
              <w:spacing w:after="0"/>
              <w:rPr>
                <w:sz w:val="20"/>
                <w:szCs w:val="20"/>
                <w:color w:val="auto"/>
              </w:rPr>
            </w:pPr>
            <w:r>
              <w:rPr>
                <w:rFonts w:ascii="Arial" w:cs="Arial" w:eastAsia="Arial" w:hAnsi="Arial"/>
                <w:sz w:val="18"/>
                <w:szCs w:val="18"/>
                <w:color w:val="auto"/>
              </w:rPr>
              <w:t>Holding Over</w:t>
            </w:r>
          </w:p>
        </w:tc>
        <w:tc>
          <w:tcPr>
            <w:tcW w:w="2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8340" w:type="dxa"/>
            <w:vAlign w:val="bottom"/>
          </w:tcPr>
          <w:p>
            <w:pPr>
              <w:ind w:left="280"/>
              <w:spacing w:after="0"/>
              <w:rPr>
                <w:sz w:val="20"/>
                <w:szCs w:val="20"/>
                <w:color w:val="auto"/>
              </w:rPr>
            </w:pPr>
            <w:r>
              <w:rPr>
                <w:rFonts w:ascii="Arial" w:cs="Arial" w:eastAsia="Arial" w:hAnsi="Arial"/>
                <w:sz w:val="18"/>
                <w:szCs w:val="18"/>
                <w:color w:val="auto"/>
              </w:rPr>
              <w:t>Indemnification and Exculpation</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8340" w:type="dxa"/>
            <w:vAlign w:val="bottom"/>
          </w:tcPr>
          <w:p>
            <w:pPr>
              <w:ind w:left="280"/>
              <w:spacing w:after="0"/>
              <w:rPr>
                <w:sz w:val="20"/>
                <w:szCs w:val="20"/>
                <w:color w:val="auto"/>
              </w:rPr>
            </w:pPr>
            <w:r>
              <w:rPr>
                <w:rFonts w:ascii="Arial" w:cs="Arial" w:eastAsia="Arial" w:hAnsi="Arial"/>
                <w:sz w:val="18"/>
                <w:szCs w:val="18"/>
                <w:color w:val="auto"/>
              </w:rPr>
              <w:t>Assignment or Subletting</w:t>
            </w:r>
          </w:p>
        </w:tc>
        <w:tc>
          <w:tcPr>
            <w:tcW w:w="2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30.</w:t>
            </w:r>
          </w:p>
        </w:tc>
        <w:tc>
          <w:tcPr>
            <w:tcW w:w="8340" w:type="dxa"/>
            <w:vAlign w:val="bottom"/>
          </w:tcPr>
          <w:p>
            <w:pPr>
              <w:ind w:left="280"/>
              <w:spacing w:after="0"/>
              <w:rPr>
                <w:sz w:val="20"/>
                <w:szCs w:val="20"/>
                <w:color w:val="auto"/>
              </w:rPr>
            </w:pPr>
            <w:r>
              <w:rPr>
                <w:rFonts w:ascii="Arial" w:cs="Arial" w:eastAsia="Arial" w:hAnsi="Arial"/>
                <w:sz w:val="18"/>
                <w:szCs w:val="18"/>
                <w:color w:val="auto"/>
              </w:rPr>
              <w:t>Subordination and Attornment</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8340" w:type="dxa"/>
            <w:vAlign w:val="bottom"/>
          </w:tcPr>
          <w:p>
            <w:pPr>
              <w:ind w:left="280"/>
              <w:spacing w:after="0"/>
              <w:rPr>
                <w:sz w:val="20"/>
                <w:szCs w:val="20"/>
                <w:color w:val="auto"/>
              </w:rPr>
            </w:pPr>
            <w:r>
              <w:rPr>
                <w:rFonts w:ascii="Arial" w:cs="Arial" w:eastAsia="Arial" w:hAnsi="Arial"/>
                <w:sz w:val="18"/>
                <w:szCs w:val="18"/>
                <w:color w:val="auto"/>
              </w:rPr>
              <w:t>Defaults and Remedies</w:t>
            </w: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340" w:type="dxa"/>
            <w:vAlign w:val="bottom"/>
          </w:tcPr>
          <w:p>
            <w:pPr>
              <w:ind w:left="280"/>
              <w:spacing w:after="0"/>
              <w:rPr>
                <w:sz w:val="20"/>
                <w:szCs w:val="20"/>
                <w:color w:val="auto"/>
              </w:rPr>
            </w:pPr>
            <w:r>
              <w:rPr>
                <w:rFonts w:ascii="Arial" w:cs="Arial" w:eastAsia="Arial" w:hAnsi="Arial"/>
                <w:sz w:val="18"/>
                <w:szCs w:val="18"/>
                <w:color w:val="auto"/>
              </w:rPr>
              <w:t>Bankruptcy</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8340" w:type="dxa"/>
            <w:vAlign w:val="bottom"/>
          </w:tcPr>
          <w:p>
            <w:pPr>
              <w:ind w:left="280"/>
              <w:spacing w:after="0"/>
              <w:rPr>
                <w:sz w:val="20"/>
                <w:szCs w:val="20"/>
                <w:color w:val="auto"/>
              </w:rPr>
            </w:pPr>
            <w:r>
              <w:rPr>
                <w:rFonts w:ascii="Arial" w:cs="Arial" w:eastAsia="Arial" w:hAnsi="Arial"/>
                <w:sz w:val="18"/>
                <w:szCs w:val="18"/>
                <w:color w:val="auto"/>
              </w:rPr>
              <w:t>Brokers</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34.</w:t>
            </w:r>
          </w:p>
        </w:tc>
        <w:tc>
          <w:tcPr>
            <w:tcW w:w="6720" w:type="dxa"/>
            <w:vAlign w:val="bottom"/>
          </w:tcPr>
          <w:p>
            <w:pPr>
              <w:ind w:left="280"/>
              <w:spacing w:after="0"/>
              <w:rPr>
                <w:sz w:val="20"/>
                <w:szCs w:val="20"/>
                <w:color w:val="auto"/>
              </w:rPr>
            </w:pPr>
            <w:r>
              <w:rPr>
                <w:rFonts w:ascii="Arial" w:cs="Arial" w:eastAsia="Arial" w:hAnsi="Arial"/>
                <w:sz w:val="18"/>
                <w:szCs w:val="18"/>
                <w:color w:val="auto"/>
              </w:rPr>
              <w:t>Definition of Landlord</w:t>
            </w:r>
          </w:p>
        </w:tc>
        <w:tc>
          <w:tcPr>
            <w:tcW w:w="4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35.</w:t>
            </w:r>
          </w:p>
        </w:tc>
        <w:tc>
          <w:tcPr>
            <w:tcW w:w="6720" w:type="dxa"/>
            <w:vAlign w:val="bottom"/>
          </w:tcPr>
          <w:p>
            <w:pPr>
              <w:ind w:left="280"/>
              <w:spacing w:after="0"/>
              <w:rPr>
                <w:sz w:val="20"/>
                <w:szCs w:val="20"/>
                <w:color w:val="auto"/>
              </w:rPr>
            </w:pPr>
            <w:r>
              <w:rPr>
                <w:rFonts w:ascii="Arial" w:cs="Arial" w:eastAsia="Arial" w:hAnsi="Arial"/>
                <w:sz w:val="18"/>
                <w:szCs w:val="18"/>
                <w:color w:val="auto"/>
              </w:rPr>
              <w:t>Limitation of Landlord’s Liability</w:t>
            </w:r>
          </w:p>
        </w:tc>
        <w:tc>
          <w:tcPr>
            <w:tcW w:w="4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36.</w:t>
            </w:r>
          </w:p>
        </w:tc>
        <w:tc>
          <w:tcPr>
            <w:tcW w:w="6720" w:type="dxa"/>
            <w:vAlign w:val="bottom"/>
          </w:tcPr>
          <w:p>
            <w:pPr>
              <w:ind w:left="280"/>
              <w:spacing w:after="0"/>
              <w:rPr>
                <w:sz w:val="20"/>
                <w:szCs w:val="20"/>
                <w:color w:val="auto"/>
              </w:rPr>
            </w:pPr>
            <w:r>
              <w:rPr>
                <w:rFonts w:ascii="Arial" w:cs="Arial" w:eastAsia="Arial" w:hAnsi="Arial"/>
                <w:sz w:val="18"/>
                <w:szCs w:val="18"/>
                <w:color w:val="auto"/>
              </w:rPr>
              <w:t>Joint and Several Obligations</w:t>
            </w:r>
          </w:p>
        </w:tc>
        <w:tc>
          <w:tcPr>
            <w:tcW w:w="4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37.</w:t>
            </w:r>
          </w:p>
        </w:tc>
        <w:tc>
          <w:tcPr>
            <w:tcW w:w="6720" w:type="dxa"/>
            <w:vAlign w:val="bottom"/>
          </w:tcPr>
          <w:p>
            <w:pPr>
              <w:ind w:left="280"/>
              <w:spacing w:after="0"/>
              <w:rPr>
                <w:sz w:val="20"/>
                <w:szCs w:val="20"/>
                <w:color w:val="auto"/>
              </w:rPr>
            </w:pPr>
            <w:r>
              <w:rPr>
                <w:rFonts w:ascii="Arial" w:cs="Arial" w:eastAsia="Arial" w:hAnsi="Arial"/>
                <w:sz w:val="18"/>
                <w:szCs w:val="18"/>
                <w:color w:val="auto"/>
              </w:rPr>
              <w:t>Representations</w:t>
            </w:r>
          </w:p>
        </w:tc>
        <w:tc>
          <w:tcPr>
            <w:tcW w:w="4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38.</w:t>
            </w:r>
          </w:p>
        </w:tc>
        <w:tc>
          <w:tcPr>
            <w:tcW w:w="672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4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39.</w:t>
            </w:r>
          </w:p>
        </w:tc>
        <w:tc>
          <w:tcPr>
            <w:tcW w:w="6720" w:type="dxa"/>
            <w:vAlign w:val="bottom"/>
          </w:tcPr>
          <w:p>
            <w:pPr>
              <w:ind w:left="280"/>
              <w:spacing w:after="0"/>
              <w:rPr>
                <w:sz w:val="20"/>
                <w:szCs w:val="20"/>
                <w:color w:val="auto"/>
              </w:rPr>
            </w:pPr>
            <w:r>
              <w:rPr>
                <w:rFonts w:ascii="Arial" w:cs="Arial" w:eastAsia="Arial" w:hAnsi="Arial"/>
                <w:sz w:val="18"/>
                <w:szCs w:val="18"/>
                <w:color w:val="auto"/>
              </w:rPr>
              <w:t>Notices</w:t>
            </w:r>
          </w:p>
        </w:tc>
        <w:tc>
          <w:tcPr>
            <w:tcW w:w="4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40.</w:t>
            </w:r>
          </w:p>
        </w:tc>
        <w:tc>
          <w:tcPr>
            <w:tcW w:w="6720" w:type="dxa"/>
            <w:vAlign w:val="bottom"/>
          </w:tcPr>
          <w:p>
            <w:pPr>
              <w:ind w:left="280"/>
              <w:spacing w:after="0"/>
              <w:rPr>
                <w:sz w:val="20"/>
                <w:szCs w:val="20"/>
                <w:color w:val="auto"/>
              </w:rPr>
            </w:pPr>
            <w:r>
              <w:rPr>
                <w:rFonts w:ascii="Arial" w:cs="Arial" w:eastAsia="Arial" w:hAnsi="Arial"/>
                <w:sz w:val="18"/>
                <w:szCs w:val="18"/>
                <w:color w:val="auto"/>
              </w:rPr>
              <w:t>Miscellaneous</w:t>
            </w:r>
          </w:p>
        </w:tc>
        <w:tc>
          <w:tcPr>
            <w:tcW w:w="4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41.</w:t>
            </w:r>
          </w:p>
        </w:tc>
        <w:tc>
          <w:tcPr>
            <w:tcW w:w="6720" w:type="dxa"/>
            <w:vAlign w:val="bottom"/>
          </w:tcPr>
          <w:p>
            <w:pPr>
              <w:ind w:left="280"/>
              <w:spacing w:after="0"/>
              <w:rPr>
                <w:sz w:val="20"/>
                <w:szCs w:val="20"/>
                <w:color w:val="auto"/>
              </w:rPr>
            </w:pPr>
            <w:r>
              <w:rPr>
                <w:rFonts w:ascii="Arial" w:cs="Arial" w:eastAsia="Arial" w:hAnsi="Arial"/>
                <w:sz w:val="18"/>
                <w:szCs w:val="18"/>
                <w:color w:val="auto"/>
              </w:rPr>
              <w:t>Rooftop Installation Area</w:t>
            </w:r>
          </w:p>
        </w:tc>
        <w:tc>
          <w:tcPr>
            <w:tcW w:w="4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42.</w:t>
            </w:r>
          </w:p>
        </w:tc>
        <w:tc>
          <w:tcPr>
            <w:tcW w:w="6720" w:type="dxa"/>
            <w:vAlign w:val="bottom"/>
          </w:tcPr>
          <w:p>
            <w:pPr>
              <w:ind w:left="280"/>
              <w:spacing w:after="0"/>
              <w:rPr>
                <w:sz w:val="20"/>
                <w:szCs w:val="20"/>
                <w:color w:val="auto"/>
              </w:rPr>
            </w:pPr>
            <w:r>
              <w:rPr>
                <w:rFonts w:ascii="Arial" w:cs="Arial" w:eastAsia="Arial" w:hAnsi="Arial"/>
                <w:sz w:val="18"/>
                <w:szCs w:val="18"/>
                <w:color w:val="auto"/>
              </w:rPr>
              <w:t>Option to Extend Term</w:t>
            </w:r>
          </w:p>
        </w:tc>
        <w:tc>
          <w:tcPr>
            <w:tcW w:w="4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43.</w:t>
            </w:r>
          </w:p>
        </w:tc>
        <w:tc>
          <w:tcPr>
            <w:tcW w:w="6720" w:type="dxa"/>
            <w:vAlign w:val="bottom"/>
          </w:tcPr>
          <w:p>
            <w:pPr>
              <w:ind w:left="280"/>
              <w:spacing w:after="0"/>
              <w:rPr>
                <w:sz w:val="20"/>
                <w:szCs w:val="20"/>
                <w:color w:val="auto"/>
              </w:rPr>
            </w:pPr>
            <w:r>
              <w:rPr>
                <w:rFonts w:ascii="Arial" w:cs="Arial" w:eastAsia="Arial" w:hAnsi="Arial"/>
                <w:sz w:val="18"/>
                <w:szCs w:val="18"/>
                <w:color w:val="auto"/>
              </w:rPr>
              <w:t>Right of First Offer</w:t>
            </w:r>
          </w:p>
        </w:tc>
        <w:tc>
          <w:tcPr>
            <w:tcW w:w="4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44.</w:t>
            </w:r>
          </w:p>
        </w:tc>
        <w:tc>
          <w:tcPr>
            <w:tcW w:w="6720" w:type="dxa"/>
            <w:vAlign w:val="bottom"/>
          </w:tcPr>
          <w:p>
            <w:pPr>
              <w:ind w:left="280"/>
              <w:spacing w:after="0"/>
              <w:rPr>
                <w:sz w:val="20"/>
                <w:szCs w:val="20"/>
                <w:color w:val="auto"/>
              </w:rPr>
            </w:pPr>
            <w:r>
              <w:rPr>
                <w:rFonts w:ascii="Arial" w:cs="Arial" w:eastAsia="Arial" w:hAnsi="Arial"/>
                <w:sz w:val="18"/>
                <w:szCs w:val="18"/>
                <w:color w:val="auto"/>
              </w:rPr>
              <w:t>Bicycle Storage</w:t>
            </w:r>
          </w:p>
        </w:tc>
        <w:tc>
          <w:tcPr>
            <w:tcW w:w="42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85" w:right="2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u w:val="single" w:color="auto"/>
          <w:color w:val="auto"/>
        </w:rPr>
        <w:t>LEASE</w:t>
      </w:r>
    </w:p>
    <w:p>
      <w:pPr>
        <w:spacing w:after="0" w:line="171"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THIS LEASE (this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is entered into as of this </w:t>
      </w:r>
      <w:r>
        <w:rPr>
          <w:rFonts w:ascii="Arial" w:cs="Arial" w:eastAsia="Arial" w:hAnsi="Arial"/>
          <w:sz w:val="18"/>
          <w:szCs w:val="18"/>
          <w:u w:val="single" w:color="auto"/>
          <w:color w:val="auto"/>
        </w:rPr>
        <w:t>11th</w:t>
      </w:r>
      <w:r>
        <w:rPr>
          <w:rFonts w:ascii="Arial" w:cs="Arial" w:eastAsia="Arial" w:hAnsi="Arial"/>
          <w:sz w:val="18"/>
          <w:szCs w:val="18"/>
          <w:color w:val="auto"/>
        </w:rPr>
        <w:t xml:space="preserve"> day of November, 2015 (the “</w:t>
      </w:r>
      <w:r>
        <w:rPr>
          <w:rFonts w:ascii="Arial" w:cs="Arial" w:eastAsia="Arial" w:hAnsi="Arial"/>
          <w:sz w:val="18"/>
          <w:szCs w:val="18"/>
          <w:u w:val="single" w:color="auto"/>
          <w:color w:val="auto"/>
        </w:rPr>
        <w:t>Execution Date</w:t>
      </w:r>
      <w:r>
        <w:rPr>
          <w:rFonts w:ascii="Arial" w:cs="Arial" w:eastAsia="Arial" w:hAnsi="Arial"/>
          <w:sz w:val="18"/>
          <w:szCs w:val="18"/>
          <w:color w:val="auto"/>
        </w:rPr>
        <w:t>”), by and between BMR-Sidney Research Campus LLC (f/k/a BMR-200 Sidney Street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Seres Therapeutics,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1"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A. WHEREAS, Landlord owns certain real property (the “</w:t>
      </w:r>
      <w:r>
        <w:rPr>
          <w:rFonts w:ascii="Arial" w:cs="Arial" w:eastAsia="Arial" w:hAnsi="Arial"/>
          <w:sz w:val="18"/>
          <w:szCs w:val="18"/>
          <w:u w:val="single" w:color="auto"/>
          <w:color w:val="auto"/>
        </w:rPr>
        <w:t>Property</w:t>
      </w:r>
      <w:r>
        <w:rPr>
          <w:rFonts w:ascii="Arial" w:cs="Arial" w:eastAsia="Arial" w:hAnsi="Arial"/>
          <w:sz w:val="18"/>
          <w:szCs w:val="18"/>
          <w:color w:val="auto"/>
        </w:rPr>
        <w:t>”) and the improvements on the Property located at 200 Sidney Street, Cambridge, Massachusetts, including the building located thereon (the “</w:t>
      </w:r>
      <w:r>
        <w:rPr>
          <w:rFonts w:ascii="Arial" w:cs="Arial" w:eastAsia="Arial" w:hAnsi="Arial"/>
          <w:sz w:val="18"/>
          <w:szCs w:val="18"/>
          <w:u w:val="single" w:color="auto"/>
          <w:color w:val="auto"/>
        </w:rPr>
        <w:t>Building</w:t>
      </w:r>
      <w:r>
        <w:rPr>
          <w:rFonts w:ascii="Arial" w:cs="Arial" w:eastAsia="Arial" w:hAnsi="Arial"/>
          <w:sz w:val="18"/>
          <w:szCs w:val="18"/>
          <w:color w:val="auto"/>
        </w:rPr>
        <w:t>”); and</w:t>
      </w:r>
    </w:p>
    <w:p>
      <w:pPr>
        <w:spacing w:after="0" w:line="146"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B. WHEREAS, Landlord wishes to lease to Tenant, and Tenant desires to lease from Landlord,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located in the basement and on the first (1</w:t>
      </w:r>
      <w:r>
        <w:rPr>
          <w:rFonts w:ascii="Arial" w:cs="Arial" w:eastAsia="Arial" w:hAnsi="Arial"/>
          <w:sz w:val="13"/>
          <w:szCs w:val="13"/>
          <w:color w:val="auto"/>
        </w:rPr>
        <w:t>st</w:t>
      </w:r>
      <w:r>
        <w:rPr>
          <w:rFonts w:ascii="Arial" w:cs="Arial" w:eastAsia="Arial" w:hAnsi="Arial"/>
          <w:sz w:val="16"/>
          <w:szCs w:val="16"/>
          <w:color w:val="auto"/>
        </w:rPr>
        <w:t>), second (2</w:t>
      </w:r>
      <w:r>
        <w:rPr>
          <w:rFonts w:ascii="Arial" w:cs="Arial" w:eastAsia="Arial" w:hAnsi="Arial"/>
          <w:sz w:val="13"/>
          <w:szCs w:val="13"/>
          <w:color w:val="auto"/>
        </w:rPr>
        <w:t>nd</w:t>
      </w:r>
      <w:r>
        <w:rPr>
          <w:rFonts w:ascii="Arial" w:cs="Arial" w:eastAsia="Arial" w:hAnsi="Arial"/>
          <w:sz w:val="16"/>
          <w:szCs w:val="16"/>
          <w:color w:val="auto"/>
        </w:rPr>
        <w:t>) and fourth (4</w:t>
      </w:r>
      <w:r>
        <w:rPr>
          <w:rFonts w:ascii="Arial" w:cs="Arial" w:eastAsia="Arial" w:hAnsi="Arial"/>
          <w:sz w:val="13"/>
          <w:szCs w:val="13"/>
          <w:color w:val="auto"/>
        </w:rPr>
        <w:t>th</w:t>
      </w:r>
      <w:r>
        <w:rPr>
          <w:rFonts w:ascii="Arial" w:cs="Arial" w:eastAsia="Arial" w:hAnsi="Arial"/>
          <w:sz w:val="16"/>
          <w:szCs w:val="16"/>
          <w:color w:val="auto"/>
        </w:rPr>
        <w:t>) floors of the Building, pursuant to the terms and conditions of this Lease, as detailed below.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46"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Lease of Premises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1.1. Effective on the Term Commencement Date (as defined below), Landlord hereby leases to Tenant, and Tenant hereby leases from Landlord, the Premises,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including exclusive shafts, cable runs, mechanical spaces and rooftop areas, for use by Tenant in accordance with the Permitted Use (as defined below) and no other uses (except that the Control Areas and Rooftop Installation Area (both as hereinafter defined) that are depicted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are explicitly not part of the Premises demised under this Lease). The Property and all landscaping, parking facilities, private drives and other improvements and appurtenances related thereto, including the Building and the parking garage located at 47 Erie Street in Cambridge, Massachusetts (to the extent of Landlord’s interest therein) (the “</w:t>
      </w:r>
      <w:r>
        <w:rPr>
          <w:rFonts w:ascii="Arial" w:cs="Arial" w:eastAsia="Arial" w:hAnsi="Arial"/>
          <w:sz w:val="16"/>
          <w:szCs w:val="16"/>
          <w:u w:val="single" w:color="auto"/>
          <w:color w:val="auto"/>
        </w:rPr>
        <w:t>Parking Garage</w:t>
      </w:r>
      <w:r>
        <w:rPr>
          <w:rFonts w:ascii="Arial" w:cs="Arial" w:eastAsia="Arial" w:hAnsi="Arial"/>
          <w:sz w:val="16"/>
          <w:szCs w:val="16"/>
          <w:color w:val="auto"/>
        </w:rPr>
        <w:t>”), are hereinafter collectively referred to as the “</w:t>
      </w:r>
      <w:r>
        <w:rPr>
          <w:rFonts w:ascii="Arial" w:cs="Arial" w:eastAsia="Arial" w:hAnsi="Arial"/>
          <w:sz w:val="16"/>
          <w:szCs w:val="16"/>
          <w:u w:val="single" w:color="auto"/>
          <w:color w:val="auto"/>
        </w:rPr>
        <w:t>Project</w:t>
      </w:r>
      <w:r>
        <w:rPr>
          <w:rFonts w:ascii="Arial" w:cs="Arial" w:eastAsia="Arial" w:hAnsi="Arial"/>
          <w:sz w:val="16"/>
          <w:szCs w:val="16"/>
          <w:color w:val="auto"/>
        </w:rPr>
        <w:t>.” All portions of the Project that are for the non-exclusive use of the tenants of the Building, such as service corridors, stairways, elevators, public restrooms, public lobbies, driveways, sidewalks, parking areas, the Parking Garage, and landscaped areas, are hereinafter referred to as “</w:t>
      </w:r>
      <w:r>
        <w:rPr>
          <w:rFonts w:ascii="Arial" w:cs="Arial" w:eastAsia="Arial" w:hAnsi="Arial"/>
          <w:sz w:val="16"/>
          <w:szCs w:val="16"/>
          <w:u w:val="single" w:color="auto"/>
          <w:color w:val="auto"/>
        </w:rPr>
        <w:t>Common Area</w:t>
      </w:r>
      <w:r>
        <w:rPr>
          <w:rFonts w:ascii="Arial" w:cs="Arial" w:eastAsia="Arial" w:hAnsi="Arial"/>
          <w:sz w:val="16"/>
          <w:szCs w:val="16"/>
          <w:color w:val="auto"/>
        </w:rPr>
        <w:t>.”</w:t>
      </w:r>
    </w:p>
    <w:p>
      <w:pPr>
        <w:spacing w:after="0" w:line="137" w:lineRule="exact"/>
        <w:rPr>
          <w:sz w:val="20"/>
          <w:szCs w:val="20"/>
          <w:color w:val="auto"/>
        </w:rPr>
      </w:pPr>
    </w:p>
    <w:p>
      <w:pPr>
        <w:ind w:right="20" w:firstLine="8"/>
        <w:spacing w:after="0" w:line="245" w:lineRule="auto"/>
        <w:tabs>
          <w:tab w:leader="none" w:pos="17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Basic Lease Provisions.</w:t>
      </w:r>
      <w:r>
        <w:rPr>
          <w:rFonts w:ascii="Arial" w:cs="Arial" w:eastAsia="Arial" w:hAnsi="Arial"/>
          <w:sz w:val="18"/>
          <w:szCs w:val="18"/>
          <w:color w:val="auto"/>
        </w:rPr>
        <w:t xml:space="preserve">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46" w:lineRule="exact"/>
        <w:rPr>
          <w:sz w:val="20"/>
          <w:szCs w:val="20"/>
          <w:color w:val="auto"/>
        </w:rPr>
      </w:pPr>
    </w:p>
    <w:p>
      <w:pPr>
        <w:ind w:firstLine="764"/>
        <w:spacing w:after="0" w:line="306" w:lineRule="auto"/>
        <w:rPr>
          <w:sz w:val="20"/>
          <w:szCs w:val="20"/>
          <w:color w:val="auto"/>
        </w:rPr>
      </w:pPr>
      <w:r>
        <w:rPr>
          <w:rFonts w:ascii="Arial" w:cs="Arial" w:eastAsia="Arial" w:hAnsi="Arial"/>
          <w:sz w:val="16"/>
          <w:szCs w:val="16"/>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31202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19" w:name="page120"/>
    <w:bookmarkEnd w:id="119"/>
    <w:p>
      <w:pPr>
        <w:ind w:firstLine="764"/>
        <w:spacing w:after="0" w:line="245" w:lineRule="auto"/>
        <w:rPr>
          <w:sz w:val="20"/>
          <w:szCs w:val="20"/>
          <w:color w:val="auto"/>
        </w:rPr>
      </w:pPr>
      <w:r>
        <w:rPr>
          <w:rFonts w:ascii="Arial" w:cs="Arial" w:eastAsia="Arial" w:hAnsi="Arial"/>
          <w:sz w:val="18"/>
          <w:szCs w:val="18"/>
          <w:color w:val="auto"/>
        </w:rPr>
        <w:t>2.2. In the definitions below, each current Rentable Area (as defined below) is expressed in square feet. Rentable Area and “Tenant’s Pro Rata Share” are all subject to adjustment as provided in this Lease.</w:t>
      </w:r>
    </w:p>
    <w:p>
      <w:pPr>
        <w:spacing w:after="0" w:line="142"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82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8"/>
              </w:rPr>
              <w:t>Definition or Provision</w:t>
            </w:r>
          </w:p>
        </w:tc>
        <w:tc>
          <w:tcPr>
            <w:tcW w:w="260" w:type="dxa"/>
            <w:vAlign w:val="bottom"/>
          </w:tcPr>
          <w:p>
            <w:pPr>
              <w:spacing w:after="0"/>
              <w:rPr>
                <w:sz w:val="17"/>
                <w:szCs w:val="17"/>
                <w:color w:val="auto"/>
              </w:rPr>
            </w:pPr>
          </w:p>
        </w:tc>
        <w:tc>
          <w:tcPr>
            <w:tcW w:w="5240" w:type="dxa"/>
            <w:vAlign w:val="bottom"/>
            <w:gridSpan w:val="17"/>
          </w:tcPr>
          <w:p>
            <w:pPr>
              <w:jc w:val="center"/>
              <w:ind w:right="240"/>
              <w:spacing w:after="0"/>
              <w:rPr>
                <w:sz w:val="20"/>
                <w:szCs w:val="20"/>
                <w:color w:val="auto"/>
              </w:rPr>
            </w:pPr>
            <w:r>
              <w:rPr>
                <w:rFonts w:ascii="Arial" w:cs="Arial" w:eastAsia="Arial" w:hAnsi="Arial"/>
                <w:sz w:val="18"/>
                <w:szCs w:val="18"/>
                <w:b w:val="1"/>
                <w:bCs w:val="1"/>
                <w:color w:val="auto"/>
                <w:w w:val="87"/>
              </w:rPr>
              <w:t>Means the Following (As of the Term Commencement Date)</w:t>
            </w:r>
          </w:p>
        </w:tc>
      </w:tr>
      <w:tr>
        <w:trPr>
          <w:trHeight w:val="20"/>
        </w:trPr>
        <w:tc>
          <w:tcPr>
            <w:tcW w:w="5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80"/>
        </w:trPr>
        <w:tc>
          <w:tcPr>
            <w:tcW w:w="4400" w:type="dxa"/>
            <w:vAlign w:val="bottom"/>
            <w:gridSpan w:val="3"/>
          </w:tcPr>
          <w:p>
            <w:pPr>
              <w:jc w:val="center"/>
              <w:ind w:right="1560"/>
              <w:spacing w:after="0"/>
              <w:rPr>
                <w:sz w:val="20"/>
                <w:szCs w:val="20"/>
                <w:color w:val="auto"/>
              </w:rPr>
            </w:pPr>
            <w:r>
              <w:rPr>
                <w:rFonts w:ascii="Arial" w:cs="Arial" w:eastAsia="Arial" w:hAnsi="Arial"/>
                <w:sz w:val="18"/>
                <w:szCs w:val="18"/>
                <w:color w:val="auto"/>
                <w:w w:val="88"/>
              </w:rPr>
              <w:t>Approximate Rentable Area of Premises</w:t>
            </w:r>
          </w:p>
        </w:tc>
        <w:tc>
          <w:tcPr>
            <w:tcW w:w="5500" w:type="dxa"/>
            <w:vAlign w:val="bottom"/>
            <w:gridSpan w:val="18"/>
          </w:tcPr>
          <w:p>
            <w:pPr>
              <w:spacing w:after="0"/>
              <w:rPr>
                <w:sz w:val="20"/>
                <w:szCs w:val="20"/>
                <w:color w:val="auto"/>
              </w:rPr>
            </w:pPr>
            <w:r>
              <w:rPr>
                <w:rFonts w:ascii="Arial" w:cs="Arial" w:eastAsia="Arial" w:hAnsi="Arial"/>
                <w:sz w:val="18"/>
                <w:szCs w:val="18"/>
                <w:color w:val="auto"/>
              </w:rPr>
              <w:t>83,396 square feet, as follows:</w:t>
            </w:r>
          </w:p>
        </w:tc>
      </w:tr>
      <w:tr>
        <w:trPr>
          <w:trHeight w:val="331"/>
        </w:trPr>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500" w:type="dxa"/>
            <w:vAlign w:val="bottom"/>
            <w:gridSpan w:val="18"/>
          </w:tcPr>
          <w:p>
            <w:pPr>
              <w:spacing w:after="0"/>
              <w:rPr>
                <w:sz w:val="20"/>
                <w:szCs w:val="20"/>
                <w:color w:val="auto"/>
              </w:rPr>
            </w:pPr>
            <w:r>
              <w:rPr>
                <w:rFonts w:ascii="Arial" w:cs="Arial" w:eastAsia="Arial" w:hAnsi="Arial"/>
                <w:sz w:val="18"/>
                <w:szCs w:val="18"/>
                <w:color w:val="auto"/>
                <w:w w:val="98"/>
              </w:rPr>
              <w:t>(a) 14,958 square feet in the basement of the Building (the “Basement</w:t>
            </w: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800" w:type="dxa"/>
            <w:vAlign w:val="bottom"/>
            <w:gridSpan w:val="16"/>
          </w:tcPr>
          <w:p>
            <w:pPr>
              <w:spacing w:after="0" w:line="177" w:lineRule="exact"/>
              <w:rPr>
                <w:sz w:val="20"/>
                <w:szCs w:val="20"/>
                <w:color w:val="auto"/>
              </w:rPr>
            </w:pPr>
            <w:r>
              <w:rPr>
                <w:rFonts w:ascii="Arial" w:cs="Arial" w:eastAsia="Arial" w:hAnsi="Arial"/>
                <w:sz w:val="18"/>
                <w:szCs w:val="18"/>
                <w:color w:val="auto"/>
              </w:rPr>
              <w:t>Premises”);</w:t>
            </w:r>
          </w:p>
        </w:tc>
        <w:tc>
          <w:tcPr>
            <w:tcW w:w="700" w:type="dxa"/>
            <w:vAlign w:val="bottom"/>
            <w:tcBorders>
              <w:top w:val="single" w:sz="8" w:color="auto"/>
            </w:tcBorders>
            <w:gridSpan w:val="2"/>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52"/>
        </w:trPr>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500" w:type="dxa"/>
            <w:vAlign w:val="bottom"/>
            <w:gridSpan w:val="18"/>
          </w:tcPr>
          <w:p>
            <w:pPr>
              <w:spacing w:after="0"/>
              <w:rPr>
                <w:sz w:val="20"/>
                <w:szCs w:val="20"/>
                <w:color w:val="auto"/>
              </w:rPr>
            </w:pPr>
            <w:r>
              <w:rPr>
                <w:rFonts w:ascii="Arial" w:cs="Arial" w:eastAsia="Arial" w:hAnsi="Arial"/>
                <w:sz w:val="18"/>
                <w:szCs w:val="18"/>
                <w:color w:val="auto"/>
                <w:w w:val="99"/>
              </w:rPr>
              <w:t>(b) 42,267 square feet on the first floor of the Building (the “First Floor</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500" w:type="dxa"/>
            <w:vAlign w:val="bottom"/>
            <w:gridSpan w:val="18"/>
          </w:tcPr>
          <w:p>
            <w:pPr>
              <w:spacing w:after="0" w:line="177" w:lineRule="exact"/>
              <w:rPr>
                <w:sz w:val="20"/>
                <w:szCs w:val="20"/>
                <w:color w:val="auto"/>
              </w:rPr>
            </w:pPr>
            <w:r>
              <w:rPr>
                <w:rFonts w:ascii="Arial" w:cs="Arial" w:eastAsia="Arial" w:hAnsi="Arial"/>
                <w:sz w:val="18"/>
                <w:szCs w:val="18"/>
                <w:color w:val="auto"/>
                <w:w w:val="91"/>
              </w:rPr>
              <w:t>Premises”), which includes (i) 9,310 square feet of pilot manufacturing area</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500" w:type="dxa"/>
            <w:vAlign w:val="bottom"/>
            <w:gridSpan w:val="18"/>
          </w:tcPr>
          <w:p>
            <w:pPr>
              <w:spacing w:after="0" w:line="177" w:lineRule="exact"/>
              <w:rPr>
                <w:sz w:val="20"/>
                <w:szCs w:val="20"/>
                <w:color w:val="auto"/>
              </w:rPr>
            </w:pPr>
            <w:r>
              <w:rPr>
                <w:rFonts w:ascii="Arial" w:cs="Arial" w:eastAsia="Arial" w:hAnsi="Arial"/>
                <w:sz w:val="18"/>
                <w:szCs w:val="18"/>
                <w:color w:val="auto"/>
                <w:w w:val="98"/>
              </w:rPr>
              <w:t>more specifically identified on Exhibit A (the “Manufacturing Area”), (ii)</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r>
      <w:tr>
        <w:trPr>
          <w:trHeight w:val="193"/>
        </w:trPr>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500" w:type="dxa"/>
            <w:vAlign w:val="bottom"/>
            <w:gridSpan w:val="18"/>
          </w:tcPr>
          <w:p>
            <w:pPr>
              <w:spacing w:after="0" w:line="193" w:lineRule="exact"/>
              <w:rPr>
                <w:sz w:val="20"/>
                <w:szCs w:val="20"/>
                <w:color w:val="auto"/>
              </w:rPr>
            </w:pPr>
            <w:r>
              <w:rPr>
                <w:rFonts w:ascii="Arial" w:cs="Arial" w:eastAsia="Arial" w:hAnsi="Arial"/>
                <w:sz w:val="18"/>
                <w:szCs w:val="18"/>
                <w:color w:val="auto"/>
                <w:w w:val="89"/>
              </w:rPr>
              <w:t>1,890 square feet consisting of a vivarium area as more specifically identified</w:t>
            </w:r>
          </w:p>
        </w:tc>
      </w:tr>
      <w:tr>
        <w:trPr>
          <w:trHeight w:val="181"/>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500" w:type="dxa"/>
            <w:vAlign w:val="bottom"/>
            <w:gridSpan w:val="18"/>
          </w:tcPr>
          <w:p>
            <w:pPr>
              <w:spacing w:after="0" w:line="181" w:lineRule="exact"/>
              <w:rPr>
                <w:sz w:val="20"/>
                <w:szCs w:val="20"/>
                <w:color w:val="auto"/>
              </w:rPr>
            </w:pPr>
            <w:r>
              <w:rPr>
                <w:rFonts w:ascii="Arial" w:cs="Arial" w:eastAsia="Arial" w:hAnsi="Arial"/>
                <w:sz w:val="18"/>
                <w:szCs w:val="18"/>
                <w:color w:val="auto"/>
                <w:w w:val="98"/>
              </w:rPr>
              <w:t>on Exhibit A (the “Vivarium”) and (iii) 1,934 square feet consisting of a</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500" w:type="dxa"/>
            <w:vAlign w:val="bottom"/>
            <w:gridSpan w:val="18"/>
          </w:tcPr>
          <w:p>
            <w:pPr>
              <w:spacing w:after="0" w:line="177" w:lineRule="exact"/>
              <w:rPr>
                <w:sz w:val="20"/>
                <w:szCs w:val="20"/>
                <w:color w:val="auto"/>
              </w:rPr>
            </w:pPr>
            <w:r>
              <w:rPr>
                <w:rFonts w:ascii="Arial" w:cs="Arial" w:eastAsia="Arial" w:hAnsi="Arial"/>
                <w:sz w:val="18"/>
                <w:szCs w:val="18"/>
                <w:color w:val="auto"/>
                <w:w w:val="93"/>
              </w:rPr>
              <w:t>quality control lab as more specifically identified on Exhibit A (the “Quality</w:t>
            </w: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820" w:type="dxa"/>
            <w:vAlign w:val="bottom"/>
            <w:gridSpan w:val="11"/>
          </w:tcPr>
          <w:p>
            <w:pPr>
              <w:spacing w:after="0" w:line="177" w:lineRule="exact"/>
              <w:rPr>
                <w:sz w:val="20"/>
                <w:szCs w:val="20"/>
                <w:color w:val="auto"/>
              </w:rPr>
            </w:pPr>
            <w:r>
              <w:rPr>
                <w:rFonts w:ascii="Arial" w:cs="Arial" w:eastAsia="Arial" w:hAnsi="Arial"/>
                <w:sz w:val="18"/>
                <w:szCs w:val="18"/>
                <w:color w:val="auto"/>
              </w:rPr>
              <w:t>Control Lab”);</w:t>
            </w:r>
          </w:p>
        </w:tc>
        <w:tc>
          <w:tcPr>
            <w:tcW w:w="680" w:type="dxa"/>
            <w:vAlign w:val="bottom"/>
            <w:tcBorders>
              <w:top w:val="single" w:sz="8" w:color="auto"/>
            </w:tcBorders>
          </w:tcPr>
          <w:p>
            <w:pPr>
              <w:spacing w:after="0"/>
              <w:rPr>
                <w:sz w:val="15"/>
                <w:szCs w:val="15"/>
                <w:color w:val="auto"/>
              </w:rPr>
            </w:pPr>
          </w:p>
        </w:tc>
        <w:tc>
          <w:tcPr>
            <w:tcW w:w="500" w:type="dxa"/>
            <w:vAlign w:val="bottom"/>
            <w:gridSpan w:val="5"/>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7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352"/>
        </w:trPr>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500" w:type="dxa"/>
            <w:vAlign w:val="bottom"/>
            <w:gridSpan w:val="18"/>
          </w:tcPr>
          <w:p>
            <w:pPr>
              <w:spacing w:after="0"/>
              <w:rPr>
                <w:sz w:val="20"/>
                <w:szCs w:val="20"/>
                <w:color w:val="auto"/>
              </w:rPr>
            </w:pPr>
            <w:r>
              <w:rPr>
                <w:rFonts w:ascii="Arial" w:cs="Arial" w:eastAsia="Arial" w:hAnsi="Arial"/>
                <w:sz w:val="18"/>
                <w:szCs w:val="18"/>
                <w:color w:val="auto"/>
                <w:w w:val="90"/>
              </w:rPr>
              <w:t>(c) 15,768 square feet on the second floor of the Building (the “Second Floor</w:t>
            </w: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560" w:type="dxa"/>
            <w:vAlign w:val="bottom"/>
            <w:gridSpan w:val="13"/>
          </w:tcPr>
          <w:p>
            <w:pPr>
              <w:spacing w:after="0" w:line="177" w:lineRule="exact"/>
              <w:rPr>
                <w:sz w:val="20"/>
                <w:szCs w:val="20"/>
                <w:color w:val="auto"/>
              </w:rPr>
            </w:pPr>
            <w:r>
              <w:rPr>
                <w:rFonts w:ascii="Arial" w:cs="Arial" w:eastAsia="Arial" w:hAnsi="Arial"/>
                <w:sz w:val="18"/>
                <w:szCs w:val="18"/>
                <w:color w:val="auto"/>
              </w:rPr>
              <w:t>Premises”); and</w:t>
            </w:r>
          </w:p>
        </w:tc>
        <w:tc>
          <w:tcPr>
            <w:tcW w:w="940" w:type="dxa"/>
            <w:vAlign w:val="bottom"/>
            <w:tcBorders>
              <w:top w:val="single" w:sz="8" w:color="auto"/>
            </w:tcBorders>
            <w:gridSpan w:val="5"/>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960" w:type="dxa"/>
            <w:vAlign w:val="bottom"/>
            <w:gridSpan w:val="1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352"/>
        </w:trPr>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500" w:type="dxa"/>
            <w:vAlign w:val="bottom"/>
            <w:gridSpan w:val="18"/>
          </w:tcPr>
          <w:p>
            <w:pPr>
              <w:spacing w:after="0"/>
              <w:rPr>
                <w:sz w:val="20"/>
                <w:szCs w:val="20"/>
                <w:color w:val="auto"/>
              </w:rPr>
            </w:pPr>
            <w:r>
              <w:rPr>
                <w:rFonts w:ascii="Arial" w:cs="Arial" w:eastAsia="Arial" w:hAnsi="Arial"/>
                <w:sz w:val="18"/>
                <w:szCs w:val="18"/>
                <w:color w:val="auto"/>
                <w:w w:val="93"/>
              </w:rPr>
              <w:t>(d) 10,403 square feet on the fourth floor of the Building (the “Fourth Floor</w:t>
            </w:r>
          </w:p>
        </w:tc>
      </w:tr>
      <w:tr>
        <w:trPr>
          <w:trHeight w:val="177"/>
        </w:trPr>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600" w:type="dxa"/>
            <w:vAlign w:val="bottom"/>
            <w:gridSpan w:val="14"/>
          </w:tcPr>
          <w:p>
            <w:pPr>
              <w:spacing w:after="0" w:line="177" w:lineRule="exact"/>
              <w:rPr>
                <w:sz w:val="20"/>
                <w:szCs w:val="20"/>
                <w:color w:val="auto"/>
              </w:rPr>
            </w:pPr>
            <w:r>
              <w:rPr>
                <w:rFonts w:ascii="Arial" w:cs="Arial" w:eastAsia="Arial" w:hAnsi="Arial"/>
                <w:sz w:val="18"/>
                <w:szCs w:val="18"/>
                <w:color w:val="auto"/>
              </w:rPr>
              <w:t>Premises”).</w:t>
            </w:r>
          </w:p>
        </w:tc>
        <w:tc>
          <w:tcPr>
            <w:tcW w:w="900" w:type="dxa"/>
            <w:vAlign w:val="bottom"/>
            <w:tcBorders>
              <w:top w:val="single" w:sz="8" w:color="auto"/>
            </w:tcBorders>
            <w:gridSpan w:val="4"/>
          </w:tcPr>
          <w:p>
            <w:pPr>
              <w:spacing w:after="0"/>
              <w:rPr>
                <w:sz w:val="15"/>
                <w:szCs w:val="15"/>
                <w:color w:val="auto"/>
              </w:rPr>
            </w:pPr>
          </w:p>
        </w:tc>
      </w:tr>
      <w:tr>
        <w:trPr>
          <w:trHeight w:val="393"/>
        </w:trPr>
        <w:tc>
          <w:tcPr>
            <w:tcW w:w="4400" w:type="dxa"/>
            <w:vAlign w:val="bottom"/>
            <w:gridSpan w:val="3"/>
          </w:tcPr>
          <w:p>
            <w:pPr>
              <w:jc w:val="center"/>
              <w:ind w:right="1540"/>
              <w:spacing w:after="0"/>
              <w:rPr>
                <w:sz w:val="20"/>
                <w:szCs w:val="20"/>
                <w:color w:val="auto"/>
              </w:rPr>
            </w:pPr>
            <w:r>
              <w:rPr>
                <w:rFonts w:ascii="Arial" w:cs="Arial" w:eastAsia="Arial" w:hAnsi="Arial"/>
                <w:sz w:val="18"/>
                <w:szCs w:val="18"/>
                <w:color w:val="auto"/>
                <w:w w:val="90"/>
              </w:rPr>
              <w:t>Approximate Rentable Area of Building</w:t>
            </w: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13"/>
          </w:tcPr>
          <w:p>
            <w:pPr>
              <w:jc w:val="center"/>
              <w:ind w:right="1480"/>
              <w:spacing w:after="0"/>
              <w:rPr>
                <w:sz w:val="20"/>
                <w:szCs w:val="20"/>
                <w:color w:val="auto"/>
              </w:rPr>
            </w:pPr>
            <w:r>
              <w:rPr>
                <w:rFonts w:ascii="Arial" w:cs="Arial" w:eastAsia="Arial" w:hAnsi="Arial"/>
                <w:sz w:val="18"/>
                <w:szCs w:val="18"/>
                <w:color w:val="auto"/>
                <w:w w:val="86"/>
              </w:rPr>
              <w:t>188,614 square feet</w:t>
            </w:r>
          </w:p>
        </w:tc>
      </w:tr>
      <w:tr>
        <w:trPr>
          <w:trHeight w:val="919"/>
        </w:trPr>
        <w:tc>
          <w:tcPr>
            <w:tcW w:w="4400" w:type="dxa"/>
            <w:vAlign w:val="bottom"/>
            <w:gridSpan w:val="3"/>
          </w:tcPr>
          <w:p>
            <w:pPr>
              <w:jc w:val="center"/>
              <w:ind w:right="1540"/>
              <w:spacing w:after="0"/>
              <w:rPr>
                <w:sz w:val="20"/>
                <w:szCs w:val="20"/>
                <w:color w:val="auto"/>
              </w:rPr>
            </w:pPr>
            <w:r>
              <w:rPr>
                <w:rFonts w:ascii="Arial" w:cs="Arial" w:eastAsia="Arial" w:hAnsi="Arial"/>
                <w:sz w:val="18"/>
                <w:szCs w:val="18"/>
                <w:color w:val="auto"/>
                <w:w w:val="88"/>
              </w:rPr>
              <w:t>Tenant’s Pro Rata Share of Building</w:t>
            </w:r>
          </w:p>
        </w:tc>
        <w:tc>
          <w:tcPr>
            <w:tcW w:w="3060" w:type="dxa"/>
            <w:vAlign w:val="bottom"/>
            <w:gridSpan w:val="8"/>
          </w:tcPr>
          <w:p>
            <w:pPr>
              <w:jc w:val="center"/>
              <w:ind w:left="2352"/>
              <w:spacing w:after="0"/>
              <w:rPr>
                <w:sz w:val="20"/>
                <w:szCs w:val="20"/>
                <w:color w:val="auto"/>
              </w:rPr>
            </w:pPr>
            <w:r>
              <w:rPr>
                <w:rFonts w:ascii="Arial" w:cs="Arial" w:eastAsia="Arial" w:hAnsi="Arial"/>
                <w:sz w:val="18"/>
                <w:szCs w:val="18"/>
                <w:color w:val="auto"/>
                <w:w w:val="88"/>
              </w:rPr>
              <w:t>44.22%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0" w:name="page121"/>
    <w:bookmarkEnd w:id="120"/>
    <w:p>
      <w:pPr>
        <w:jc w:val="both"/>
        <w:ind w:firstLine="764"/>
        <w:spacing w:after="0" w:line="245" w:lineRule="auto"/>
        <w:rPr>
          <w:sz w:val="20"/>
          <w:szCs w:val="20"/>
          <w:color w:val="auto"/>
        </w:rPr>
      </w:pPr>
      <w:r>
        <w:rPr>
          <w:rFonts w:ascii="Arial" w:cs="Arial" w:eastAsia="Arial" w:hAnsi="Arial"/>
          <w:sz w:val="18"/>
          <w:szCs w:val="18"/>
          <w:color w:val="auto"/>
        </w:rPr>
        <w:t>2.3. Monthly and annual installments of Base Rent for the Premises (“Base Rent”) as of the Rent Commencement Date (as defined below), subject to adjustment under this Lease:</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74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81"/>
              </w:rPr>
              <w:t>Dates</w:t>
            </w:r>
          </w:p>
        </w:tc>
        <w:tc>
          <w:tcPr>
            <w:tcW w:w="20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7"/>
              </w:rPr>
              <w:t>Square Feet of</w:t>
            </w:r>
          </w:p>
        </w:tc>
        <w:tc>
          <w:tcPr>
            <w:tcW w:w="20" w:type="dxa"/>
            <w:vAlign w:val="bottom"/>
          </w:tcPr>
          <w:p>
            <w:pPr>
              <w:spacing w:after="0"/>
              <w:rPr>
                <w:sz w:val="17"/>
                <w:szCs w:val="17"/>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Base Rent per Square</w:t>
            </w:r>
          </w:p>
        </w:tc>
        <w:tc>
          <w:tcPr>
            <w:tcW w:w="680" w:type="dxa"/>
            <w:vAlign w:val="bottom"/>
          </w:tcPr>
          <w:p>
            <w:pPr>
              <w:spacing w:after="0"/>
              <w:rPr>
                <w:sz w:val="17"/>
                <w:szCs w:val="17"/>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Monthly Base Rent</w:t>
            </w:r>
          </w:p>
        </w:tc>
        <w:tc>
          <w:tcPr>
            <w:tcW w:w="182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86"/>
              </w:rPr>
              <w:t>Annual Base Rent</w:t>
            </w:r>
          </w:p>
        </w:tc>
      </w:tr>
      <w:tr>
        <w:trPr>
          <w:trHeight w:val="177"/>
        </w:trPr>
        <w:tc>
          <w:tcPr>
            <w:tcW w:w="1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gridSpan w:val="3"/>
          </w:tcPr>
          <w:p>
            <w:pPr>
              <w:jc w:val="center"/>
              <w:ind w:right="20"/>
              <w:spacing w:after="0" w:line="177" w:lineRule="exact"/>
              <w:rPr>
                <w:sz w:val="20"/>
                <w:szCs w:val="20"/>
                <w:color w:val="auto"/>
              </w:rPr>
            </w:pPr>
            <w:r>
              <w:rPr>
                <w:rFonts w:ascii="Arial" w:cs="Arial" w:eastAsia="Arial" w:hAnsi="Arial"/>
                <w:sz w:val="18"/>
                <w:szCs w:val="18"/>
                <w:b w:val="1"/>
                <w:bCs w:val="1"/>
                <w:color w:val="auto"/>
                <w:w w:val="89"/>
              </w:rPr>
              <w:t>Rentable Area</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6"/>
              </w:rPr>
              <w:t>Foot of Rentable Area</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368"/>
        </w:trPr>
        <w:tc>
          <w:tcPr>
            <w:tcW w:w="1100" w:type="dxa"/>
            <w:vAlign w:val="bottom"/>
          </w:tcPr>
          <w:p>
            <w:pPr>
              <w:spacing w:after="0"/>
              <w:rPr>
                <w:sz w:val="24"/>
                <w:szCs w:val="24"/>
                <w:color w:val="auto"/>
              </w:rPr>
            </w:pPr>
          </w:p>
        </w:tc>
        <w:tc>
          <w:tcPr>
            <w:tcW w:w="1740" w:type="dxa"/>
            <w:vAlign w:val="bottom"/>
            <w:gridSpan w:val="2"/>
          </w:tcPr>
          <w:p>
            <w:pPr>
              <w:jc w:val="center"/>
              <w:ind w:right="1340"/>
              <w:spacing w:after="0"/>
              <w:rPr>
                <w:sz w:val="20"/>
                <w:szCs w:val="20"/>
                <w:color w:val="auto"/>
              </w:rPr>
            </w:pPr>
            <w:r>
              <w:rPr>
                <w:rFonts w:ascii="Arial" w:cs="Arial" w:eastAsia="Arial" w:hAnsi="Arial"/>
                <w:sz w:val="18"/>
                <w:szCs w:val="18"/>
                <w:color w:val="auto"/>
                <w:w w:val="84"/>
              </w:rPr>
              <w:t>Rent</w:t>
            </w:r>
          </w:p>
        </w:tc>
        <w:tc>
          <w:tcPr>
            <w:tcW w:w="240" w:type="dxa"/>
            <w:vAlign w:val="bottom"/>
            <w:gridSpan w:val="2"/>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83,396</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$66.15 annually</w:t>
            </w:r>
          </w:p>
        </w:tc>
        <w:tc>
          <w:tcPr>
            <w:tcW w:w="2120" w:type="dxa"/>
            <w:vAlign w:val="bottom"/>
            <w:gridSpan w:val="2"/>
          </w:tcPr>
          <w:p>
            <w:pPr>
              <w:jc w:val="right"/>
              <w:ind w:right="192"/>
              <w:spacing w:after="0"/>
              <w:rPr>
                <w:sz w:val="20"/>
                <w:szCs w:val="20"/>
                <w:color w:val="auto"/>
              </w:rPr>
            </w:pPr>
            <w:r>
              <w:rPr>
                <w:rFonts w:ascii="Arial" w:cs="Arial" w:eastAsia="Arial" w:hAnsi="Arial"/>
                <w:sz w:val="18"/>
                <w:szCs w:val="18"/>
                <w:color w:val="auto"/>
              </w:rPr>
              <w:t>$459,720.45</w:t>
            </w:r>
          </w:p>
        </w:tc>
        <w:tc>
          <w:tcPr>
            <w:tcW w:w="480" w:type="dxa"/>
            <w:vAlign w:val="bottom"/>
          </w:tcPr>
          <w:p>
            <w:pPr>
              <w:spacing w:after="0"/>
              <w:rPr>
                <w:sz w:val="24"/>
                <w:szCs w:val="24"/>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$5,516,645.40</w:t>
            </w:r>
          </w:p>
        </w:tc>
      </w:tr>
      <w:tr>
        <w:trPr>
          <w:trHeight w:val="197"/>
        </w:trPr>
        <w:tc>
          <w:tcPr>
            <w:tcW w:w="2840" w:type="dxa"/>
            <w:vAlign w:val="bottom"/>
            <w:gridSpan w:val="3"/>
          </w:tcPr>
          <w:p>
            <w:pPr>
              <w:jc w:val="center"/>
              <w:ind w:right="240"/>
              <w:spacing w:after="0" w:line="197" w:lineRule="exact"/>
              <w:rPr>
                <w:sz w:val="20"/>
                <w:szCs w:val="20"/>
                <w:color w:val="auto"/>
              </w:rPr>
            </w:pPr>
            <w:r>
              <w:rPr>
                <w:rFonts w:ascii="Arial" w:cs="Arial" w:eastAsia="Arial" w:hAnsi="Arial"/>
                <w:sz w:val="18"/>
                <w:szCs w:val="18"/>
                <w:color w:val="auto"/>
                <w:w w:val="87"/>
              </w:rPr>
              <w:t>Commencement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7"/>
        </w:trPr>
        <w:tc>
          <w:tcPr>
            <w:tcW w:w="2840" w:type="dxa"/>
            <w:vAlign w:val="bottom"/>
            <w:gridSpan w:val="3"/>
          </w:tcPr>
          <w:p>
            <w:pPr>
              <w:jc w:val="center"/>
              <w:ind w:right="240"/>
              <w:spacing w:after="0" w:line="197" w:lineRule="exact"/>
              <w:rPr>
                <w:sz w:val="20"/>
                <w:szCs w:val="20"/>
                <w:color w:val="auto"/>
              </w:rPr>
            </w:pPr>
            <w:r>
              <w:rPr>
                <w:rFonts w:ascii="Arial" w:cs="Arial" w:eastAsia="Arial" w:hAnsi="Arial"/>
                <w:sz w:val="18"/>
                <w:szCs w:val="18"/>
                <w:color w:val="auto"/>
                <w:w w:val="87"/>
              </w:rPr>
              <w:t>Date – The day</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7"/>
        </w:trPr>
        <w:tc>
          <w:tcPr>
            <w:tcW w:w="2840" w:type="dxa"/>
            <w:vAlign w:val="bottom"/>
            <w:gridSpan w:val="3"/>
          </w:tcPr>
          <w:p>
            <w:pPr>
              <w:jc w:val="center"/>
              <w:ind w:right="240"/>
              <w:spacing w:after="0" w:line="197" w:lineRule="exact"/>
              <w:rPr>
                <w:sz w:val="20"/>
                <w:szCs w:val="20"/>
                <w:color w:val="auto"/>
              </w:rPr>
            </w:pPr>
            <w:r>
              <w:rPr>
                <w:rFonts w:ascii="Arial" w:cs="Arial" w:eastAsia="Arial" w:hAnsi="Arial"/>
                <w:sz w:val="18"/>
                <w:szCs w:val="18"/>
                <w:color w:val="auto"/>
                <w:w w:val="89"/>
              </w:rPr>
              <w:t>prior to first (1</w:t>
            </w:r>
            <w:r>
              <w:rPr>
                <w:rFonts w:ascii="Arial" w:cs="Arial" w:eastAsia="Arial" w:hAnsi="Arial"/>
                <w:sz w:val="14"/>
                <w:szCs w:val="14"/>
                <w:color w:val="auto"/>
                <w:w w:val="89"/>
              </w:rPr>
              <w:t>st</w:t>
            </w:r>
            <w:r>
              <w:rPr>
                <w:rFonts w:ascii="Arial" w:cs="Arial" w:eastAsia="Arial" w:hAnsi="Arial"/>
                <w:sz w:val="18"/>
                <w:szCs w:val="18"/>
                <w:color w:val="auto"/>
                <w:w w:val="89"/>
              </w:rPr>
              <w:t>) anniversary of Rent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7"/>
        </w:trPr>
        <w:tc>
          <w:tcPr>
            <w:tcW w:w="2840" w:type="dxa"/>
            <w:vAlign w:val="bottom"/>
            <w:gridSpan w:val="3"/>
          </w:tcPr>
          <w:p>
            <w:pPr>
              <w:jc w:val="center"/>
              <w:ind w:right="240"/>
              <w:spacing w:after="0" w:line="197" w:lineRule="exact"/>
              <w:rPr>
                <w:sz w:val="20"/>
                <w:szCs w:val="20"/>
                <w:color w:val="auto"/>
              </w:rPr>
            </w:pPr>
            <w:r>
              <w:rPr>
                <w:rFonts w:ascii="Arial" w:cs="Arial" w:eastAsia="Arial" w:hAnsi="Arial"/>
                <w:sz w:val="18"/>
                <w:szCs w:val="18"/>
                <w:color w:val="auto"/>
                <w:w w:val="87"/>
              </w:rPr>
              <w:t>Commencement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1740" w:type="dxa"/>
            <w:vAlign w:val="bottom"/>
            <w:gridSpan w:val="2"/>
          </w:tcPr>
          <w:p>
            <w:pPr>
              <w:jc w:val="center"/>
              <w:ind w:right="1340"/>
              <w:spacing w:after="0"/>
              <w:rPr>
                <w:sz w:val="20"/>
                <w:szCs w:val="20"/>
                <w:color w:val="auto"/>
              </w:rPr>
            </w:pPr>
            <w:r>
              <w:rPr>
                <w:rFonts w:ascii="Arial" w:cs="Arial" w:eastAsia="Arial" w:hAnsi="Arial"/>
                <w:sz w:val="18"/>
                <w:szCs w:val="18"/>
                <w:color w:val="auto"/>
                <w:w w:val="84"/>
              </w:rPr>
              <w:t>Date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2.4. Estimated Term Commencement Date: March 24, 2016</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2.5. Estimated Term Expiration Date: November 6, 2023</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2.6. Security Deposit: $1,400,000.00, subject to adjustment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hereof.</w:t>
      </w:r>
    </w:p>
    <w:p>
      <w:pPr>
        <w:spacing w:after="0" w:line="165"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2.7. Permitted Use: Office and laboratory use, in conformity with all federal, state, municipal and local laws, codes, ordinances, rules and regulations of Governmental Authorities (as defined below), committees, associations, or other regulatory committees, agencies or governing bodies having jurisdiction over the Premises, the Building, the Property, the Project, Landlord or Tenant, including both statutory and common law and hazardous waste rules and regulations (“</w:t>
      </w:r>
      <w:r>
        <w:rPr>
          <w:rFonts w:ascii="Arial" w:cs="Arial" w:eastAsia="Arial" w:hAnsi="Arial"/>
          <w:sz w:val="16"/>
          <w:szCs w:val="16"/>
          <w:u w:val="single" w:color="auto"/>
          <w:color w:val="auto"/>
        </w:rPr>
        <w:t>Applicable Laws</w:t>
      </w:r>
      <w:r>
        <w:rPr>
          <w:rFonts w:ascii="Arial" w:cs="Arial" w:eastAsia="Arial" w:hAnsi="Arial"/>
          <w:sz w:val="16"/>
          <w:szCs w:val="16"/>
          <w:color w:val="auto"/>
        </w:rPr>
        <w:t>”). Tenant acknowledges and agrees that, notwithstanding anything in this Lease to the contrary, pursuant to Applicable Laws, the portion of the Premises located in the basement of the Building is not permitted to be occupied by human beings and may only be used for storage purposes or other uses that are included within the Permitted Use that do not involve or require occupancy by human beings. For avoidance of doubt, to the extent permitted by Applicable Laws, the use of a portion of the Premises as a vivarium and a pilot manufacturing facility is permitted under this Lease.</w:t>
      </w:r>
    </w:p>
    <w:p>
      <w:pPr>
        <w:spacing w:after="0" w:line="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2.8. Address for Rent Payment:</w:t>
      </w:r>
    </w:p>
    <w:p>
      <w:pPr>
        <w:spacing w:after="0" w:line="16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BMR-Sidney Research Campus LLC</w:t>
      </w:r>
    </w:p>
    <w:p>
      <w:pPr>
        <w:ind w:left="4580"/>
        <w:spacing w:after="0" w:line="232" w:lineRule="auto"/>
        <w:rPr>
          <w:sz w:val="20"/>
          <w:szCs w:val="20"/>
          <w:color w:val="auto"/>
        </w:rPr>
      </w:pPr>
      <w:r>
        <w:rPr>
          <w:rFonts w:ascii="Arial" w:cs="Arial" w:eastAsia="Arial" w:hAnsi="Arial"/>
          <w:sz w:val="18"/>
          <w:szCs w:val="18"/>
          <w:color w:val="auto"/>
        </w:rPr>
        <w:t>Attention Entity 652</w:t>
      </w:r>
    </w:p>
    <w:p>
      <w:pPr>
        <w:ind w:left="4580"/>
        <w:spacing w:after="0" w:line="229" w:lineRule="auto"/>
        <w:rPr>
          <w:sz w:val="20"/>
          <w:szCs w:val="20"/>
          <w:color w:val="auto"/>
        </w:rPr>
      </w:pPr>
      <w:r>
        <w:rPr>
          <w:rFonts w:ascii="Arial" w:cs="Arial" w:eastAsia="Arial" w:hAnsi="Arial"/>
          <w:sz w:val="18"/>
          <w:szCs w:val="18"/>
          <w:color w:val="auto"/>
        </w:rPr>
        <w:t>P.O. Box 511415</w:t>
      </w:r>
    </w:p>
    <w:p>
      <w:pPr>
        <w:ind w:left="4580"/>
        <w:spacing w:after="0"/>
        <w:rPr>
          <w:sz w:val="20"/>
          <w:szCs w:val="20"/>
          <w:color w:val="auto"/>
        </w:rPr>
      </w:pPr>
      <w:r>
        <w:rPr>
          <w:rFonts w:ascii="Arial" w:cs="Arial" w:eastAsia="Arial" w:hAnsi="Arial"/>
          <w:sz w:val="18"/>
          <w:szCs w:val="18"/>
          <w:color w:val="auto"/>
        </w:rPr>
        <w:t>Los Angeles, California 90051-7970</w:t>
      </w:r>
    </w:p>
    <w:p>
      <w:pPr>
        <w:spacing w:after="0" w:line="1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2.9. Address for Notices to Landlord:</w:t>
      </w:r>
    </w:p>
    <w:p>
      <w:pPr>
        <w:spacing w:after="0" w:line="16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BMR-Sidney Research Campus LLC</w:t>
      </w:r>
    </w:p>
    <w:p>
      <w:pPr>
        <w:ind w:left="4580"/>
        <w:spacing w:after="0" w:line="232" w:lineRule="auto"/>
        <w:rPr>
          <w:sz w:val="20"/>
          <w:szCs w:val="20"/>
          <w:color w:val="auto"/>
        </w:rPr>
      </w:pPr>
      <w:r>
        <w:rPr>
          <w:rFonts w:ascii="Arial" w:cs="Arial" w:eastAsia="Arial" w:hAnsi="Arial"/>
          <w:sz w:val="18"/>
          <w:szCs w:val="18"/>
          <w:color w:val="auto"/>
        </w:rPr>
        <w:t>17190 Bernardo Center Drive</w:t>
      </w:r>
    </w:p>
    <w:p>
      <w:pPr>
        <w:ind w:left="4580"/>
        <w:spacing w:after="0" w:line="229" w:lineRule="auto"/>
        <w:rPr>
          <w:sz w:val="20"/>
          <w:szCs w:val="20"/>
          <w:color w:val="auto"/>
        </w:rPr>
      </w:pPr>
      <w:r>
        <w:rPr>
          <w:rFonts w:ascii="Arial" w:cs="Arial" w:eastAsia="Arial" w:hAnsi="Arial"/>
          <w:sz w:val="18"/>
          <w:szCs w:val="18"/>
          <w:color w:val="auto"/>
        </w:rPr>
        <w:t>San Diego, California 92128</w:t>
      </w:r>
    </w:p>
    <w:p>
      <w:pPr>
        <w:ind w:left="4580"/>
        <w:spacing w:after="0"/>
        <w:rPr>
          <w:sz w:val="20"/>
          <w:szCs w:val="20"/>
          <w:color w:val="auto"/>
        </w:rPr>
      </w:pPr>
      <w:r>
        <w:rPr>
          <w:rFonts w:ascii="Arial" w:cs="Arial" w:eastAsia="Arial" w:hAnsi="Arial"/>
          <w:sz w:val="18"/>
          <w:szCs w:val="18"/>
          <w:color w:val="auto"/>
        </w:rPr>
        <w:t>Attn: Real Estate Legal Department</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2.10. Address for Notices to Tenant:</w:t>
      </w:r>
    </w:p>
    <w:p>
      <w:pPr>
        <w:spacing w:after="0" w:line="16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Seres Therapeutics, Inc.</w:t>
      </w:r>
    </w:p>
    <w:p>
      <w:pPr>
        <w:ind w:left="4580"/>
        <w:spacing w:after="0" w:line="232" w:lineRule="auto"/>
        <w:rPr>
          <w:sz w:val="20"/>
          <w:szCs w:val="20"/>
          <w:color w:val="auto"/>
        </w:rPr>
      </w:pPr>
      <w:r>
        <w:rPr>
          <w:rFonts w:ascii="Arial" w:cs="Arial" w:eastAsia="Arial" w:hAnsi="Arial"/>
          <w:sz w:val="18"/>
          <w:szCs w:val="18"/>
          <w:color w:val="auto"/>
        </w:rPr>
        <w:t>200 Sidney Street</w:t>
      </w:r>
    </w:p>
    <w:p>
      <w:pPr>
        <w:ind w:left="4580"/>
        <w:spacing w:after="0" w:line="229" w:lineRule="auto"/>
        <w:rPr>
          <w:sz w:val="20"/>
          <w:szCs w:val="20"/>
          <w:color w:val="auto"/>
        </w:rPr>
      </w:pPr>
      <w:r>
        <w:rPr>
          <w:rFonts w:ascii="Arial" w:cs="Arial" w:eastAsia="Arial" w:hAnsi="Arial"/>
          <w:sz w:val="18"/>
          <w:szCs w:val="18"/>
          <w:color w:val="auto"/>
        </w:rPr>
        <w:t>Cambridge, MA 02139</w:t>
      </w:r>
    </w:p>
    <w:p>
      <w:pPr>
        <w:ind w:left="4580"/>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sectPr>
      </w:pPr>
    </w:p>
    <w:bookmarkStart w:id="121" w:name="page122"/>
    <w:bookmarkEnd w:id="121"/>
    <w:p>
      <w:pPr>
        <w:ind w:left="780"/>
        <w:spacing w:after="0"/>
        <w:rPr>
          <w:sz w:val="20"/>
          <w:szCs w:val="20"/>
          <w:color w:val="auto"/>
        </w:rPr>
      </w:pPr>
      <w:r>
        <w:rPr>
          <w:rFonts w:ascii="Arial" w:cs="Arial" w:eastAsia="Arial" w:hAnsi="Arial"/>
          <w:sz w:val="18"/>
          <w:szCs w:val="18"/>
          <w:color w:val="auto"/>
        </w:rPr>
        <w:t>2.11. Address for Invoices to Tenant:</w:t>
      </w:r>
    </w:p>
    <w:p>
      <w:pPr>
        <w:spacing w:after="0" w:line="15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8500" w:type="dxa"/>
            <w:vAlign w:val="bottom"/>
            <w:gridSpan w:val="3"/>
          </w:tcPr>
          <w:p>
            <w:pPr>
              <w:ind w:left="1720"/>
              <w:spacing w:after="0"/>
              <w:rPr>
                <w:sz w:val="20"/>
                <w:szCs w:val="20"/>
                <w:color w:val="auto"/>
              </w:rPr>
            </w:pPr>
            <w:r>
              <w:rPr>
                <w:rFonts w:ascii="Arial" w:cs="Arial" w:eastAsia="Arial" w:hAnsi="Arial"/>
                <w:sz w:val="18"/>
                <w:szCs w:val="18"/>
                <w:color w:val="auto"/>
              </w:rPr>
              <w:t>Seres Therapeutics, Inc.</w:t>
            </w:r>
          </w:p>
        </w:tc>
      </w:tr>
      <w:tr>
        <w:trPr>
          <w:trHeight w:val="197"/>
        </w:trPr>
        <w:tc>
          <w:tcPr>
            <w:tcW w:w="2080" w:type="dxa"/>
            <w:vAlign w:val="bottom"/>
          </w:tcPr>
          <w:p>
            <w:pPr>
              <w:spacing w:after="0"/>
              <w:rPr>
                <w:sz w:val="17"/>
                <w:szCs w:val="17"/>
                <w:color w:val="auto"/>
              </w:rPr>
            </w:pPr>
          </w:p>
        </w:tc>
        <w:tc>
          <w:tcPr>
            <w:tcW w:w="8500" w:type="dxa"/>
            <w:vAlign w:val="bottom"/>
            <w:gridSpan w:val="3"/>
          </w:tcPr>
          <w:p>
            <w:pPr>
              <w:ind w:left="1720"/>
              <w:spacing w:after="0" w:line="197" w:lineRule="exact"/>
              <w:rPr>
                <w:sz w:val="20"/>
                <w:szCs w:val="20"/>
                <w:color w:val="auto"/>
              </w:rPr>
            </w:pPr>
            <w:r>
              <w:rPr>
                <w:rFonts w:ascii="Arial" w:cs="Arial" w:eastAsia="Arial" w:hAnsi="Arial"/>
                <w:sz w:val="18"/>
                <w:szCs w:val="18"/>
                <w:color w:val="auto"/>
              </w:rPr>
              <w:t>200 Sidney Street</w:t>
            </w:r>
          </w:p>
        </w:tc>
      </w:tr>
      <w:tr>
        <w:trPr>
          <w:trHeight w:val="197"/>
        </w:trPr>
        <w:tc>
          <w:tcPr>
            <w:tcW w:w="2080" w:type="dxa"/>
            <w:vAlign w:val="bottom"/>
          </w:tcPr>
          <w:p>
            <w:pPr>
              <w:spacing w:after="0"/>
              <w:rPr>
                <w:sz w:val="17"/>
                <w:szCs w:val="17"/>
                <w:color w:val="auto"/>
              </w:rPr>
            </w:pPr>
          </w:p>
        </w:tc>
        <w:tc>
          <w:tcPr>
            <w:tcW w:w="8500" w:type="dxa"/>
            <w:vAlign w:val="bottom"/>
            <w:gridSpan w:val="3"/>
          </w:tcPr>
          <w:p>
            <w:pPr>
              <w:ind w:left="1720"/>
              <w:spacing w:after="0" w:line="197" w:lineRule="exact"/>
              <w:rPr>
                <w:sz w:val="20"/>
                <w:szCs w:val="20"/>
                <w:color w:val="auto"/>
              </w:rPr>
            </w:pPr>
            <w:r>
              <w:rPr>
                <w:rFonts w:ascii="Arial" w:cs="Arial" w:eastAsia="Arial" w:hAnsi="Arial"/>
                <w:sz w:val="18"/>
                <w:szCs w:val="18"/>
                <w:color w:val="auto"/>
              </w:rPr>
              <w:t>Cambridge, MA 02139</w:t>
            </w:r>
          </w:p>
        </w:tc>
      </w:tr>
      <w:tr>
        <w:trPr>
          <w:trHeight w:val="222"/>
        </w:trPr>
        <w:tc>
          <w:tcPr>
            <w:tcW w:w="2080" w:type="dxa"/>
            <w:vAlign w:val="bottom"/>
          </w:tcPr>
          <w:p>
            <w:pPr>
              <w:spacing w:after="0"/>
              <w:rPr>
                <w:sz w:val="19"/>
                <w:szCs w:val="19"/>
                <w:color w:val="auto"/>
              </w:rPr>
            </w:pPr>
          </w:p>
        </w:tc>
        <w:tc>
          <w:tcPr>
            <w:tcW w:w="8500" w:type="dxa"/>
            <w:vAlign w:val="bottom"/>
            <w:gridSpan w:val="3"/>
          </w:tcPr>
          <w:p>
            <w:pPr>
              <w:ind w:left="1720"/>
              <w:spacing w:after="0"/>
              <w:rPr>
                <w:sz w:val="20"/>
                <w:szCs w:val="20"/>
                <w:color w:val="auto"/>
              </w:rPr>
            </w:pPr>
            <w:r>
              <w:rPr>
                <w:rFonts w:ascii="Arial" w:cs="Arial" w:eastAsia="Arial" w:hAnsi="Arial"/>
                <w:sz w:val="18"/>
                <w:szCs w:val="18"/>
                <w:color w:val="auto"/>
              </w:rPr>
              <w:t>ATTN: Chief Financial Officer</w:t>
            </w:r>
          </w:p>
        </w:tc>
      </w:tr>
      <w:tr>
        <w:trPr>
          <w:trHeight w:val="372"/>
        </w:trPr>
        <w:tc>
          <w:tcPr>
            <w:tcW w:w="10580" w:type="dxa"/>
            <w:vAlign w:val="bottom"/>
            <w:gridSpan w:val="4"/>
          </w:tcPr>
          <w:p>
            <w:pPr>
              <w:spacing w:after="0"/>
              <w:rPr>
                <w:sz w:val="20"/>
                <w:szCs w:val="20"/>
                <w:color w:val="auto"/>
              </w:rPr>
            </w:pPr>
            <w:r>
              <w:rPr>
                <w:rFonts w:ascii="Arial" w:cs="Arial" w:eastAsia="Arial" w:hAnsi="Arial"/>
                <w:sz w:val="18"/>
                <w:szCs w:val="18"/>
                <w:color w:val="auto"/>
              </w:rPr>
              <w:t>2.12. The following Exhibits are attached hereto and incorporated herein by reference:</w:t>
            </w:r>
          </w:p>
        </w:tc>
      </w:tr>
      <w:tr>
        <w:trPr>
          <w:trHeight w:val="369"/>
        </w:trPr>
        <w:tc>
          <w:tcPr>
            <w:tcW w:w="2080" w:type="dxa"/>
            <w:vAlign w:val="bottom"/>
          </w:tcPr>
          <w:p>
            <w:pPr>
              <w:ind w:left="660"/>
              <w:spacing w:after="0"/>
              <w:rPr>
                <w:sz w:val="20"/>
                <w:szCs w:val="20"/>
                <w:color w:val="auto"/>
              </w:rPr>
            </w:pPr>
            <w:r>
              <w:rPr>
                <w:rFonts w:ascii="Arial" w:cs="Arial" w:eastAsia="Arial" w:hAnsi="Arial"/>
                <w:sz w:val="18"/>
                <w:szCs w:val="18"/>
                <w:color w:val="auto"/>
              </w:rPr>
              <w:t>Exhibit A</w:t>
            </w:r>
          </w:p>
        </w:tc>
        <w:tc>
          <w:tcPr>
            <w:tcW w:w="8500" w:type="dxa"/>
            <w:vAlign w:val="bottom"/>
            <w:gridSpan w:val="3"/>
          </w:tcPr>
          <w:p>
            <w:pPr>
              <w:ind w:left="440"/>
              <w:spacing w:after="0"/>
              <w:rPr>
                <w:sz w:val="20"/>
                <w:szCs w:val="20"/>
                <w:color w:val="auto"/>
              </w:rPr>
            </w:pPr>
            <w:r>
              <w:rPr>
                <w:rFonts w:ascii="Arial" w:cs="Arial" w:eastAsia="Arial" w:hAnsi="Arial"/>
                <w:sz w:val="18"/>
                <w:szCs w:val="18"/>
                <w:color w:val="auto"/>
              </w:rPr>
              <w:t>Premises</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A-1</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Lab and Office Zones</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A-2</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Phasing Plan</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Work Letter</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B-1-a</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Tenant Improvement Plans for Lab/Office Improvements</w:t>
            </w:r>
          </w:p>
        </w:tc>
      </w:tr>
      <w:tr>
        <w:trPr>
          <w:trHeight w:val="181"/>
        </w:trPr>
        <w:tc>
          <w:tcPr>
            <w:tcW w:w="2080" w:type="dxa"/>
            <w:vAlign w:val="bottom"/>
          </w:tcPr>
          <w:p>
            <w:pPr>
              <w:ind w:left="660"/>
              <w:spacing w:after="0" w:line="181" w:lineRule="exact"/>
              <w:rPr>
                <w:sz w:val="20"/>
                <w:szCs w:val="20"/>
                <w:color w:val="auto"/>
              </w:rPr>
            </w:pPr>
            <w:r>
              <w:rPr>
                <w:rFonts w:ascii="Arial" w:cs="Arial" w:eastAsia="Arial" w:hAnsi="Arial"/>
                <w:sz w:val="18"/>
                <w:szCs w:val="18"/>
                <w:color w:val="auto"/>
              </w:rPr>
              <w:t>Exhibit B-1-b</w:t>
            </w:r>
          </w:p>
        </w:tc>
        <w:tc>
          <w:tcPr>
            <w:tcW w:w="8500" w:type="dxa"/>
            <w:vAlign w:val="bottom"/>
            <w:gridSpan w:val="3"/>
          </w:tcPr>
          <w:p>
            <w:pPr>
              <w:ind w:left="440"/>
              <w:spacing w:after="0" w:line="181" w:lineRule="exact"/>
              <w:rPr>
                <w:sz w:val="20"/>
                <w:szCs w:val="20"/>
                <w:color w:val="auto"/>
              </w:rPr>
            </w:pPr>
            <w:r>
              <w:rPr>
                <w:rFonts w:ascii="Arial" w:cs="Arial" w:eastAsia="Arial" w:hAnsi="Arial"/>
                <w:sz w:val="18"/>
                <w:szCs w:val="18"/>
                <w:color w:val="auto"/>
                <w:w w:val="89"/>
              </w:rPr>
              <w:t>Basis of Design and User/Design Requirements Specifications for Manufacturing Area Improvements (the “URS”)</w:t>
            </w:r>
          </w:p>
        </w:tc>
      </w:tr>
      <w:tr>
        <w:trPr>
          <w:trHeight w:val="193"/>
        </w:trPr>
        <w:tc>
          <w:tcPr>
            <w:tcW w:w="2080" w:type="dxa"/>
            <w:vAlign w:val="bottom"/>
          </w:tcPr>
          <w:p>
            <w:pPr>
              <w:ind w:left="660"/>
              <w:spacing w:after="0" w:line="193" w:lineRule="exact"/>
              <w:rPr>
                <w:sz w:val="20"/>
                <w:szCs w:val="20"/>
                <w:color w:val="auto"/>
              </w:rPr>
            </w:pPr>
            <w:r>
              <w:rPr>
                <w:rFonts w:ascii="Arial" w:cs="Arial" w:eastAsia="Arial" w:hAnsi="Arial"/>
                <w:sz w:val="18"/>
                <w:szCs w:val="18"/>
                <w:color w:val="auto"/>
              </w:rPr>
              <w:t>Exhibit B-1-c</w:t>
            </w:r>
          </w:p>
        </w:tc>
        <w:tc>
          <w:tcPr>
            <w:tcW w:w="8020" w:type="dxa"/>
            <w:vAlign w:val="bottom"/>
          </w:tcPr>
          <w:p>
            <w:pPr>
              <w:ind w:left="440"/>
              <w:spacing w:after="0" w:line="193" w:lineRule="exact"/>
              <w:rPr>
                <w:sz w:val="20"/>
                <w:szCs w:val="20"/>
                <w:color w:val="auto"/>
              </w:rPr>
            </w:pPr>
            <w:r>
              <w:rPr>
                <w:rFonts w:ascii="Arial" w:cs="Arial" w:eastAsia="Arial" w:hAnsi="Arial"/>
                <w:sz w:val="18"/>
                <w:szCs w:val="18"/>
                <w:color w:val="auto"/>
              </w:rPr>
              <w:t>Draft Manufacturing Area Schematic Plans</w:t>
            </w:r>
          </w:p>
        </w:tc>
        <w:tc>
          <w:tcPr>
            <w:tcW w:w="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B-2</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Landlord’s Work</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B-3-a</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Budget for Lab/Office Improvements</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B-3-b</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Budget for Manufacturing Area Improvements</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B-4-a</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Phase 1 Schedule</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B-4-b</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Phase 2 Schedule</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B-5</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Tenant Work Insurance Requirements</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C-1</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Acknowledgement of Term Commencement Date</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C-2</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Acknowledgement of Phase 1B Substantial Completion Date</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C-3</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Acknowledgement of Phase 2 Substantial Completion Date and Term Expiration Date</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D</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Landlord/Tenant Responsibilities Matrix</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E</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Form of Letter of Credit</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F</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Intentionally omitted</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G</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Rules and Regulations</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H</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PTDM</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I</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Tenant’s Personal Property</w:t>
            </w:r>
          </w:p>
        </w:tc>
      </w:tr>
      <w:tr>
        <w:trPr>
          <w:trHeight w:val="197"/>
        </w:trPr>
        <w:tc>
          <w:tcPr>
            <w:tcW w:w="2080" w:type="dxa"/>
            <w:vAlign w:val="bottom"/>
          </w:tcPr>
          <w:p>
            <w:pPr>
              <w:ind w:left="660"/>
              <w:spacing w:after="0" w:line="197" w:lineRule="exact"/>
              <w:rPr>
                <w:sz w:val="20"/>
                <w:szCs w:val="20"/>
                <w:color w:val="auto"/>
              </w:rPr>
            </w:pPr>
            <w:r>
              <w:rPr>
                <w:rFonts w:ascii="Arial" w:cs="Arial" w:eastAsia="Arial" w:hAnsi="Arial"/>
                <w:sz w:val="18"/>
                <w:szCs w:val="18"/>
                <w:color w:val="auto"/>
              </w:rPr>
              <w:t>Exhibit J</w:t>
            </w:r>
          </w:p>
        </w:tc>
        <w:tc>
          <w:tcPr>
            <w:tcW w:w="8500" w:type="dxa"/>
            <w:vAlign w:val="bottom"/>
            <w:gridSpan w:val="3"/>
          </w:tcPr>
          <w:p>
            <w:pPr>
              <w:ind w:left="440"/>
              <w:spacing w:after="0" w:line="197" w:lineRule="exact"/>
              <w:rPr>
                <w:sz w:val="20"/>
                <w:szCs w:val="20"/>
                <w:color w:val="auto"/>
              </w:rPr>
            </w:pPr>
            <w:r>
              <w:rPr>
                <w:rFonts w:ascii="Arial" w:cs="Arial" w:eastAsia="Arial" w:hAnsi="Arial"/>
                <w:sz w:val="18"/>
                <w:szCs w:val="18"/>
                <w:color w:val="auto"/>
              </w:rPr>
              <w:t>Form of Estoppel Certificate</w:t>
            </w:r>
          </w:p>
        </w:tc>
      </w:tr>
      <w:tr>
        <w:trPr>
          <w:trHeight w:val="222"/>
        </w:trPr>
        <w:tc>
          <w:tcPr>
            <w:tcW w:w="2080" w:type="dxa"/>
            <w:vAlign w:val="bottom"/>
          </w:tcPr>
          <w:p>
            <w:pPr>
              <w:ind w:left="660"/>
              <w:spacing w:after="0"/>
              <w:rPr>
                <w:sz w:val="20"/>
                <w:szCs w:val="20"/>
                <w:color w:val="auto"/>
              </w:rPr>
            </w:pPr>
            <w:r>
              <w:rPr>
                <w:rFonts w:ascii="Arial" w:cs="Arial" w:eastAsia="Arial" w:hAnsi="Arial"/>
                <w:sz w:val="18"/>
                <w:szCs w:val="18"/>
                <w:color w:val="auto"/>
              </w:rPr>
              <w:t>Exhibit K</w:t>
            </w:r>
          </w:p>
        </w:tc>
        <w:tc>
          <w:tcPr>
            <w:tcW w:w="8500" w:type="dxa"/>
            <w:vAlign w:val="bottom"/>
            <w:gridSpan w:val="3"/>
          </w:tcPr>
          <w:p>
            <w:pPr>
              <w:ind w:left="440"/>
              <w:spacing w:after="0"/>
              <w:rPr>
                <w:sz w:val="20"/>
                <w:szCs w:val="20"/>
                <w:color w:val="auto"/>
              </w:rPr>
            </w:pPr>
            <w:r>
              <w:rPr>
                <w:rFonts w:ascii="Arial" w:cs="Arial" w:eastAsia="Arial" w:hAnsi="Arial"/>
                <w:sz w:val="18"/>
                <w:szCs w:val="18"/>
                <w:color w:val="auto"/>
              </w:rPr>
              <w:t>Surrender Condition of Manufacturing Area</w:t>
            </w:r>
          </w:p>
        </w:tc>
      </w:tr>
    </w:tbl>
    <w:p>
      <w:pPr>
        <w:spacing w:after="0" w:line="172" w:lineRule="exact"/>
        <w:rPr>
          <w:sz w:val="20"/>
          <w:szCs w:val="20"/>
          <w:color w:val="auto"/>
        </w:rPr>
      </w:pPr>
    </w:p>
    <w:p>
      <w:pPr>
        <w:jc w:val="both"/>
        <w:ind w:firstLine="8"/>
        <w:spacing w:after="0" w:line="281" w:lineRule="auto"/>
        <w:tabs>
          <w:tab w:leader="none" w:pos="17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xml:space="preserve">. The actual term of this Lease (as the same may be extended pursuant to </w:t>
      </w:r>
      <w:r>
        <w:rPr>
          <w:rFonts w:ascii="Arial" w:cs="Arial" w:eastAsia="Arial" w:hAnsi="Arial"/>
          <w:sz w:val="16"/>
          <w:szCs w:val="16"/>
          <w:u w:val="single" w:color="auto"/>
          <w:color w:val="auto"/>
        </w:rPr>
        <w:t>Article 42</w:t>
      </w:r>
      <w:r>
        <w:rPr>
          <w:rFonts w:ascii="Arial" w:cs="Arial" w:eastAsia="Arial" w:hAnsi="Arial"/>
          <w:sz w:val="16"/>
          <w:szCs w:val="16"/>
          <w:color w:val="auto"/>
        </w:rPr>
        <w:t xml:space="preserve"> hereof, and as the same may be earlier terminated in accordance with this Lease,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commence on the actual Term Commencement Date (as defined in </w:t>
      </w:r>
      <w:r>
        <w:rPr>
          <w:rFonts w:ascii="Arial" w:cs="Arial" w:eastAsia="Arial" w:hAnsi="Arial"/>
          <w:sz w:val="16"/>
          <w:szCs w:val="16"/>
          <w:u w:val="single" w:color="auto"/>
          <w:color w:val="auto"/>
        </w:rPr>
        <w:t>Article 4</w:t>
      </w:r>
      <w:r>
        <w:rPr>
          <w:rFonts w:ascii="Arial" w:cs="Arial" w:eastAsia="Arial" w:hAnsi="Arial"/>
          <w:sz w:val="16"/>
          <w:szCs w:val="16"/>
          <w:color w:val="auto"/>
        </w:rPr>
        <w:t>) and end on the date (the “</w:t>
      </w:r>
      <w:r>
        <w:rPr>
          <w:rFonts w:ascii="Arial" w:cs="Arial" w:eastAsia="Arial" w:hAnsi="Arial"/>
          <w:sz w:val="16"/>
          <w:szCs w:val="16"/>
          <w:u w:val="single" w:color="auto"/>
          <w:color w:val="auto"/>
        </w:rPr>
        <w:t>Term Expiration Date</w:t>
      </w:r>
      <w:r>
        <w:rPr>
          <w:rFonts w:ascii="Arial" w:cs="Arial" w:eastAsia="Arial" w:hAnsi="Arial"/>
          <w:sz w:val="16"/>
          <w:szCs w:val="16"/>
          <w:color w:val="auto"/>
        </w:rPr>
        <w:t>”) that is seven (7) years after the Rent Commencement Date, subject to extension or earlier termination of this Lease as provided herein.</w:t>
      </w:r>
    </w:p>
    <w:p>
      <w:pPr>
        <w:spacing w:after="0" w:line="119" w:lineRule="exact"/>
        <w:rPr>
          <w:rFonts w:ascii="Arial" w:cs="Arial" w:eastAsia="Arial" w:hAnsi="Arial"/>
          <w:sz w:val="16"/>
          <w:szCs w:val="16"/>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Possession and Commencement Date</w:t>
      </w:r>
      <w:r>
        <w:rPr>
          <w:rFonts w:ascii="Arial" w:cs="Arial" w:eastAsia="Arial" w:hAnsi="Arial"/>
          <w:sz w:val="18"/>
          <w:szCs w:val="18"/>
          <w:color w:val="auto"/>
        </w:rPr>
        <w:t>.</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4.1. As used in this Lease, the following terms have the following definitions:</w:t>
      </w:r>
    </w:p>
    <w:p>
      <w:pPr>
        <w:spacing w:after="0" w:line="165" w:lineRule="exact"/>
        <w:rPr>
          <w:sz w:val="20"/>
          <w:szCs w:val="20"/>
          <w:color w:val="auto"/>
        </w:rPr>
      </w:pPr>
    </w:p>
    <w:p>
      <w:pPr>
        <w:ind w:left="1540" w:hanging="6"/>
        <w:spacing w:after="0" w:line="342" w:lineRule="auto"/>
        <w:tabs>
          <w:tab w:leader="none" w:pos="1749" w:val="left"/>
        </w:tabs>
        <w:numPr>
          <w:ilvl w:val="0"/>
          <w:numId w:val="8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Phase 1A Improvements</w:t>
      </w:r>
      <w:r>
        <w:rPr>
          <w:rFonts w:ascii="Arial" w:cs="Arial" w:eastAsia="Arial" w:hAnsi="Arial"/>
          <w:sz w:val="15"/>
          <w:szCs w:val="15"/>
          <w:color w:val="auto"/>
        </w:rPr>
        <w:t>”: Those improvements to be constructed by Landlord in the Fourth Floor Premises and identified on the Phasing Plan as “Phase 1A” (referred to herein as the “</w:t>
      </w:r>
      <w:r>
        <w:rPr>
          <w:rFonts w:ascii="Arial" w:cs="Arial" w:eastAsia="Arial" w:hAnsi="Arial"/>
          <w:sz w:val="15"/>
          <w:szCs w:val="15"/>
          <w:u w:val="single" w:color="auto"/>
          <w:color w:val="auto"/>
        </w:rPr>
        <w:t>Phase 1A Premises</w:t>
      </w:r>
      <w:r>
        <w:rPr>
          <w:rFonts w:ascii="Arial" w:cs="Arial" w:eastAsia="Arial" w:hAnsi="Arial"/>
          <w:sz w:val="15"/>
          <w:szCs w:val="15"/>
          <w:color w:val="auto"/>
        </w:rPr>
        <w:t>” or the “</w:t>
      </w:r>
      <w:r>
        <w:rPr>
          <w:rFonts w:ascii="Arial" w:cs="Arial" w:eastAsia="Arial" w:hAnsi="Arial"/>
          <w:sz w:val="15"/>
          <w:szCs w:val="15"/>
          <w:u w:val="single" w:color="auto"/>
          <w:color w:val="auto"/>
        </w:rPr>
        <w:t>Fourth Floor Premises</w:t>
      </w:r>
      <w:r>
        <w:rPr>
          <w:rFonts w:ascii="Arial" w:cs="Arial" w:eastAsia="Arial" w:hAnsi="Arial"/>
          <w:sz w:val="15"/>
          <w:szCs w:val="15"/>
          <w:color w:val="auto"/>
        </w:rPr>
        <w:t>”), as more particularly described in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2" w:name="page123"/>
    <w:bookmarkEnd w:id="122"/>
    <w:p>
      <w:pPr>
        <w:ind w:left="1540"/>
        <w:spacing w:after="0" w:line="245" w:lineRule="auto"/>
        <w:rPr>
          <w:sz w:val="20"/>
          <w:szCs w:val="20"/>
          <w:color w:val="auto"/>
        </w:rPr>
      </w:pPr>
      <w:r>
        <w:rPr>
          <w:rFonts w:ascii="Arial" w:cs="Arial" w:eastAsia="Arial" w:hAnsi="Arial"/>
          <w:sz w:val="18"/>
          <w:szCs w:val="18"/>
          <w:color w:val="auto"/>
        </w:rPr>
        <w:t xml:space="preserve">Work Letter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Work Letter</w:t>
      </w:r>
      <w:r>
        <w:rPr>
          <w:rFonts w:ascii="Arial" w:cs="Arial" w:eastAsia="Arial" w:hAnsi="Arial"/>
          <w:sz w:val="18"/>
          <w:szCs w:val="18"/>
          <w:color w:val="auto"/>
        </w:rPr>
        <w:t xml:space="preserve">”) and depicted on the plans attached hereto as </w:t>
      </w:r>
      <w:r>
        <w:rPr>
          <w:rFonts w:ascii="Arial" w:cs="Arial" w:eastAsia="Arial" w:hAnsi="Arial"/>
          <w:sz w:val="18"/>
          <w:szCs w:val="18"/>
          <w:u w:val="single" w:color="auto"/>
          <w:color w:val="auto"/>
        </w:rPr>
        <w:t>Exhibit B-1-a</w:t>
      </w:r>
      <w:r>
        <w:rPr>
          <w:rFonts w:ascii="Arial" w:cs="Arial" w:eastAsia="Arial" w:hAnsi="Arial"/>
          <w:sz w:val="18"/>
          <w:szCs w:val="18"/>
          <w:color w:val="auto"/>
        </w:rPr>
        <w:t xml:space="preserve"> and applicable to the Fourth Floor Premises.</w:t>
      </w:r>
    </w:p>
    <w:p>
      <w:pPr>
        <w:spacing w:after="0" w:line="146" w:lineRule="exact"/>
        <w:rPr>
          <w:sz w:val="20"/>
          <w:szCs w:val="20"/>
          <w:color w:val="auto"/>
        </w:rPr>
      </w:pPr>
    </w:p>
    <w:p>
      <w:pPr>
        <w:jc w:val="both"/>
        <w:ind w:left="1540" w:hanging="6"/>
        <w:spacing w:after="0" w:line="281" w:lineRule="auto"/>
        <w:tabs>
          <w:tab w:leader="none" w:pos="1798" w:val="left"/>
        </w:tabs>
        <w:numPr>
          <w:ilvl w:val="0"/>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1B Improvements</w:t>
      </w:r>
      <w:r>
        <w:rPr>
          <w:rFonts w:ascii="Arial" w:cs="Arial" w:eastAsia="Arial" w:hAnsi="Arial"/>
          <w:sz w:val="16"/>
          <w:szCs w:val="16"/>
          <w:color w:val="auto"/>
        </w:rPr>
        <w:t>”: Those improvements to be constructed by Landlord in the Second Floor Premises and in a portion of the First Floor Premises and identified on the Phasing Plan as “Phase 1B” (collectively, the “</w:t>
      </w:r>
      <w:r>
        <w:rPr>
          <w:rFonts w:ascii="Arial" w:cs="Arial" w:eastAsia="Arial" w:hAnsi="Arial"/>
          <w:sz w:val="16"/>
          <w:szCs w:val="16"/>
          <w:u w:val="single" w:color="auto"/>
          <w:color w:val="auto"/>
        </w:rPr>
        <w:t>Phase 1B Premises</w:t>
      </w:r>
      <w:r>
        <w:rPr>
          <w:rFonts w:ascii="Arial" w:cs="Arial" w:eastAsia="Arial" w:hAnsi="Arial"/>
          <w:sz w:val="16"/>
          <w:szCs w:val="16"/>
          <w:color w:val="auto"/>
        </w:rPr>
        <w:t xml:space="preserve">”), as more particularly described in the Work Letter and depicted on the plans attached hereto as </w:t>
      </w:r>
      <w:r>
        <w:rPr>
          <w:rFonts w:ascii="Arial" w:cs="Arial" w:eastAsia="Arial" w:hAnsi="Arial"/>
          <w:sz w:val="16"/>
          <w:szCs w:val="16"/>
          <w:u w:val="single" w:color="auto"/>
          <w:color w:val="auto"/>
        </w:rPr>
        <w:t>Exhibit B-1-a</w:t>
      </w:r>
      <w:r>
        <w:rPr>
          <w:rFonts w:ascii="Arial" w:cs="Arial" w:eastAsia="Arial" w:hAnsi="Arial"/>
          <w:sz w:val="16"/>
          <w:szCs w:val="16"/>
          <w:color w:val="auto"/>
        </w:rPr>
        <w:t xml:space="preserve"> and applicable to the Phase 1B Premises.</w:t>
      </w:r>
    </w:p>
    <w:p>
      <w:pPr>
        <w:spacing w:after="0" w:line="119" w:lineRule="exact"/>
        <w:rPr>
          <w:rFonts w:ascii="Arial" w:cs="Arial" w:eastAsia="Arial" w:hAnsi="Arial"/>
          <w:sz w:val="16"/>
          <w:szCs w:val="16"/>
          <w:color w:val="auto"/>
        </w:rPr>
      </w:pPr>
    </w:p>
    <w:p>
      <w:pPr>
        <w:jc w:val="both"/>
        <w:ind w:left="1540" w:hanging="6"/>
        <w:spacing w:after="0" w:line="234" w:lineRule="auto"/>
        <w:tabs>
          <w:tab w:leader="none" w:pos="18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2 Improvements</w:t>
      </w:r>
      <w:r>
        <w:rPr>
          <w:rFonts w:ascii="Arial" w:cs="Arial" w:eastAsia="Arial" w:hAnsi="Arial"/>
          <w:sz w:val="18"/>
          <w:szCs w:val="18"/>
          <w:color w:val="auto"/>
        </w:rPr>
        <w:t>”: Those improvements to be constructed by Landlord in the portion of the First Floor Premises and identified on the Phasing Plan as “Phase 2” (the “</w:t>
      </w:r>
      <w:r>
        <w:rPr>
          <w:rFonts w:ascii="Arial" w:cs="Arial" w:eastAsia="Arial" w:hAnsi="Arial"/>
          <w:sz w:val="18"/>
          <w:szCs w:val="18"/>
          <w:u w:val="single" w:color="auto"/>
          <w:color w:val="auto"/>
        </w:rPr>
        <w:t>Phase 2 Premises</w:t>
      </w:r>
      <w:r>
        <w:rPr>
          <w:rFonts w:ascii="Arial" w:cs="Arial" w:eastAsia="Arial" w:hAnsi="Arial"/>
          <w:sz w:val="18"/>
          <w:szCs w:val="18"/>
          <w:color w:val="auto"/>
        </w:rPr>
        <w:t xml:space="preserve">”), as more particularly described in the Work Letter and depicted on (A) the plans attached hereto as </w:t>
      </w:r>
      <w:r>
        <w:rPr>
          <w:rFonts w:ascii="Arial" w:cs="Arial" w:eastAsia="Arial" w:hAnsi="Arial"/>
          <w:sz w:val="18"/>
          <w:szCs w:val="18"/>
          <w:u w:val="single" w:color="auto"/>
          <w:color w:val="auto"/>
        </w:rPr>
        <w:t>Exhibit B-1-a</w:t>
      </w:r>
      <w:r>
        <w:rPr>
          <w:rFonts w:ascii="Arial" w:cs="Arial" w:eastAsia="Arial" w:hAnsi="Arial"/>
          <w:sz w:val="18"/>
          <w:szCs w:val="18"/>
          <w:color w:val="auto"/>
        </w:rPr>
        <w:t xml:space="preserve"> that are applicable to the Phase 2 Premises (excluding the Manufacturing Area), (B) the Basis of Design and URS attached hereto as </w:t>
      </w:r>
      <w:r>
        <w:rPr>
          <w:rFonts w:ascii="Arial" w:cs="Arial" w:eastAsia="Arial" w:hAnsi="Arial"/>
          <w:sz w:val="18"/>
          <w:szCs w:val="18"/>
          <w:u w:val="single" w:color="auto"/>
          <w:color w:val="auto"/>
        </w:rPr>
        <w:t>Exhibit B-1-b</w:t>
      </w:r>
      <w:r>
        <w:rPr>
          <w:rFonts w:ascii="Arial" w:cs="Arial" w:eastAsia="Arial" w:hAnsi="Arial"/>
          <w:sz w:val="18"/>
          <w:szCs w:val="18"/>
          <w:color w:val="auto"/>
        </w:rPr>
        <w:t xml:space="preserve"> that are applicable to the Manufacturing Area and (C) the Draft Manufacturing Area Schematic Plans attached hereto as </w:t>
      </w:r>
      <w:r>
        <w:rPr>
          <w:rFonts w:ascii="Arial" w:cs="Arial" w:eastAsia="Arial" w:hAnsi="Arial"/>
          <w:sz w:val="18"/>
          <w:szCs w:val="18"/>
          <w:u w:val="single" w:color="auto"/>
          <w:color w:val="auto"/>
        </w:rPr>
        <w:t>Exhibit B-1-c</w:t>
      </w:r>
      <w:r>
        <w:rPr>
          <w:rFonts w:ascii="Arial" w:cs="Arial" w:eastAsia="Arial" w:hAnsi="Arial"/>
          <w:sz w:val="18"/>
          <w:szCs w:val="18"/>
          <w:color w:val="auto"/>
        </w:rPr>
        <w:t>.</w:t>
      </w:r>
    </w:p>
    <w:p>
      <w:pPr>
        <w:spacing w:after="0" w:line="150" w:lineRule="exact"/>
        <w:rPr>
          <w:rFonts w:ascii="Arial" w:cs="Arial" w:eastAsia="Arial" w:hAnsi="Arial"/>
          <w:sz w:val="18"/>
          <w:szCs w:val="18"/>
          <w:color w:val="auto"/>
        </w:rPr>
      </w:pPr>
    </w:p>
    <w:p>
      <w:pPr>
        <w:ind w:left="1840" w:hanging="306"/>
        <w:spacing w:after="0"/>
        <w:tabs>
          <w:tab w:leader="none" w:pos="1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Phasing Plan</w:t>
      </w:r>
      <w:r>
        <w:rPr>
          <w:rFonts w:ascii="Arial" w:cs="Arial" w:eastAsia="Arial" w:hAnsi="Arial"/>
          <w:sz w:val="18"/>
          <w:szCs w:val="18"/>
          <w:color w:val="auto"/>
        </w:rPr>
        <w:t xml:space="preserve">”: The plan attached to this Lease as </w:t>
      </w: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 xml:space="preserve">4.2. Landlord shall use commercially reasonable efforts to deliver possession of the Fourth Floor Premises to Tenant on the Estimated Term Commencement Date, with the Phase 1A Improvements and the work in the Common Areas described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Landlord’s Work</w:t>
      </w:r>
      <w:r>
        <w:rPr>
          <w:rFonts w:ascii="Arial" w:cs="Arial" w:eastAsia="Arial" w:hAnsi="Arial"/>
          <w:sz w:val="16"/>
          <w:szCs w:val="16"/>
          <w:color w:val="auto"/>
        </w:rPr>
        <w:t xml:space="preserve">”) Substantially Complete (as defined below), except as noted on </w:t>
      </w:r>
      <w:r>
        <w:rPr>
          <w:rFonts w:ascii="Arial" w:cs="Arial" w:eastAsia="Arial" w:hAnsi="Arial"/>
          <w:sz w:val="16"/>
          <w:szCs w:val="16"/>
          <w:u w:val="single" w:color="auto"/>
          <w:color w:val="auto"/>
        </w:rPr>
        <w:t>Exhibit B-2</w:t>
      </w:r>
      <w:r>
        <w:rPr>
          <w:rFonts w:ascii="Arial" w:cs="Arial" w:eastAsia="Arial" w:hAnsi="Arial"/>
          <w:sz w:val="16"/>
          <w:szCs w:val="16"/>
          <w:color w:val="auto"/>
        </w:rPr>
        <w:t>. Landlord shall use commercially reasonable efforts to deliver possession of the Phase 1B Premises to Tenant on April 28, 2016 (the “</w:t>
      </w:r>
      <w:r>
        <w:rPr>
          <w:rFonts w:ascii="Arial" w:cs="Arial" w:eastAsia="Arial" w:hAnsi="Arial"/>
          <w:sz w:val="16"/>
          <w:szCs w:val="16"/>
          <w:u w:val="single" w:color="auto"/>
          <w:color w:val="auto"/>
        </w:rPr>
        <w:t>Estimated Phase 1B Delivery Date</w:t>
      </w:r>
      <w:r>
        <w:rPr>
          <w:rFonts w:ascii="Arial" w:cs="Arial" w:eastAsia="Arial" w:hAnsi="Arial"/>
          <w:sz w:val="16"/>
          <w:szCs w:val="16"/>
          <w:color w:val="auto"/>
        </w:rPr>
        <w:t>”), with the Phase 1B Improvements Substantially Complete (as defined below). Landlord shall use commercially reasonable efforts to deliver possession of the Phase 2 Premises to Tenant on July 7, 2016 (the “</w:t>
      </w:r>
      <w:r>
        <w:rPr>
          <w:rFonts w:ascii="Arial" w:cs="Arial" w:eastAsia="Arial" w:hAnsi="Arial"/>
          <w:sz w:val="16"/>
          <w:szCs w:val="16"/>
          <w:u w:val="single" w:color="auto"/>
          <w:color w:val="auto"/>
        </w:rPr>
        <w:t>Estimated Phase 2 Delivery Date</w:t>
      </w:r>
      <w:r>
        <w:rPr>
          <w:rFonts w:ascii="Arial" w:cs="Arial" w:eastAsia="Arial" w:hAnsi="Arial"/>
          <w:sz w:val="16"/>
          <w:szCs w:val="16"/>
          <w:color w:val="auto"/>
        </w:rPr>
        <w:t xml:space="preserve">”, as the same may be extended in accordance with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the Work Letter), with the Phase 2 Premises Substantially Complete. As used in this Lease, the Phase 1A Improvements the Phase 1B Improvements and the Phase 2 Improvements are collectively referred to as the “</w:t>
      </w:r>
      <w:r>
        <w:rPr>
          <w:rFonts w:ascii="Arial" w:cs="Arial" w:eastAsia="Arial" w:hAnsi="Arial"/>
          <w:sz w:val="16"/>
          <w:szCs w:val="16"/>
          <w:u w:val="single" w:color="auto"/>
          <w:color w:val="auto"/>
        </w:rPr>
        <w:t>Tenant Improvements</w:t>
      </w:r>
      <w:r>
        <w:rPr>
          <w:rFonts w:ascii="Arial" w:cs="Arial" w:eastAsia="Arial" w:hAnsi="Arial"/>
          <w:sz w:val="16"/>
          <w:szCs w:val="16"/>
          <w:color w:val="auto"/>
        </w:rPr>
        <w:t>”).</w:t>
      </w:r>
    </w:p>
    <w:p>
      <w:pPr>
        <w:spacing w:after="0" w:line="131" w:lineRule="exact"/>
        <w:rPr>
          <w:sz w:val="20"/>
          <w:szCs w:val="20"/>
          <w:color w:val="auto"/>
        </w:rPr>
      </w:pPr>
    </w:p>
    <w:p>
      <w:pPr>
        <w:jc w:val="both"/>
        <w:ind w:firstLine="1153"/>
        <w:spacing w:after="0" w:line="261" w:lineRule="auto"/>
        <w:tabs>
          <w:tab w:leader="none" w:pos="13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Landlord has failed to Substantially Complete the Phase 1A Improvements and the Phase 1B Improvements on or prior to the date that is ninety (90) days after the Estimated Phase 1B Delivery Date, then Tenant shall be entitled to one (1) day of abatement of Base Rent pro rated for the Fourth Floor Premises and the Phase 1B Premises (based on the Rentable Area of the Fourth Floor Premises and the Phase 1B Premises multiplied by the Base Rent Per Square Foot of Rentable Area described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this Lease) for every day after the Estimated Phase 1B Delivery Date (as it may be extended as provided herein) that Substantial Completion of Phase 1A Improvements and Phase 1B Improvements has not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Estimated Phase 1A Delivery Date and the Estimated Phase 1B Delivery Date shall each be subject to extension on a day-for-day basis as a result of Force Majeure and Landlord shall not incur any liability under this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for any delay caused by any action or inaction of Tenant or its contractors, agents or employees. Any such Base Rent abatement shall be credited against the Base Rent due from Tenant following the Rent Commencement Date (as hereinafter defined); </w:t>
      </w:r>
      <w:r>
        <w:rPr>
          <w:rFonts w:ascii="Arial" w:cs="Arial" w:eastAsia="Arial" w:hAnsi="Arial"/>
          <w:sz w:val="16"/>
          <w:szCs w:val="16"/>
          <w:u w:val="single" w:color="auto"/>
          <w:color w:val="auto"/>
        </w:rPr>
        <w:t>and further provided</w:t>
      </w:r>
      <w:r>
        <w:rPr>
          <w:rFonts w:ascii="Arial" w:cs="Arial" w:eastAsia="Arial" w:hAnsi="Arial"/>
          <w:sz w:val="16"/>
          <w:szCs w:val="16"/>
          <w:color w:val="auto"/>
        </w:rPr>
        <w:t xml:space="preserve"> if that if Landlord has Substantially Completed the Phase 1A Improvements by the Estimated Phase 1B Delivery Date, but has not yet Substantially Completed the Phase 1B Improvements by the Estimated Phase 1B Delivery Date, then the foregoing Base Rent abatement provided in this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shall be applicable only to the Phase 1B Premises and not the Fourth Floor Premises.</w:t>
      </w:r>
    </w:p>
    <w:p>
      <w:pPr>
        <w:spacing w:after="0" w:line="139" w:lineRule="exact"/>
        <w:rPr>
          <w:rFonts w:ascii="Arial" w:cs="Arial" w:eastAsia="Arial" w:hAnsi="Arial"/>
          <w:sz w:val="16"/>
          <w:szCs w:val="16"/>
          <w:color w:val="auto"/>
        </w:rPr>
      </w:pPr>
    </w:p>
    <w:p>
      <w:pPr>
        <w:jc w:val="both"/>
        <w:ind w:firstLine="1153"/>
        <w:spacing w:after="0" w:line="237" w:lineRule="auto"/>
        <w:tabs>
          <w:tab w:leader="none" w:pos="14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Landlord has failed to Substantially Complete the Phase 2 Improvements on or prior to the date that is ninety (90) days after the Estimated Phase 2 Delivery Date (as the same may be extended by Force Majeure), then Tenant shall be entitled to one (1) day of abatement of Base Rent pro rated for the Phase 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3" w:name="page124"/>
    <w:bookmarkEnd w:id="123"/>
    <w:p>
      <w:pPr>
        <w:jc w:val="both"/>
        <w:spacing w:after="0" w:line="273" w:lineRule="auto"/>
        <w:rPr>
          <w:sz w:val="20"/>
          <w:szCs w:val="20"/>
          <w:color w:val="auto"/>
        </w:rPr>
      </w:pPr>
      <w:r>
        <w:rPr>
          <w:rFonts w:ascii="Arial" w:cs="Arial" w:eastAsia="Arial" w:hAnsi="Arial"/>
          <w:sz w:val="16"/>
          <w:szCs w:val="16"/>
          <w:color w:val="auto"/>
        </w:rPr>
        <w:t xml:space="preserve">Premises (based on the Rentable Area of the Phase 2 Premises multiplied by the Base Rent Per Square Foot of Rentable Area described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this Lease) for every day past the Estimated Phase 2 Delivery Date that Substantial Completion of the Phase 2 Improvements has not occurred;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Landlord shall have no liability under this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for any delay caused by any action or inaction of Tenant or its contractors, agents or employees. Any such Base Rent abatement shall be credited against the Base Rent due from Tenant following the Rent Commencement Date.</w:t>
      </w:r>
    </w:p>
    <w:p>
      <w:pPr>
        <w:spacing w:after="0" w:line="125" w:lineRule="exact"/>
        <w:rPr>
          <w:sz w:val="20"/>
          <w:szCs w:val="20"/>
          <w:color w:val="auto"/>
        </w:rPr>
      </w:pPr>
    </w:p>
    <w:p>
      <w:pPr>
        <w:jc w:val="both"/>
        <w:ind w:firstLine="1153"/>
        <w:spacing w:after="0" w:line="263" w:lineRule="auto"/>
        <w:tabs>
          <w:tab w:leader="none" w:pos="1384"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Landlord has failed to Substantially Complete the Phase 1A Improvements and the Phase 1B Improvements on or prior to the date that is one hundred twenty (120) days after the Estimated Phase 1B Delivery Date (the “</w:t>
      </w:r>
      <w:r>
        <w:rPr>
          <w:rFonts w:ascii="Arial" w:cs="Arial" w:eastAsia="Arial" w:hAnsi="Arial"/>
          <w:sz w:val="16"/>
          <w:szCs w:val="16"/>
          <w:u w:val="single" w:color="auto"/>
          <w:color w:val="auto"/>
        </w:rPr>
        <w:t>Outside Phase 1 Completion Date</w:t>
      </w:r>
      <w:r>
        <w:rPr>
          <w:rFonts w:ascii="Arial" w:cs="Arial" w:eastAsia="Arial" w:hAnsi="Arial"/>
          <w:sz w:val="16"/>
          <w:szCs w:val="16"/>
          <w:color w:val="auto"/>
        </w:rPr>
        <w:t xml:space="preserve">”), then Tenant shall have the right to terminate this Lease by written notice to Landlord given no later than thirty (30) days following such date, at which time neither party shall have any further rights or obligations hereunder (except for those terms and provisions which expressly survive the expiration or sooner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Outside Phase 1 Completion Date shall be subject to extension on a day-for-day basis as a result of Force Majeure and Landlord shall not incur any liability under this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for any delay caused by any action or inaction of Tenant or its contractors, agents or employees; </w:t>
      </w:r>
      <w:r>
        <w:rPr>
          <w:rFonts w:ascii="Arial" w:cs="Arial" w:eastAsia="Arial" w:hAnsi="Arial"/>
          <w:sz w:val="16"/>
          <w:szCs w:val="16"/>
          <w:u w:val="single" w:color="auto"/>
          <w:color w:val="auto"/>
        </w:rPr>
        <w:t>and further provided</w:t>
      </w:r>
      <w:r>
        <w:rPr>
          <w:rFonts w:ascii="Arial" w:cs="Arial" w:eastAsia="Arial" w:hAnsi="Arial"/>
          <w:sz w:val="16"/>
          <w:szCs w:val="16"/>
          <w:color w:val="auto"/>
        </w:rPr>
        <w:t xml:space="preserve"> that any such termination notice shall be null and void and no longer of any force and effect if Landlord Substantially Completes the Phase 1A Improvements and the Phase 1B Improvements within fifteen (15) days after receipt of such termination notice.</w:t>
      </w:r>
    </w:p>
    <w:p>
      <w:pPr>
        <w:spacing w:after="0" w:line="137" w:lineRule="exact"/>
        <w:rPr>
          <w:rFonts w:ascii="Arial" w:cs="Arial" w:eastAsia="Arial" w:hAnsi="Arial"/>
          <w:sz w:val="16"/>
          <w:szCs w:val="16"/>
          <w:color w:val="auto"/>
        </w:rPr>
      </w:pPr>
    </w:p>
    <w:p>
      <w:pPr>
        <w:jc w:val="both"/>
        <w:ind w:firstLine="1153"/>
        <w:spacing w:after="0" w:line="231" w:lineRule="auto"/>
        <w:tabs>
          <w:tab w:leader="none" w:pos="13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Landlord has failed to Substantially Complete the Phase 2 Improvements on or prior to the date that is one hundred twenty (120) days after the Estimated Phase 2 Delivery Date (the “</w:t>
      </w:r>
      <w:r>
        <w:rPr>
          <w:rFonts w:ascii="Arial" w:cs="Arial" w:eastAsia="Arial" w:hAnsi="Arial"/>
          <w:sz w:val="18"/>
          <w:szCs w:val="18"/>
          <w:u w:val="single" w:color="auto"/>
          <w:color w:val="auto"/>
        </w:rPr>
        <w:t>Outside Phase 2 Completion Date</w:t>
      </w:r>
      <w:r>
        <w:rPr>
          <w:rFonts w:ascii="Arial" w:cs="Arial" w:eastAsia="Arial" w:hAnsi="Arial"/>
          <w:sz w:val="18"/>
          <w:szCs w:val="18"/>
          <w:color w:val="auto"/>
        </w:rPr>
        <w:t xml:space="preserve">”), then Tenant shall have the right to terminate this Lease by written notice to Landlord given no later than thirty (30) days following such date, at which time neither party shall have any further rights or obligations hereunder (except for those terms and provisions which expressly survive the expiration or sooner termination of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Outside Phase 2 Completion Date shall be subject to extension on a day-for-day basis as a result of Force Majeure and Landlord shall not incur any liability under this </w:t>
      </w:r>
      <w:r>
        <w:rPr>
          <w:rFonts w:ascii="Arial" w:cs="Arial" w:eastAsia="Arial" w:hAnsi="Arial"/>
          <w:sz w:val="18"/>
          <w:szCs w:val="18"/>
          <w:u w:val="single" w:color="auto"/>
          <w:color w:val="auto"/>
        </w:rPr>
        <w:t>Section 4.2(d)</w:t>
      </w:r>
      <w:r>
        <w:rPr>
          <w:rFonts w:ascii="Arial" w:cs="Arial" w:eastAsia="Arial" w:hAnsi="Arial"/>
          <w:sz w:val="18"/>
          <w:szCs w:val="18"/>
          <w:color w:val="auto"/>
        </w:rPr>
        <w:t xml:space="preserve"> for any delay caused by any action or inaction of Tenant or its contractors, agents or employees; </w:t>
      </w:r>
      <w:r>
        <w:rPr>
          <w:rFonts w:ascii="Arial" w:cs="Arial" w:eastAsia="Arial" w:hAnsi="Arial"/>
          <w:sz w:val="18"/>
          <w:szCs w:val="18"/>
          <w:u w:val="single" w:color="auto"/>
          <w:color w:val="auto"/>
        </w:rPr>
        <w:t>and further provided</w:t>
      </w:r>
      <w:r>
        <w:rPr>
          <w:rFonts w:ascii="Arial" w:cs="Arial" w:eastAsia="Arial" w:hAnsi="Arial"/>
          <w:sz w:val="18"/>
          <w:szCs w:val="18"/>
          <w:color w:val="auto"/>
        </w:rPr>
        <w:t xml:space="preserve"> that any such termination notice shall be null and void and no longer of any force and effect if Landlord Substantially Completes the Phase 2 Improvements within forty-five (45) days after receipt of such termination notice.</w:t>
      </w:r>
    </w:p>
    <w:p>
      <w:pPr>
        <w:spacing w:after="0" w:line="156" w:lineRule="exact"/>
        <w:rPr>
          <w:rFonts w:ascii="Arial" w:cs="Arial" w:eastAsia="Arial" w:hAnsi="Arial"/>
          <w:sz w:val="18"/>
          <w:szCs w:val="18"/>
          <w:color w:val="auto"/>
        </w:rPr>
      </w:pPr>
    </w:p>
    <w:p>
      <w:pPr>
        <w:jc w:val="both"/>
        <w:ind w:firstLine="1153"/>
        <w:spacing w:after="0" w:line="260" w:lineRule="auto"/>
        <w:tabs>
          <w:tab w:leader="none" w:pos="13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Tenant agrees that in the event (i) the Phase 1A Improvements are not Substantially Complete on or before the Estimated Term Commencement Date or the Estimated Phase 1B Delivery Date for any reason or (ii) the Phase 1B Improvements are not Substantially Complete on or before the Estimated Phase 1B Delivery Date or (iii) the Phase 2 Improvements are not Substantially Complete on or before the Estimated Phase 2 Delivery Date, then (A) this Lease shall not be void or voidable, except as explicitly set forth above, (B) Landlord shall not be liable to Tenant for any loss or damage resulting therefrom, (C) the Estimated Term Expiration Date shall be extended accordingly to the extent applicable and (D) Tenant shall not be responsible for the payment of any Base Rent with respect to any portion of the Premises which is not Substantially Complete until the Substantial Completion of the Phase 1A Improvements, the Phase 1B Improvements or the Phase 2 Improvements, as the case may be, and as described in </w:t>
      </w:r>
      <w:r>
        <w:rPr>
          <w:rFonts w:ascii="Arial" w:cs="Arial" w:eastAsia="Arial" w:hAnsi="Arial"/>
          <w:sz w:val="16"/>
          <w:szCs w:val="16"/>
          <w:u w:val="single" w:color="auto"/>
          <w:color w:val="auto"/>
        </w:rPr>
        <w:t>Section 4.2</w:t>
      </w:r>
      <w:r>
        <w:rPr>
          <w:rFonts w:ascii="Arial" w:cs="Arial" w:eastAsia="Arial" w:hAnsi="Arial"/>
          <w:sz w:val="16"/>
          <w:szCs w:val="16"/>
          <w:color w:val="auto"/>
        </w:rPr>
        <w:t>, occurs. The term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or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means that (x) the Phase 1A Improvements, the Phase 1B Improvements, the Phase 2 Improvements or Landlord’s Work, as the case may be, are substantially complete in accordance with the Approved Lab/Office Plans or Approved Manufacturing Area Plans, as applicable (as both terms are defined in the Work Letter), as reasonably determined by Landlord’s architect, except for minor punch list items and (y) with respect to Landlord’s Work, Landlord’s Work is substantially complete, as reasonably determined by Landlord’s architect, except for minor punch list items, and (z) Tenant is able to obtain a certificate of occupancy or a temporary certificate of occupancy for the Fourth Floor Premises, the Phase 1B Premises or the Phase 2 Premises, as the case may be (excluding the portion of the Premises located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4" w:name="page125"/>
    <w:bookmarkEnd w:id="124"/>
    <w:p>
      <w:pPr>
        <w:jc w:val="both"/>
        <w:spacing w:after="0" w:line="237" w:lineRule="auto"/>
        <w:rPr>
          <w:sz w:val="20"/>
          <w:szCs w:val="20"/>
          <w:color w:val="auto"/>
        </w:rPr>
      </w:pPr>
      <w:r>
        <w:rPr>
          <w:rFonts w:ascii="Arial" w:cs="Arial" w:eastAsia="Arial" w:hAnsi="Arial"/>
          <w:sz w:val="18"/>
          <w:szCs w:val="18"/>
          <w:color w:val="auto"/>
        </w:rPr>
        <w:t>in the basement of the Building). Notwithstanding anything in this Lease (including the Work Letter) to the contrary, Landlord’s obligation to timely achieve Substantial Completion shall be subject to extension on a day-for-day basis as a result of Force Majeure (as defined below) or any delay caused by any action or inaction of Tenant or its contractors, agents or employees.</w:t>
      </w:r>
    </w:p>
    <w:p>
      <w:pPr>
        <w:spacing w:after="0" w:line="153" w:lineRule="exact"/>
        <w:rPr>
          <w:sz w:val="20"/>
          <w:szCs w:val="20"/>
          <w:color w:val="auto"/>
        </w:rPr>
      </w:pPr>
    </w:p>
    <w:p>
      <w:pPr>
        <w:jc w:val="both"/>
        <w:ind w:firstLine="1153"/>
        <w:spacing w:after="0" w:line="237" w:lineRule="auto"/>
        <w:tabs>
          <w:tab w:leader="none" w:pos="13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Landlord shall provide to Tenant such access cards as are necessary for Tenant’s employees to access the Premises, Building, Project, and if applicable restrooms and parking areas upon delivery of the applicable phase of the Premises to Tenant (or within a reasonable time after delivery, so long as Landlord otherwise provides Tenant with adequate access during such period).</w:t>
      </w:r>
    </w:p>
    <w:p>
      <w:pPr>
        <w:spacing w:after="0" w:line="153" w:lineRule="exact"/>
        <w:rPr>
          <w:sz w:val="20"/>
          <w:szCs w:val="20"/>
          <w:color w:val="auto"/>
        </w:rPr>
      </w:pPr>
    </w:p>
    <w:p>
      <w:pPr>
        <w:jc w:val="both"/>
        <w:ind w:firstLine="764"/>
        <w:spacing w:after="0" w:line="280" w:lineRule="auto"/>
        <w:rPr>
          <w:sz w:val="20"/>
          <w:szCs w:val="20"/>
          <w:color w:val="auto"/>
        </w:rPr>
      </w:pPr>
      <w:r>
        <w:rPr>
          <w:rFonts w:ascii="Arial" w:cs="Arial" w:eastAsia="Arial" w:hAnsi="Arial"/>
          <w:sz w:val="15"/>
          <w:szCs w:val="15"/>
          <w:color w:val="auto"/>
        </w:rPr>
        <w:t>4.3. The “</w:t>
      </w:r>
      <w:r>
        <w:rPr>
          <w:rFonts w:ascii="Arial" w:cs="Arial" w:eastAsia="Arial" w:hAnsi="Arial"/>
          <w:sz w:val="15"/>
          <w:szCs w:val="15"/>
          <w:u w:val="single" w:color="auto"/>
          <w:color w:val="auto"/>
        </w:rPr>
        <w:t>Term Commencement Date</w:t>
      </w:r>
      <w:r>
        <w:rPr>
          <w:rFonts w:ascii="Arial" w:cs="Arial" w:eastAsia="Arial" w:hAnsi="Arial"/>
          <w:sz w:val="15"/>
          <w:szCs w:val="15"/>
          <w:color w:val="auto"/>
        </w:rPr>
        <w:t xml:space="preserve">” shall be the day Landlord first delivers possession of any phase of the Premises to Tenant with the Tenant Improvements applicable thereto Substantially Complete. If Substantial Completion of the Phase 1A Improvements, Substantial Completion of the Phase 1B Improvements or Substantial Completion of the Phase 2 Improvements is delayed by action of Tenant, then the Term Commencement Date, the date of Substantial Completion of the Phase 1B Improvements or the date of Substantial Completion of the Phase 2 Improvements shall be the date that the Term Commencement Date, Substantial Completion of the Phase 1B Improvements or Substantial Completion of the Phase 2 Improvements, as the case may be, would have occurred but for such delay. Tenant shall execute and deliver to Landlord (a) written acknowledgment of the actual Term Commencement Date within ten (10) days after Tenant takes occupancy of the first phase of the Premises delivered to Tenant, (b) written acknowledgement of the date that each subsequent phase of the Premises is delivered to Tenant Substantially Complete and (c) the Term Expiration Date within ten (10) days after Tenant takes occupancy of the Phase 2 Premises, and such other information as set forth in the forms attached as </w:t>
      </w:r>
      <w:r>
        <w:rPr>
          <w:rFonts w:ascii="Arial" w:cs="Arial" w:eastAsia="Arial" w:hAnsi="Arial"/>
          <w:sz w:val="15"/>
          <w:szCs w:val="15"/>
          <w:u w:val="single" w:color="auto"/>
          <w:color w:val="auto"/>
        </w:rPr>
        <w:t>Exhibits C-1, C-2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C-3</w:t>
      </w:r>
      <w:r>
        <w:rPr>
          <w:rFonts w:ascii="Arial" w:cs="Arial" w:eastAsia="Arial" w:hAnsi="Arial"/>
          <w:sz w:val="15"/>
          <w:szCs w:val="15"/>
          <w:color w:val="auto"/>
        </w:rPr>
        <w:t xml:space="preserve"> hereto, respectively.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w:t>
      </w:r>
    </w:p>
    <w:p>
      <w:pPr>
        <w:spacing w:after="0" w:line="127" w:lineRule="exact"/>
        <w:rPr>
          <w:sz w:val="20"/>
          <w:szCs w:val="20"/>
          <w:color w:val="auto"/>
        </w:rPr>
      </w:pPr>
    </w:p>
    <w:p>
      <w:pPr>
        <w:jc w:val="both"/>
        <w:ind w:firstLine="764"/>
        <w:spacing w:after="0" w:line="231" w:lineRule="auto"/>
        <w:rPr>
          <w:sz w:val="20"/>
          <w:szCs w:val="20"/>
          <w:color w:val="auto"/>
        </w:rPr>
      </w:pPr>
      <w:r>
        <w:rPr>
          <w:rFonts w:ascii="Arial" w:cs="Arial" w:eastAsia="Arial" w:hAnsi="Arial"/>
          <w:sz w:val="18"/>
          <w:szCs w:val="18"/>
          <w:color w:val="auto"/>
        </w:rPr>
        <w:t xml:space="preserve">4.4. Tenant shall have the option to gain early access to the Fourth Floor Premises and Phase 1B Premises thirty (30) days prior to the Term Commencement Date or Substantial Completion of the Phase 1B Premises, respectively, for the purpose of installing furniture and telephone and data cabling and otherwise to prepare the Premises for occupancy. Prior to such entry by Tenant, Tenant shall furnish to Landlord evidence satisfactory to Landlord in advance that insurance coverages required of Tenant under the provisions of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are in effect, and (a) such entry shall be subject to all the terms and conditions of this Lease, other than the payment of Base Rent (as defined below), and (b) such entry shall not interfere with the ability of Landlord and its contractors and subcontractors to achieve Substantial Completion of the Tenant Improvements and the Landlord’s Work; and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if the Term Commencement Date is delayed due to such early access, then the Term Commencement Date shall be the date that the Term Commencement Date would have occurred but for such delay.</w:t>
      </w:r>
    </w:p>
    <w:p>
      <w:pPr>
        <w:spacing w:after="0" w:line="156" w:lineRule="exact"/>
        <w:rPr>
          <w:sz w:val="20"/>
          <w:szCs w:val="20"/>
          <w:color w:val="auto"/>
        </w:rPr>
      </w:pPr>
    </w:p>
    <w:p>
      <w:pPr>
        <w:jc w:val="both"/>
        <w:ind w:firstLine="764"/>
        <w:spacing w:after="0" w:line="232" w:lineRule="auto"/>
        <w:rPr>
          <w:sz w:val="20"/>
          <w:szCs w:val="20"/>
          <w:color w:val="auto"/>
        </w:rPr>
      </w:pPr>
      <w:r>
        <w:rPr>
          <w:rFonts w:ascii="Arial" w:cs="Arial" w:eastAsia="Arial" w:hAnsi="Arial"/>
          <w:sz w:val="18"/>
          <w:szCs w:val="18"/>
          <w:color w:val="auto"/>
        </w:rPr>
        <w:t>4.5. Landlord shall cause the Tenant Improvements to be constructed in the Premises pursuant to the Work Letter at a cost to Landlord not to exceed (a) Four Million One Hundred Sixty-Nine Thousand Eight Hundred Dollars ($4,169,800.00) (based upon Fifty Dollars ($50.00) per square foot of Rentable Area (as defined below and subject to change based upon the Rentable Area of the Premises) (the “</w:t>
      </w:r>
      <w:r>
        <w:rPr>
          <w:rFonts w:ascii="Arial" w:cs="Arial" w:eastAsia="Arial" w:hAnsi="Arial"/>
          <w:sz w:val="18"/>
          <w:szCs w:val="18"/>
          <w:u w:val="single" w:color="auto"/>
          <w:color w:val="auto"/>
        </w:rPr>
        <w:t>Base TI Allowance</w:t>
      </w:r>
      <w:r>
        <w:rPr>
          <w:rFonts w:ascii="Arial" w:cs="Arial" w:eastAsia="Arial" w:hAnsi="Arial"/>
          <w:sz w:val="18"/>
          <w:szCs w:val="18"/>
          <w:color w:val="auto"/>
        </w:rPr>
        <w:t>”)) plus (b) an additional amount of Eight Million Three Hundred Thirty-Nine Thousand Six Hundred Dollars ($8,339,600.00) (based upon One Hundred Dollars ($100.00) per square foot of Rentable Area (as defined below and subject to change based upon the Rentable Area of the Premises)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together with the Base TI Allowance, the “</w:t>
      </w:r>
      <w:r>
        <w:rPr>
          <w:rFonts w:ascii="Arial" w:cs="Arial" w:eastAsia="Arial" w:hAnsi="Arial"/>
          <w:sz w:val="18"/>
          <w:szCs w:val="18"/>
          <w:u w:val="single" w:color="auto"/>
          <w:color w:val="auto"/>
        </w:rPr>
        <w:t>TI</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Allowance</w:t>
      </w:r>
      <w:r>
        <w:rPr>
          <w:rFonts w:ascii="Arial" w:cs="Arial" w:eastAsia="Arial" w:hAnsi="Arial"/>
          <w:sz w:val="18"/>
          <w:szCs w:val="18"/>
          <w:color w:val="auto"/>
        </w:rPr>
        <w:t>”), for a total of Twelve Million Five Hundred Nine Thousand Four Hundred Million Dollars ($12,509,400.00). Landlord shall complete the Landlord’s Work at Landlord’s expense.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5" w:name="page126"/>
    <w:bookmarkEnd w:id="125"/>
    <w:p>
      <w:pPr>
        <w:jc w:val="both"/>
        <w:ind w:firstLine="764"/>
        <w:spacing w:after="0" w:line="266" w:lineRule="auto"/>
        <w:rPr>
          <w:sz w:val="20"/>
          <w:szCs w:val="20"/>
          <w:color w:val="auto"/>
        </w:rPr>
      </w:pPr>
      <w:r>
        <w:rPr>
          <w:rFonts w:ascii="Arial" w:cs="Arial" w:eastAsia="Arial" w:hAnsi="Arial"/>
          <w:sz w:val="16"/>
          <w:szCs w:val="16"/>
          <w:color w:val="auto"/>
        </w:rPr>
        <w:t>4.6. The TI Allowance may be applied to the costs of (m) construction, (n) project management by Landlord (which fee shall equal $125,000), (o) space planning, architect, engineering and other related services performed by third parties unaffiliated with Tenant, (p) building permits and other taxes, fees, charges and levies by Governmental Authorities (as defined below) for permits or for inspections of the Tenant Improvements, and (q) costs and expenses for labor, material, equipment and fixtures. In no event shall the TI Allowance be used for (w) payments to Tenant or any affiliates of Tenant, (x) the purchase of any furniture, personal property or other non-building system equipment, (y) costs resulting from any default by Tenant of its obligations under this Lease or (z) costs that are recoverable by Tenant from a third party (e.g., insurers, warrantors, or tortfeasors).</w:t>
      </w:r>
    </w:p>
    <w:p>
      <w:pPr>
        <w:spacing w:after="0" w:line="133"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4.7. Tenant shall have until nine (9) months after the Term Commencement Date (the “</w:t>
      </w:r>
      <w:r>
        <w:rPr>
          <w:rFonts w:ascii="Arial" w:cs="Arial" w:eastAsia="Arial" w:hAnsi="Arial"/>
          <w:sz w:val="18"/>
          <w:szCs w:val="18"/>
          <w:u w:val="single" w:color="auto"/>
          <w:color w:val="auto"/>
        </w:rPr>
        <w:t>TI Deadline</w:t>
      </w:r>
      <w:r>
        <w:rPr>
          <w:rFonts w:ascii="Arial" w:cs="Arial" w:eastAsia="Arial" w:hAnsi="Arial"/>
          <w:sz w:val="18"/>
          <w:szCs w:val="18"/>
          <w:color w:val="auto"/>
        </w:rPr>
        <w:t>”) to expend the unused portion of the TI Allowance, after which date Landlord’s obligation to fund such costs shall expire.</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4.8. In no event shall any unused TI Allowance entitle Tenant to a credit against Rent payable under this Lease.</w:t>
      </w:r>
    </w:p>
    <w:p>
      <w:pPr>
        <w:spacing w:after="0" w:line="165"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 xml:space="preserve">4.9. Notwithstanding anything to the contrary in this Lease, Landlord and Tenant agree that all Tenant Improvements shall (a) be programmed in accordance with the lab and office zones identified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and (b) incorporate flexible wall and lab bench systems.</w:t>
      </w:r>
    </w:p>
    <w:p>
      <w:pPr>
        <w:spacing w:after="0" w:line="100"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4"/>
          <w:szCs w:val="14"/>
          <w:color w:val="auto"/>
        </w:rPr>
        <w:t>.</w:t>
      </w:r>
    </w:p>
    <w:p>
      <w:pPr>
        <w:spacing w:after="0" w:line="165" w:lineRule="exact"/>
        <w:rPr>
          <w:sz w:val="20"/>
          <w:szCs w:val="20"/>
          <w:color w:val="auto"/>
        </w:rPr>
      </w:pPr>
    </w:p>
    <w:p>
      <w:pPr>
        <w:jc w:val="both"/>
        <w:ind w:firstLine="764"/>
        <w:spacing w:after="0" w:line="260" w:lineRule="auto"/>
        <w:rPr>
          <w:sz w:val="20"/>
          <w:szCs w:val="20"/>
          <w:color w:val="auto"/>
        </w:rPr>
      </w:pPr>
      <w:r>
        <w:rPr>
          <w:rFonts w:ascii="Arial" w:cs="Arial" w:eastAsia="Arial" w:hAnsi="Arial"/>
          <w:sz w:val="16"/>
          <w:szCs w:val="16"/>
          <w:color w:val="auto"/>
        </w:rPr>
        <w:t xml:space="preserve">Landlord represents to Tenant that, on the date on which Landlord delivers the Premises (or the applicable portion thereof) to Tenant with the Tenant Improvements (or the applicable portion thereof) Substantially Complete, all base building systems within the Premises (or the applicable portion thereof), including the HVAC (as hereinafter defined), electrical, life safety and plumbing systems, shall be in good working order (provided that the sole remedy for any breach of the foregoing representation shall be that Landlord shall repair or remedy the violation of the foregoing representation at its sole cost, provided that Landlord may include the costs thereof in Operating Expenses to the extent that Landlord is permitted to do so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below, and Tenant shall not be entitled to any monetary damages for any breach of such representation). Except as set forth in the immediately foregoing sentence,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(i) the Fourth Floor Premises in its condition “as is” as of the Term Commencement Date, (ii) the Phase 1B Premises in its condition “as is” as of the Substantial Completion of the Phase 1B Improvements and (iii) the Phase 2 Premises in its condition “as is” as of the Substantial Completion of the Phase 2 Improvements and (b) Landlord shall have no obligation to alter, repair or otherwise prepare the Premises for Tenant’s occupancy or to pay for or construct any improvements to the Premises, except with respect to the completion of the Landlord’s Work and the Tenant Improvements and except with respect to the payment of the TI Allowance. Tenant’s taking of possession of the Premises shall, except as otherwise agreed to in writing by Landlord and Tenant, conclusively establish that the Premises, the Building and the Project were at such time in good, sanitary and satisfactory condition and repair.</w:t>
      </w:r>
    </w:p>
    <w:p>
      <w:pPr>
        <w:spacing w:after="0" w:line="139"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Rentable Area</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6.1. The term “</w:t>
      </w:r>
      <w:r>
        <w:rPr>
          <w:rFonts w:ascii="Arial" w:cs="Arial" w:eastAsia="Arial" w:hAnsi="Arial"/>
          <w:sz w:val="18"/>
          <w:szCs w:val="18"/>
          <w:u w:val="single" w:color="auto"/>
          <w:color w:val="auto"/>
        </w:rPr>
        <w:t>Rentable Area</w:t>
      </w:r>
      <w:r>
        <w:rPr>
          <w:rFonts w:ascii="Arial" w:cs="Arial" w:eastAsia="Arial" w:hAnsi="Arial"/>
          <w:sz w:val="18"/>
          <w:szCs w:val="18"/>
          <w:color w:val="auto"/>
        </w:rPr>
        <w:t>” shall reflect such areas as reasonably calculated by Landlord’s architect in a manner consistent with Landlord’s determination of Rentable Area for the remainder of the Building and Project, as the same may be reasonably adjusted from time to time by Landlord in consultation with Landlord’s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architect only to reflect a physical change to the outer walls, roof or basement of the Building or a physical change to the demising walls of the Premises.</w:t>
      </w:r>
    </w:p>
    <w:p>
      <w:pPr>
        <w:spacing w:after="0" w:line="188"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6.2.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125"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6.3. The term “</w:t>
      </w:r>
      <w:r>
        <w:rPr>
          <w:rFonts w:ascii="Arial" w:cs="Arial" w:eastAsia="Arial" w:hAnsi="Arial"/>
          <w:sz w:val="18"/>
          <w:szCs w:val="18"/>
          <w:u w:val="single" w:color="auto"/>
          <w:color w:val="auto"/>
        </w:rPr>
        <w:t>Rentable Area</w:t>
      </w:r>
      <w:r>
        <w:rPr>
          <w:rFonts w:ascii="Arial" w:cs="Arial" w:eastAsia="Arial" w:hAnsi="Arial"/>
          <w:sz w:val="18"/>
          <w:szCs w:val="18"/>
          <w:color w:val="auto"/>
        </w:rPr>
        <w:t>,” when applied to the Premises, is that area equal to the usable area of the Premises, plus an equitable allocation of Rentable Area within the Building that is not then utilized or expected to be utilized as usable area, including that portion of the Building devoted to corridors, equipment rooms, restrooms, elevator lobby, atrium and mailroom.</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6.4. Intentionally omitted.</w:t>
      </w:r>
    </w:p>
    <w:p>
      <w:pPr>
        <w:spacing w:after="0" w:line="165"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 xml:space="preserve">6.5. Review of allocations of Rentable Areas as between tenants of the Building shall be made as frequently as Landlord deems appropriate, including in order to facilitate an equitable apportionment of Operating Expenses (as defined below), but in no event shall the Rentable Area of the Premises or the Building be subject to remeasurement except as otherwise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w:t>
      </w:r>
    </w:p>
    <w:p>
      <w:pPr>
        <w:spacing w:after="0" w:line="153"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82" w:lineRule="auto"/>
        <w:rPr>
          <w:sz w:val="20"/>
          <w:szCs w:val="20"/>
          <w:color w:val="auto"/>
        </w:rPr>
      </w:pPr>
      <w:r>
        <w:rPr>
          <w:rFonts w:ascii="Arial" w:cs="Arial" w:eastAsia="Arial" w:hAnsi="Arial"/>
          <w:sz w:val="15"/>
          <w:szCs w:val="15"/>
          <w:color w:val="auto"/>
        </w:rPr>
        <w:t xml:space="preserve">7.1. Commencing on the Term Commencement Date, Tenant shall pay to Landlord Base Rent for the Fourth Floor Premises (based on the Rentable Area of the Fourth Floor Premises multiplied by the Base Rent Per Square Foot of Rentable Area described in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of this Lease). Commencing on the date that the Phase 1B Premises are Substantially Complete, Tenant shall pay to Landlord Base Rent for both the Fourth Floor Premises and the Phase 1B Premises (based on the Rentable Area of the Fourth Floor Premises and Phase 1B Premises multiplied by the Base Rent Per Square Foot of Rentable Area described in Section 2.3 of this Lease). Commencing on the date that the Phase 2 Improvements are Substantially Complete, Tenant’s obligation to pay Base Rent for the entire Premises shall abate until the date that is four (4) months after the Substantial Completion of the Phase 2 Improvements (the “</w:t>
      </w:r>
      <w:r>
        <w:rPr>
          <w:rFonts w:ascii="Arial" w:cs="Arial" w:eastAsia="Arial" w:hAnsi="Arial"/>
          <w:sz w:val="15"/>
          <w:szCs w:val="15"/>
          <w:u w:val="single" w:color="auto"/>
          <w:color w:val="auto"/>
        </w:rPr>
        <w:t>Rent Commencement Date</w:t>
      </w:r>
      <w:r>
        <w:rPr>
          <w:rFonts w:ascii="Arial" w:cs="Arial" w:eastAsia="Arial" w:hAnsi="Arial"/>
          <w:sz w:val="15"/>
          <w:szCs w:val="15"/>
          <w:color w:val="auto"/>
        </w:rPr>
        <w:t xml:space="preserve">”). Commencing on the Rent Commencement Date, Tenant shall pay to Landlord the sums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subject to the rental adjustments provided in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hereof. Base Rent shall be paid in equal monthly installments as set forth in Section 2.3, subject to the rental adjustments provided in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hereof, and except as otherwise set forth in the first two sentences of this </w:t>
      </w:r>
      <w:r>
        <w:rPr>
          <w:rFonts w:ascii="Arial" w:cs="Arial" w:eastAsia="Arial" w:hAnsi="Arial"/>
          <w:sz w:val="15"/>
          <w:szCs w:val="15"/>
          <w:u w:val="single" w:color="auto"/>
          <w:color w:val="auto"/>
        </w:rPr>
        <w:t>Section 7.1</w:t>
      </w:r>
      <w:r>
        <w:rPr>
          <w:rFonts w:ascii="Arial" w:cs="Arial" w:eastAsia="Arial" w:hAnsi="Arial"/>
          <w:sz w:val="15"/>
          <w:szCs w:val="15"/>
          <w:color w:val="auto"/>
        </w:rPr>
        <w:t>, each in advance on the first day of each and every calendar month during the Term.</w:t>
      </w:r>
    </w:p>
    <w:p>
      <w:pPr>
        <w:spacing w:after="0" w:line="123"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7.2. In addition to Base Rent, Tenant shall pay to Landlord as additional rent (“</w:t>
      </w:r>
      <w:r>
        <w:rPr>
          <w:rFonts w:ascii="Arial" w:cs="Arial" w:eastAsia="Arial" w:hAnsi="Arial"/>
          <w:sz w:val="18"/>
          <w:szCs w:val="18"/>
          <w:u w:val="single" w:color="auto"/>
          <w:color w:val="auto"/>
        </w:rPr>
        <w:t>Additional Rent</w:t>
      </w:r>
      <w:r>
        <w:rPr>
          <w:rFonts w:ascii="Arial" w:cs="Arial" w:eastAsia="Arial" w:hAnsi="Arial"/>
          <w:sz w:val="18"/>
          <w:szCs w:val="18"/>
          <w:color w:val="auto"/>
        </w:rPr>
        <w:t>”) at times hereinafter specified in this Lease (a) Tenant’s Adjusted Share (as defined below) of Operating Expenses (as defined below),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150"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7.3. Base Rent and Additional Rent shall together be denominated “</w:t>
      </w:r>
      <w:r>
        <w:rPr>
          <w:rFonts w:ascii="Arial" w:cs="Arial" w:eastAsia="Arial" w:hAnsi="Arial"/>
          <w:sz w:val="16"/>
          <w:szCs w:val="16"/>
          <w:u w:val="single" w:color="auto"/>
          <w:color w:val="auto"/>
        </w:rPr>
        <w:t>Rent</w:t>
      </w:r>
      <w:r>
        <w:rPr>
          <w:rFonts w:ascii="Arial" w:cs="Arial" w:eastAsia="Arial" w:hAnsi="Arial"/>
          <w:sz w:val="16"/>
          <w:szCs w:val="16"/>
          <w:color w:val="auto"/>
        </w:rPr>
        <w:t xml:space="preserve">.” Rent shall be paid to Landlord, without abatement, deduction or offset, in lawful money of the United States of America to the address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to such other person or at such other place as Landlord may from time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7" w:name="page128"/>
    <w:bookmarkEnd w:id="127"/>
    <w:p>
      <w:pPr>
        <w:jc w:val="both"/>
        <w:spacing w:after="0" w:line="306" w:lineRule="auto"/>
        <w:rPr>
          <w:sz w:val="20"/>
          <w:szCs w:val="20"/>
          <w:color w:val="auto"/>
        </w:rPr>
      </w:pPr>
      <w:r>
        <w:rPr>
          <w:rFonts w:ascii="Arial" w:cs="Arial" w:eastAsia="Arial" w:hAnsi="Arial"/>
          <w:sz w:val="16"/>
          <w:szCs w:val="16"/>
          <w:color w:val="auto"/>
        </w:rPr>
        <w:t>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100"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 xml:space="preserve">7.4. Tenant’s obligation to pay Rent shall not be discharged or otherwise affected by (a) any Applicable Laws now or hereafter applicable to the Premises, (b) 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nothing in this sentence shall in any way affect Tenant’s obligations with respect to any other period.</w:t>
      </w:r>
    </w:p>
    <w:p>
      <w:pPr>
        <w:spacing w:after="0" w:line="133" w:lineRule="exact"/>
        <w:rPr>
          <w:sz w:val="20"/>
          <w:szCs w:val="20"/>
          <w:color w:val="auto"/>
        </w:rPr>
      </w:pPr>
    </w:p>
    <w:p>
      <w:pPr>
        <w:jc w:val="both"/>
        <w:ind w:firstLine="8"/>
        <w:spacing w:after="0" w:line="237" w:lineRule="auto"/>
        <w:tabs>
          <w:tab w:leader="none" w:pos="18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Rent Adjustments</w:t>
      </w:r>
      <w:r>
        <w:rPr>
          <w:rFonts w:ascii="Arial" w:cs="Arial" w:eastAsia="Arial" w:hAnsi="Arial"/>
          <w:sz w:val="18"/>
          <w:szCs w:val="18"/>
          <w:color w:val="auto"/>
        </w:rPr>
        <w:t>. Base Rent shall be subject to an annual upward adjustment of three percent (3%) of the then-current Base Rent. The first such adjustment shall become effective commencing on the first (1</w:t>
      </w:r>
      <w:r>
        <w:rPr>
          <w:rFonts w:ascii="Arial" w:cs="Arial" w:eastAsia="Arial" w:hAnsi="Arial"/>
          <w:sz w:val="14"/>
          <w:szCs w:val="14"/>
          <w:color w:val="auto"/>
        </w:rPr>
        <w:t>st</w:t>
      </w:r>
      <w:r>
        <w:rPr>
          <w:rFonts w:ascii="Arial" w:cs="Arial" w:eastAsia="Arial" w:hAnsi="Arial"/>
          <w:sz w:val="18"/>
          <w:szCs w:val="18"/>
          <w:color w:val="auto"/>
        </w:rPr>
        <w:t>) annual anniversary of the Rent Commencement Date, and subsequent adjustments shall become effective on every successive annual anniversary for so long as this Lease continues in effect.</w:t>
      </w:r>
    </w:p>
    <w:p>
      <w:pPr>
        <w:spacing w:after="0" w:line="152" w:lineRule="exact"/>
        <w:rPr>
          <w:rFonts w:ascii="Arial" w:cs="Arial" w:eastAsia="Arial" w:hAnsi="Arial"/>
          <w:sz w:val="18"/>
          <w:szCs w:val="18"/>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9.1. As used herein, the term “</w:t>
      </w:r>
      <w:r>
        <w:rPr>
          <w:rFonts w:ascii="Arial" w:cs="Arial" w:eastAsia="Arial" w:hAnsi="Arial"/>
          <w:sz w:val="18"/>
          <w:szCs w:val="18"/>
          <w:u w:val="single" w:color="auto"/>
          <w:color w:val="auto"/>
        </w:rPr>
        <w:t>Operating Expenses</w:t>
      </w:r>
      <w:r>
        <w:rPr>
          <w:rFonts w:ascii="Arial" w:cs="Arial" w:eastAsia="Arial" w:hAnsi="Arial"/>
          <w:sz w:val="18"/>
          <w:szCs w:val="18"/>
          <w:color w:val="auto"/>
        </w:rPr>
        <w:t>” shall include:</w:t>
      </w:r>
    </w:p>
    <w:p>
      <w:pPr>
        <w:spacing w:after="0" w:line="165" w:lineRule="exact"/>
        <w:rPr>
          <w:sz w:val="20"/>
          <w:szCs w:val="20"/>
          <w:color w:val="auto"/>
        </w:rPr>
      </w:pPr>
    </w:p>
    <w:p>
      <w:pPr>
        <w:jc w:val="both"/>
        <w:ind w:firstLine="1153"/>
        <w:spacing w:after="0" w:line="262" w:lineRule="auto"/>
        <w:tabs>
          <w:tab w:leader="none" w:pos="1418" w:val="left"/>
        </w:tabs>
        <w:numPr>
          <w:ilvl w:val="0"/>
          <w:numId w:val="93"/>
        </w:numPr>
        <w:rPr>
          <w:rFonts w:ascii="Arial" w:cs="Arial" w:eastAsia="Arial" w:hAnsi="Arial"/>
          <w:sz w:val="16"/>
          <w:szCs w:val="16"/>
          <w:color w:val="auto"/>
        </w:rPr>
      </w:pPr>
      <w:r>
        <w:rPr>
          <w:rFonts w:ascii="Arial" w:cs="Arial" w:eastAsia="Arial" w:hAnsi="Arial"/>
          <w:sz w:val="16"/>
          <w:szCs w:val="16"/>
          <w:color w:val="auto"/>
        </w:rPr>
        <w:t>Government impositions, including property tax costs consisting of real and personal property taxes (including amounts due under any improvement bond upon the Building or the Project (including the parcel or parcels of real property upon which the Building and areas serving the Building are located)) or assessments in lieu thereof imposed by any federal, state, regional, local or municipal governmental authority, agency or subdivision (each, a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resulting from Applicable Laws or interpretations thereof, promulgated by any Governmental Authority in connection with the use or occupancy of the Project or the parking facilities serving the Project, including without limitation the Parking Garage;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and</w:t>
      </w:r>
    </w:p>
    <w:p>
      <w:pPr>
        <w:spacing w:after="0" w:line="135" w:lineRule="exact"/>
        <w:rPr>
          <w:rFonts w:ascii="Arial" w:cs="Arial" w:eastAsia="Arial" w:hAnsi="Arial"/>
          <w:sz w:val="16"/>
          <w:szCs w:val="16"/>
          <w:color w:val="auto"/>
        </w:rPr>
      </w:pPr>
    </w:p>
    <w:p>
      <w:pPr>
        <w:jc w:val="both"/>
        <w:ind w:firstLine="1153"/>
        <w:spacing w:after="0" w:line="263" w:lineRule="auto"/>
        <w:tabs>
          <w:tab w:leader="none" w:pos="1383"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other costs of any kind paid or incurred by Landlord in connection with the operation or maintenance of the Building and the Project, which shall include Project office rent at fair market rental for a commercially reasonable amount of space for Project management personnel, to the extent an office used for Project operations is maintained at the Project, plus customary expenses for such office, and costs of repairs and replacements to improvements within the Project as appropriate to maintain the Project as required hereunder, including costs of funding such reasonable reserves as Landlord, consistent with good business practice, may establish to provide for future repairs and replacements; costs of utilities furnished to the Common Area; costs associated with the operation of food trucks for the benefit of employees of tenants at the Project; sewer fees; cable television; trash collection; cleaning, including windows; heating, ventilation and air-conditioning (“</w:t>
      </w:r>
      <w:r>
        <w:rPr>
          <w:rFonts w:ascii="Arial" w:cs="Arial" w:eastAsia="Arial" w:hAnsi="Arial"/>
          <w:sz w:val="16"/>
          <w:szCs w:val="16"/>
          <w:u w:val="single" w:color="auto"/>
          <w:color w:val="auto"/>
        </w:rPr>
        <w:t>HVAC</w:t>
      </w:r>
      <w:r>
        <w:rPr>
          <w:rFonts w:ascii="Arial" w:cs="Arial" w:eastAsia="Arial" w:hAnsi="Arial"/>
          <w:sz w:val="16"/>
          <w:szCs w:val="16"/>
          <w:color w:val="auto"/>
        </w:rPr>
        <w:t>”); maintenance of landscaping and grounds; snow removal; maintenance of drives and parking areas, including without limitation the Parking Garage; maintenance of the roof; security services and devices; building supplies; maintenance or replacement of equipment utilized for operation and maintenance of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16"/>
          <w:szCs w:val="16"/>
          <w:color w:val="auto"/>
        </w:rPr>
        <w:t xml:space="preserve">Project; license, permit and inspection fees; sales, use and excise taxes on goods and services purchased by Landlord in connection with the operation, maintenance or repair of the Building or Project systems and equipment; telephone, postage, stationery supplies and other expenses incurred in connection with the operation, maintenance or repair of the Project; accounting, legal and other professional fees and expenses incurred in connection with the Project; costs of furniture, draperies, carpeting, landscaping supplies, snow removal supplies and other customary and ordinary items of personal property provided by Landlord for use in Common Areas or in the Project office; capital expenditures but only to the extent permitted in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below; costs of complying with Applicable Laws (except to the extent such costs are incurred to remedy non-compliance as of the Execution Date with Applicable Laws); costs to keep the Project in compliance with, or fees otherwise required under, any CC&amp;Rs (as defined below), including condominium fees; insurance premiums, including premiums for commercial general liability, property casualty, earthquake, terrorism and environmental coverages; portions of insured losses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 handymen, and engineering/maintenance personnel.</w:t>
      </w:r>
    </w:p>
    <w:p>
      <w:pPr>
        <w:spacing w:after="0" w:line="137" w:lineRule="exact"/>
        <w:rPr>
          <w:sz w:val="20"/>
          <w:szCs w:val="20"/>
          <w:color w:val="auto"/>
        </w:rPr>
      </w:pPr>
    </w:p>
    <w:p>
      <w:pPr>
        <w:jc w:val="both"/>
        <w:ind w:firstLine="1153"/>
        <w:spacing w:after="0" w:line="259" w:lineRule="auto"/>
        <w:tabs>
          <w:tab w:leader="none" w:pos="1398"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Notwithstanding the foregoing, Operating Expenses shall not include any net income, franchise, capital stock, estate or inheritance taxes, or taxes that are the personal obligation of Tenant or of another tenant of the Project; any leasing commissions; expenses (including attorney fees and court costs) incurred in connection with (i) negotiations or disputes with tenants of the Property or other occupants or prospective tenants or other occupants, (ii) the enforcement of any leases or (iii) the defense of Landlord's title to, or interest in, the Building or any part thereof; costs (including permit, license, and inspection fees) incurred in connection with preparing rental space for a tenant, that relate to preparation of rental space for a tenant; expenses of initial development and construction, including grading, paving, landscaping and decorating (as distinguished from maintenance, repair and replacement of the foregoing); Landlord's costs of any services provided to tenants or other occupants for which Landlord is actually reimbursed by such tenants or other occupants (other than reimbursement through Operating Expenses) as an additional charge or rental over and above the basic rent (and escalations thereof) payable under the lease with such tenant or other occupant; costs in connection with services that are provided to another tenant or occupant of the Building, but are not offered to Tenant; capital expenditures, except for those incurred (A) in replacing obsolete equipment, (B) for the primary purpose of reducing Operating Expenses, or (C) required to comply with changes in Applicable Laws that take effect after the Execution Date of the Lease, in each case amortized over the useful life thereof (but in no event more than thirteen (13) years), as reasonably determined by Landlord; costs (i.e., interest and penalties) incurred due to Landlord's default of this Lease or any other lease, mortgage, or other agreement, in each case affecting the Building or Property; payments to subsidiaries or affiliates of Landlord, or to any other party, in each case as a result of a non-arm's length transaction, for management or other services for the Building, or for supplies or other materials for the Building, to the extent that such payments exceed arm's length competitive prices in the Cambridge, Massachusetts market for the services, supplies or materials provided; Landlord's legal existence and general corporate overhead and general administrative expenses; legal expenses relating to other tenants; costs of repairs to the extent reimbursed by payment of insurance proceeds received by Landlord; advertising and promotional expenditures directly related to Landlord's efforts to lease space in the Building; the cost of repairs or other work occasioned by fire, windstorm, or other insured casualty, to the extent Landlord actually receives proceeds of such insurance for such repairs or other work; debt service; interest upon loans to Landlord or secured by a mortgage or deed of trust covering the Project or a portion thereof or any other debt of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interest upon a government assessment or improvement bond payable in installments shall constitute an Operating Expense under </w:t>
      </w:r>
      <w:r>
        <w:rPr>
          <w:rFonts w:ascii="Arial" w:cs="Arial" w:eastAsia="Arial" w:hAnsi="Arial"/>
          <w:sz w:val="16"/>
          <w:szCs w:val="16"/>
          <w:u w:val="single" w:color="auto"/>
          <w:color w:val="auto"/>
        </w:rPr>
        <w:t>Subsection 9.1(a)</w:t>
      </w:r>
      <w:r>
        <w:rPr>
          <w:rFonts w:ascii="Arial" w:cs="Arial" w:eastAsia="Arial" w:hAnsi="Arial"/>
          <w:sz w:val="16"/>
          <w:szCs w:val="16"/>
          <w:color w:val="auto"/>
        </w:rPr>
        <w:t>); rental payments under any ground lease; the cost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29" w:name="page130"/>
    <w:bookmarkEnd w:id="129"/>
    <w:p>
      <w:pPr>
        <w:jc w:val="both"/>
        <w:spacing w:after="0" w:line="259" w:lineRule="auto"/>
        <w:rPr>
          <w:sz w:val="20"/>
          <w:szCs w:val="20"/>
          <w:color w:val="auto"/>
        </w:rPr>
      </w:pPr>
      <w:r>
        <w:rPr>
          <w:rFonts w:ascii="Arial" w:cs="Arial" w:eastAsia="Arial" w:hAnsi="Arial"/>
          <w:sz w:val="16"/>
          <w:szCs w:val="16"/>
          <w:color w:val="auto"/>
        </w:rPr>
        <w:t xml:space="preserve">correcting defects in the construction of the Building, Building equipment, Parking Garage, parking lot or other site improvements, but only to the extent such costs are covered by and actually reimbursed to Landlord under any applicable warranty or service contract held by Landlord; costs incurred directly and solely as a result of Landlord's gross negligence or willful misconduct; salaries paid to Landlord's personnel above the level of Building manager who are not spending a majority of their time doing work related to the Building; legal and accounting fees not incurred in connection with operation and management of the Building, (including any legal and other costs incurred in connection with the sale, financing, refinancing, syndication, securitization, or change of ownership of the Building, including, without limitation, brokerage commissions, attorneys’ and accountants’ fees, closing costs, title insurance premiums, points, and interest charges) salaries of executive officers of Landlord; depreciation claimed by Landlord for tax purposes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exclusion of depreciation is not intended to delete from Operating Expenses actual costs of repairs and replacements and reasonable reserves in regard thereto that are provided for in </w:t>
      </w:r>
      <w:r>
        <w:rPr>
          <w:rFonts w:ascii="Arial" w:cs="Arial" w:eastAsia="Arial" w:hAnsi="Arial"/>
          <w:sz w:val="16"/>
          <w:szCs w:val="16"/>
          <w:u w:val="single" w:color="auto"/>
          <w:color w:val="auto"/>
        </w:rPr>
        <w:t>Subsection 9.1(b)</w:t>
      </w:r>
      <w:r>
        <w:rPr>
          <w:rFonts w:ascii="Arial" w:cs="Arial" w:eastAsia="Arial" w:hAnsi="Arial"/>
          <w:sz w:val="16"/>
          <w:szCs w:val="16"/>
          <w:color w:val="auto"/>
        </w:rPr>
        <w:t xml:space="preserve">); taxes that are excluded from Operating Expenses by the last sentence of </w:t>
      </w:r>
      <w:r>
        <w:rPr>
          <w:rFonts w:ascii="Arial" w:cs="Arial" w:eastAsia="Arial" w:hAnsi="Arial"/>
          <w:sz w:val="16"/>
          <w:szCs w:val="16"/>
          <w:u w:val="single" w:color="auto"/>
          <w:color w:val="auto"/>
        </w:rPr>
        <w:t>Subsection 9.1(a)</w:t>
      </w:r>
      <w:r>
        <w:rPr>
          <w:rFonts w:ascii="Arial" w:cs="Arial" w:eastAsia="Arial" w:hAnsi="Arial"/>
          <w:sz w:val="16"/>
          <w:szCs w:val="16"/>
          <w:color w:val="auto"/>
        </w:rPr>
        <w:t xml:space="preserve">; costs or expenses incurred in connection with the financing or sale of the Project or any portion thereof;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political and charitable contributions; any item that, if included in Operating Expenses, would involve a double collection for such item by Landlord, such as ordinary maintenance and repair costs for the Parking Garage which are included in the parking fee payable by Tenant in accordance with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hereof; and costs arising from Hazardous Materials at the Project in violation of Applicable Laws as of the Execution Date, unless placed at the Project by a Tenant Party. To the extent that Tenant uses more than Tenant’s Pro Rata Share of any item of Operating Expenses, Tenant shall pay Landlord for such excess in addition to Tenant’s obligation to pay Tenant’s Pro Rata Share of Operating Expenses (such excess, together with Tenant’s Pro Rata Share, “</w:t>
      </w:r>
      <w:r>
        <w:rPr>
          <w:rFonts w:ascii="Arial" w:cs="Arial" w:eastAsia="Arial" w:hAnsi="Arial"/>
          <w:sz w:val="16"/>
          <w:szCs w:val="16"/>
          <w:u w:val="single" w:color="auto"/>
          <w:color w:val="auto"/>
        </w:rPr>
        <w:t>Tenant’s Adjusted Share</w:t>
      </w:r>
      <w:r>
        <w:rPr>
          <w:rFonts w:ascii="Arial" w:cs="Arial" w:eastAsia="Arial" w:hAnsi="Arial"/>
          <w:sz w:val="16"/>
          <w:szCs w:val="16"/>
          <w:color w:val="auto"/>
        </w:rPr>
        <w:t>”).</w:t>
      </w:r>
    </w:p>
    <w:p>
      <w:pPr>
        <w:spacing w:after="0" w:line="147" w:lineRule="exact"/>
        <w:rPr>
          <w:sz w:val="20"/>
          <w:szCs w:val="20"/>
          <w:color w:val="auto"/>
        </w:rPr>
      </w:pPr>
    </w:p>
    <w:p>
      <w:pPr>
        <w:jc w:val="both"/>
        <w:ind w:firstLine="764"/>
        <w:spacing w:after="0" w:line="233" w:lineRule="auto"/>
        <w:rPr>
          <w:sz w:val="20"/>
          <w:szCs w:val="20"/>
          <w:color w:val="auto"/>
        </w:rPr>
      </w:pPr>
      <w:r>
        <w:rPr>
          <w:rFonts w:ascii="Arial" w:cs="Arial" w:eastAsia="Arial" w:hAnsi="Arial"/>
          <w:sz w:val="18"/>
          <w:szCs w:val="18"/>
          <w:color w:val="auto"/>
        </w:rPr>
        <w:t>9.2. Tenant shall pay to Landlord on the first day of each calendar month of the Term, as Additional Rent, (a) one-twelfth (1/12th) of the Property Management Fee (as defined below) and (b) Landlord’s estimate of Tenant’s Adjusted Share of Operating Expenses with respect to the Building and the Project, as applicable, for such month. Notwithstanding the immediately foregoing sentence, for the period between the Term Commencement Date and the Rent Commencement Date, Tenant shall only be required to pay the Property Management Fee and Tenant’s Adjusted Share of Operating Expenses with respect to the Fourth Floor Premises and Phase 1B Premises (and not the Phase 2 Premises), and the Property Management Fee and Tenant’s Adjusted Share of Operating Expenses shall be adjusted proportionately.</w:t>
      </w:r>
    </w:p>
    <w:p>
      <w:pPr>
        <w:spacing w:after="0" w:line="151" w:lineRule="exact"/>
        <w:rPr>
          <w:sz w:val="20"/>
          <w:szCs w:val="20"/>
          <w:color w:val="auto"/>
        </w:rPr>
      </w:pPr>
    </w:p>
    <w:p>
      <w:pPr>
        <w:jc w:val="both"/>
        <w:ind w:firstLine="1153"/>
        <w:spacing w:after="0" w:line="269" w:lineRule="auto"/>
        <w:tabs>
          <w:tab w:leader="none" w:pos="139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Property Management Fee</w:t>
      </w:r>
      <w:r>
        <w:rPr>
          <w:rFonts w:ascii="Arial" w:cs="Arial" w:eastAsia="Arial" w:hAnsi="Arial"/>
          <w:sz w:val="16"/>
          <w:szCs w:val="16"/>
          <w:color w:val="auto"/>
        </w:rPr>
        <w:t xml:space="preserve">” shall equal three percent (3%) of Base Rent due from Tenant. Tenant shall pay the Property Management Fee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with respect to the entire Term, including any extensions thereof or any holdover periods, regardless of whether Tenant is obligated to pay Base Rent, Operating Expenses or any other Rent with respect to any such period or portion thereof. For the period of time between the Term Commencement Date and Rent Commencement Date, if any, and any period of occupancy prior to the Term as further described in </w:t>
      </w:r>
      <w:r>
        <w:rPr>
          <w:rFonts w:ascii="Arial" w:cs="Arial" w:eastAsia="Arial" w:hAnsi="Arial"/>
          <w:sz w:val="16"/>
          <w:szCs w:val="16"/>
          <w:u w:val="single" w:color="auto"/>
          <w:color w:val="auto"/>
        </w:rPr>
        <w:t>Section 9.5</w:t>
      </w:r>
      <w:r>
        <w:rPr>
          <w:rFonts w:ascii="Arial" w:cs="Arial" w:eastAsia="Arial" w:hAnsi="Arial"/>
          <w:sz w:val="16"/>
          <w:szCs w:val="16"/>
          <w:color w:val="auto"/>
        </w:rPr>
        <w:t>, the Property Management Fee shall be calculated as if Tenant were paying $459,720.45 per month for Base Rent.</w:t>
      </w:r>
    </w:p>
    <w:p>
      <w:pPr>
        <w:spacing w:after="0" w:line="128" w:lineRule="exact"/>
        <w:rPr>
          <w:rFonts w:ascii="Arial" w:cs="Arial" w:eastAsia="Arial" w:hAnsi="Arial"/>
          <w:sz w:val="16"/>
          <w:szCs w:val="16"/>
          <w:color w:val="auto"/>
        </w:rPr>
      </w:pPr>
    </w:p>
    <w:p>
      <w:pPr>
        <w:jc w:val="both"/>
        <w:ind w:firstLine="1153"/>
        <w:spacing w:after="0" w:line="269"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Within ninety (90) days after the conclusion of each calendar year (or such longer period as may be reasonably required by Landlord), Landlord shall furnish to Tenant a statement showing in reasonable detail the actual Operating Expenses, Tenant’s Adjusted Share of Operating Expenses, and the cost of providing utilities to the Premises for the previous calendar year (“</w:t>
      </w:r>
      <w:r>
        <w:rPr>
          <w:rFonts w:ascii="Arial" w:cs="Arial" w:eastAsia="Arial" w:hAnsi="Arial"/>
          <w:sz w:val="16"/>
          <w:szCs w:val="16"/>
          <w:u w:val="single" w:color="auto"/>
          <w:color w:val="auto"/>
        </w:rPr>
        <w:t>Landlord’s Statement</w:t>
      </w:r>
      <w:r>
        <w:rPr>
          <w:rFonts w:ascii="Arial" w:cs="Arial" w:eastAsia="Arial" w:hAnsi="Arial"/>
          <w:sz w:val="16"/>
          <w:szCs w:val="16"/>
          <w:color w:val="auto"/>
        </w:rPr>
        <w:t>”).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 xml:space="preserve">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Lease term has expired, Landlord shall accompany Landlord’s Statement with payment for the amount of such difference.</w:t>
      </w:r>
    </w:p>
    <w:p>
      <w:pPr>
        <w:spacing w:after="0" w:line="188" w:lineRule="exact"/>
        <w:rPr>
          <w:sz w:val="20"/>
          <w:szCs w:val="20"/>
          <w:color w:val="auto"/>
        </w:rPr>
      </w:pPr>
    </w:p>
    <w:p>
      <w:pPr>
        <w:ind w:right="20" w:firstLine="1153"/>
        <w:spacing w:after="0" w:line="245" w:lineRule="auto"/>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amount due under this Section for any period that is less than a full month shall be prorated for such fractional month on the basis of the number of days in the month.</w:t>
      </w:r>
    </w:p>
    <w:p>
      <w:pPr>
        <w:spacing w:after="0" w:line="146" w:lineRule="exact"/>
        <w:rPr>
          <w:sz w:val="20"/>
          <w:szCs w:val="20"/>
          <w:color w:val="auto"/>
        </w:rPr>
      </w:pPr>
    </w:p>
    <w:p>
      <w:pPr>
        <w:jc w:val="both"/>
        <w:ind w:firstLine="764"/>
        <w:spacing w:after="0" w:line="259" w:lineRule="auto"/>
        <w:rPr>
          <w:sz w:val="20"/>
          <w:szCs w:val="20"/>
          <w:color w:val="auto"/>
        </w:rPr>
      </w:pPr>
      <w:r>
        <w:rPr>
          <w:rFonts w:ascii="Arial" w:cs="Arial" w:eastAsia="Arial" w:hAnsi="Arial"/>
          <w:sz w:val="16"/>
          <w:szCs w:val="16"/>
          <w:color w:val="auto"/>
        </w:rPr>
        <w:t>9.3. Landlord may, from time to time, modify Landlord’s calculation and allocation procedures for Operating Expenses, so long as such modifications produce Dollar results substantially consistent with Landlord’s then-current practice at the Project. Landlord or an affiliate(s) of Landlord currently own other property(ies) adjacent to the Building and Project or its neighboring properties, including but not limited to the buildings located at 21 Erie Street and 40 Erie Street in Cambridge, Massachusetts (collectively, “</w:t>
      </w:r>
      <w:r>
        <w:rPr>
          <w:rFonts w:ascii="Arial" w:cs="Arial" w:eastAsia="Arial" w:hAnsi="Arial"/>
          <w:sz w:val="16"/>
          <w:szCs w:val="16"/>
          <w:u w:val="single" w:color="auto"/>
          <w:color w:val="auto"/>
        </w:rPr>
        <w:t>Neighboring Properties</w:t>
      </w:r>
      <w:r>
        <w:rPr>
          <w:rFonts w:ascii="Arial" w:cs="Arial" w:eastAsia="Arial" w:hAnsi="Arial"/>
          <w:sz w:val="16"/>
          <w:szCs w:val="16"/>
          <w:color w:val="auto"/>
        </w:rPr>
        <w:t>”). In connection with Landlord performing services for the Project pursuant to this Lease, similar services may be performed by the same vendor(s) for Neighboring Properties (for instance, shuttle services, food truck services or landscaping maintenance). In such a case, Landlord shall reasonably allocate to the Building and the Project the costs for such services based upon the ratio that the square footage of the Building or the Project (as applicable) bears to the total square footage of all of the Neighboring Properties or buildings within the Neighboring Properties for which the services are performed, unless the scope of the services performed for any building or property (including the Building and the Project) is disproportionately more or less than for others, in which case Landlord shall equitably allocate the costs based on the scope of the services being performed for each building or property (including the Building and the Project). In addition, Landlord intends on or about the date hereof, to consolidate ownership of the Property with the property known as 40 Erie Street in Cambridge, Massachusetts (the “</w:t>
      </w:r>
      <w:r>
        <w:rPr>
          <w:rFonts w:ascii="Arial" w:cs="Arial" w:eastAsia="Arial" w:hAnsi="Arial"/>
          <w:sz w:val="16"/>
          <w:szCs w:val="16"/>
          <w:u w:val="single" w:color="auto"/>
          <w:color w:val="auto"/>
        </w:rPr>
        <w:t>40 Erie Street Property</w:t>
      </w:r>
      <w:r>
        <w:rPr>
          <w:rFonts w:ascii="Arial" w:cs="Arial" w:eastAsia="Arial" w:hAnsi="Arial"/>
          <w:sz w:val="16"/>
          <w:szCs w:val="16"/>
          <w:color w:val="auto"/>
        </w:rPr>
        <w:t>”, which contains a building known as 40 Erie Street (the “</w:t>
      </w:r>
      <w:r>
        <w:rPr>
          <w:rFonts w:ascii="Arial" w:cs="Arial" w:eastAsia="Arial" w:hAnsi="Arial"/>
          <w:sz w:val="16"/>
          <w:szCs w:val="16"/>
          <w:u w:val="single" w:color="auto"/>
          <w:color w:val="auto"/>
        </w:rPr>
        <w:t>40 Erie Building</w:t>
      </w:r>
      <w:r>
        <w:rPr>
          <w:rFonts w:ascii="Arial" w:cs="Arial" w:eastAsia="Arial" w:hAnsi="Arial"/>
          <w:sz w:val="16"/>
          <w:szCs w:val="16"/>
          <w:color w:val="auto"/>
        </w:rPr>
        <w:t>”)) by consolidating the 40 Erie Street Property with the Property, and upon such consolidation, the defined term “</w:t>
      </w:r>
      <w:r>
        <w:rPr>
          <w:rFonts w:ascii="Arial" w:cs="Arial" w:eastAsia="Arial" w:hAnsi="Arial"/>
          <w:sz w:val="16"/>
          <w:szCs w:val="16"/>
          <w:u w:val="single" w:color="auto"/>
          <w:color w:val="auto"/>
        </w:rPr>
        <w:t>Property</w:t>
      </w:r>
      <w:r>
        <w:rPr>
          <w:rFonts w:ascii="Arial" w:cs="Arial" w:eastAsia="Arial" w:hAnsi="Arial"/>
          <w:sz w:val="16"/>
          <w:szCs w:val="16"/>
          <w:color w:val="auto"/>
        </w:rPr>
        <w:t xml:space="preserve">” as used in this Lease shall mean the former Property (as defined in Recital “A” to this Lease) and the 40 Erie Street Property. Thereafter, in the case of any Operating Expenses (including, without limitation, any real estate or other taxes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(a) hereof) that apply to the Property as a whole (as opposed to allocated specifically to each of the Building and the 40 Erie Building), as determined by Landlord, Landlord shall reasonably allocate to each building the costs of such Operating Expenses based upon the ratio that the rentable area of each of the Building and the 40 Erie Building, respectively, bears to the total rentable area of the Building and the 40 Erie Building together, or such other equitable allocation as Landlord reasonably determines.</w:t>
      </w:r>
    </w:p>
    <w:p>
      <w:pPr>
        <w:spacing w:after="0" w:line="147"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 xml:space="preserve">9.4. Landlord’s annual statement shall be final and binding upon Tenant unless Tenant, within sixty (60) days after Tenant’s receipt thereof, shall contest any item therein by giving written notice to Landlord, specifying each item contested and the reasons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shall in all events pay the amount specified in Landlord’s annual statement, pending the results of the Independent Review and determination of the Accountant(s), as applicable and as each such term is defined below. If, during such thirty (30)-day period, Tenant reasonably and in good faith questions or contests the correctness of Landlord’s statement of Tenant’s Adjusted Share of Operating Expenses, Landlord shall provide Tenant with reasonable access to Landlord’s books and records to the extent relevant to determination of Operating Expenses, and such information as Landlord reasonably determines to be responsive to Tenant’s written inquiries. In the event that, after Tenant’s review of such information, Landlord and Tenant cannot agree upon the amount of Tenant’s Adjusted Share of Operating Expenses, then Tenant shall have the right to have an independent public accounting firm hired by Tenant on an hourly basis and not on a contingent-fee basis (at Tenant’s sole cost and expense) and approved by Landlord (which approval Landlord shall not unreasonably withhold or delay) audit and review such of Landlord’s books and records for the year in question as directly relate to the determination of Operating Expenses for such year (the “</w:t>
      </w:r>
      <w:r>
        <w:rPr>
          <w:rFonts w:ascii="Arial" w:cs="Arial" w:eastAsia="Arial" w:hAnsi="Arial"/>
          <w:sz w:val="16"/>
          <w:szCs w:val="16"/>
          <w:u w:val="single" w:color="auto"/>
          <w:color w:val="auto"/>
        </w:rPr>
        <w:t>Independent Review</w:t>
      </w:r>
      <w:r>
        <w:rPr>
          <w:rFonts w:ascii="Arial" w:cs="Arial" w:eastAsia="Arial" w:hAnsi="Arial"/>
          <w:sz w:val="16"/>
          <w:szCs w:val="16"/>
          <w:color w:val="auto"/>
        </w:rPr>
        <w:t>”), but not books and records of entities other than Landlord. Landlord shall make such books and records available at the location where Landlord maintains them in the ordinary course of its business. Landlord need not provide copies of any books or records. Tenant shall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1" w:name="page132"/>
    <w:bookmarkEnd w:id="131"/>
    <w:p>
      <w:pPr>
        <w:jc w:val="both"/>
        <w:spacing w:after="0" w:line="275" w:lineRule="auto"/>
        <w:rPr>
          <w:sz w:val="20"/>
          <w:szCs w:val="20"/>
          <w:color w:val="auto"/>
        </w:rPr>
      </w:pPr>
      <w:r>
        <w:rPr>
          <w:rFonts w:ascii="Arial" w:cs="Arial" w:eastAsia="Arial" w:hAnsi="Arial"/>
          <w:sz w:val="15"/>
          <w:szCs w:val="15"/>
          <w:color w:val="auto"/>
        </w:rPr>
        <w:t>commence the Independent Review within thirty (30) days after the date Landlord has given Tenant access to Landlord’s books and records for the Independent Review. Tenant shall complete the Independent Review and notify Landlord in writing of Tenant’s specific objections to Landlord’s calculation of Operating Expenses (including Tenant’s accounting firm’s written statement of the basis, nature and amount of each proposed adjustment) no later than sixty (60) days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the date that is sixty (60) 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Cambridge, Massachusetts area (the “</w:t>
      </w:r>
      <w:r>
        <w:rPr>
          <w:rFonts w:ascii="Arial" w:cs="Arial" w:eastAsia="Arial" w:hAnsi="Arial"/>
          <w:sz w:val="15"/>
          <w:szCs w:val="15"/>
          <w:u w:val="single" w:color="auto"/>
          <w:color w:val="auto"/>
        </w:rPr>
        <w:t>Accountant</w:t>
      </w:r>
      <w:r>
        <w:rPr>
          <w:rFonts w:ascii="Arial" w:cs="Arial" w:eastAsia="Arial" w:hAnsi="Arial"/>
          <w:sz w:val="15"/>
          <w:szCs w:val="15"/>
          <w:color w:val="auto"/>
        </w:rPr>
        <w:t>”). If the parties cannot 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w:t>
      </w:r>
    </w:p>
    <w:p>
      <w:pPr>
        <w:spacing w:after="0" w:line="6" w:lineRule="exact"/>
        <w:rPr>
          <w:sz w:val="20"/>
          <w:szCs w:val="20"/>
          <w:color w:val="auto"/>
        </w:rPr>
      </w:pPr>
    </w:p>
    <w:p>
      <w:pPr>
        <w:jc w:val="both"/>
        <w:ind w:firstLine="8"/>
        <w:spacing w:after="0" w:line="259" w:lineRule="auto"/>
        <w:tabs>
          <w:tab w:leader="none" w:pos="3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Landlord’s or Tenant’s determination of Operating Expenses. The Accountants may not select or designate any other determination of Operating Expenses. The determination of the Accountant(s) shall bind the parties. If the parties agree or the Accountant(s) determine that the Operating Expenses actually paid by Tenant for the calendar year in question exceeded Tenant’s obligations for such calendar year, then Landlord shall, at Tenant’s option, either (a) credit the excess to the next succeeding installments of estimated Additional Rent or (b) pay the excess to Tenant within thirty (30) days after delivery of such results. If the parties agree or the Accountant(s) determine that Tenant’s payments of Operating Expenses for such calendar year were less than Tenant’s obligation for the calendar year, then Tenant shall pay the deficiency to Landlord within thirty (30) days after delivery of such results. If the Independent Review reveals or the Accountant(s) determine that the Operating Expenses billed to Tenant by Landlord and paid by Tenant to Landlord for the applicable calendar year in question exceeded by more than seven and one-half percent (7.5%) what Tenant should have been billed during such calendar year, then Landlord shall pay the reasonable cost of the Independent Review. In all other cases Tenant shall pay the cost of the Independent Review and the Accountant(s).</w:t>
      </w:r>
    </w:p>
    <w:p>
      <w:pPr>
        <w:spacing w:after="0" w:line="141"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9.5. Tenant shall not be responsible for Operating Expenses with respect to any time period prior to the Term Commencement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Landlord shall permit Tenant possession of the Premises prior to the Term Commencement Date, Tenant shall be responsible for Operating Expenses from such earlier date of possession (the Term Commencement Date or such earlier date, as applicable, the “</w:t>
      </w:r>
      <w:r>
        <w:rPr>
          <w:rFonts w:ascii="Arial" w:cs="Arial" w:eastAsia="Arial" w:hAnsi="Arial"/>
          <w:sz w:val="16"/>
          <w:szCs w:val="16"/>
          <w:u w:val="single" w:color="auto"/>
          <w:color w:val="auto"/>
        </w:rPr>
        <w:t>Expense Trigger Date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Landlord may annualize certain Operating Expenses incurred prior to the Expense Trigger Date over the course of the budgeted year during which the Expense Trigger Date occurs, and Tenant shall be responsible for the annualized portion of such Operating Expenses corresponding to the number of days during such year, commencing with the Expense Trigger Date, for which Tenant is otherwise liable for Operating Expenses pursuant to this Lease. Tenant’s responsibility for Tenant’s Adjusted Share of Operating Expenses shall continue to the latest of (a) the date of termination of the Lease, (b) the date Tenant has fully vacated the Premises and (c) if termination of the Lease is due to a default by Tenant, the date of rental commencement of a replacement tenant.</w:t>
      </w:r>
    </w:p>
    <w:p>
      <w:pPr>
        <w:spacing w:after="0" w:line="137"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9.6. Operating Expenses for the calendar year in which Tenant’s obligation to share therein commences and for the calendar year in which such obligation ceases shall be prorated on a basis reasonably determined by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2" w:name="page133"/>
    <w:bookmarkEnd w:id="132"/>
    <w:p>
      <w:pPr>
        <w:jc w:val="both"/>
        <w:spacing w:after="0" w:line="237" w:lineRule="auto"/>
        <w:rPr>
          <w:sz w:val="20"/>
          <w:szCs w:val="20"/>
          <w:color w:val="auto"/>
        </w:rPr>
      </w:pPr>
      <w:r>
        <w:rPr>
          <w:rFonts w:ascii="Arial" w:cs="Arial" w:eastAsia="Arial" w:hAnsi="Arial"/>
          <w:sz w:val="18"/>
          <w:szCs w:val="18"/>
          <w:color w:val="auto"/>
        </w:rPr>
        <w:t>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153" w:lineRule="exact"/>
        <w:rPr>
          <w:sz w:val="20"/>
          <w:szCs w:val="20"/>
          <w:color w:val="auto"/>
        </w:rPr>
      </w:pPr>
    </w:p>
    <w:p>
      <w:pPr>
        <w:jc w:val="both"/>
        <w:ind w:firstLine="764"/>
        <w:spacing w:after="0" w:line="281" w:lineRule="auto"/>
        <w:rPr>
          <w:sz w:val="20"/>
          <w:szCs w:val="20"/>
          <w:color w:val="auto"/>
        </w:rPr>
      </w:pPr>
      <w:r>
        <w:rPr>
          <w:rFonts w:ascii="Arial" w:cs="Arial" w:eastAsia="Arial" w:hAnsi="Arial"/>
          <w:sz w:val="16"/>
          <w:szCs w:val="16"/>
          <w:color w:val="auto"/>
        </w:rPr>
        <w:t>9.7. Within thirty (30) days after the end of each calendar month,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w:t>
      </w:r>
    </w:p>
    <w:p>
      <w:pPr>
        <w:spacing w:after="0" w:line="119"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 xml:space="preserve">9.8. In the event that the Building or Project is less than fully occupied during a calendar year, Tenant acknowledges that Landlord may extrapolate Operating Expenses that vary depending on the occupancy of the Building or Project, as applicable, to equal Landlord’s reasonable estimate of what such Operating Expenses would have been had the Building or Project, as applicable, been ninety-five percent (95%) occupied during such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Landlord shall not recover more than one hundred percent (100%) of Operating Expenses.</w:t>
      </w:r>
    </w:p>
    <w:p>
      <w:pPr>
        <w:spacing w:after="0" w:line="125"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Taxes on Tenant’s Property</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10.1. Tenant shall be solely responsible for the payment of any and all taxes levied upon (a) personal property and trade fixtures located at the Premises and (b) any gross or net receipts of or sales by Tenant, and shall pay the same at least twenty (20) days prior to delinquency.</w:t>
      </w:r>
    </w:p>
    <w:p>
      <w:pPr>
        <w:spacing w:after="0" w:line="100"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10.2. If any such taxes on Tenant’s personal property or trade fixtures are levied against Landlord or Landlord’s property or, if the assessed valuation of the Building, the Property or the Project is increased by inclusion therein of a value attributable to Tenant’s personal property or trade fixtures, and if Landlord, after written notice to Tenant, pays the taxes based upon any such increase in the assessed value of the Building, the Property or the Project, then Tenant shall, upon demand, repay to Landlord the taxes so paid by Landlord.</w:t>
      </w:r>
    </w:p>
    <w:p>
      <w:pPr>
        <w:spacing w:after="0" w:line="152" w:lineRule="exact"/>
        <w:rPr>
          <w:sz w:val="20"/>
          <w:szCs w:val="20"/>
          <w:color w:val="auto"/>
        </w:rPr>
      </w:pPr>
    </w:p>
    <w:p>
      <w:pPr>
        <w:ind w:left="260" w:hanging="252"/>
        <w:spacing w:after="0"/>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11.1. Tenant shall deposit with Landlord on or before the Execution Date the sum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Security Deposit</w:t>
      </w:r>
      <w:r>
        <w:rPr>
          <w:rFonts w:ascii="Arial" w:cs="Arial" w:eastAsia="Arial" w:hAnsi="Arial"/>
          <w:sz w:val="16"/>
          <w:szCs w:val="16"/>
          <w:color w:val="auto"/>
        </w:rPr>
        <w:t>”), which sum shall be held by Landlord as security for the faithful performance by Tenant of all of the terms, covenants and conditions of this Lease to be kept and performed by Tenant during the period commencing on the Execution Date and ending upon the expiration or termination of Tenant’s obligations under this Lease.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w:t>
      </w:r>
    </w:p>
    <w:p>
      <w:pPr>
        <w:spacing w:after="0" w:line="137"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3" w:name="page134"/>
    <w:bookmarkEnd w:id="133"/>
    <w:p>
      <w:pPr>
        <w:jc w:val="both"/>
        <w:ind w:firstLine="764"/>
        <w:spacing w:after="0" w:line="306" w:lineRule="auto"/>
        <w:rPr>
          <w:sz w:val="20"/>
          <w:szCs w:val="20"/>
          <w:color w:val="auto"/>
        </w:rPr>
      </w:pPr>
      <w:r>
        <w:rPr>
          <w:rFonts w:ascii="Arial" w:cs="Arial" w:eastAsia="Arial" w:hAnsi="Arial"/>
          <w:sz w:val="16"/>
          <w:szCs w:val="16"/>
          <w:color w:val="auto"/>
        </w:rPr>
        <w:t>11.3.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100"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11.4.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153"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 xml:space="preserve">11.5. If the Security Deposit shall be in cash, Landlord shall hold the Security Deposit in an account at a banking organization selected by Landlord;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152"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11.6. The Security Deposit may be in the form of cash, a letter of credit or any other security instrument reasonably acceptable to Landlord Tenant may at any time, except when Tenant is in Default (as defined below), deliver a letter of credit (the “</w:t>
      </w:r>
      <w:r>
        <w:rPr>
          <w:rFonts w:ascii="Arial" w:cs="Arial" w:eastAsia="Arial" w:hAnsi="Arial"/>
          <w:sz w:val="16"/>
          <w:szCs w:val="16"/>
          <w:u w:val="single" w:color="auto"/>
          <w:color w:val="auto"/>
        </w:rPr>
        <w:t>L/C Security</w:t>
      </w:r>
      <w:r>
        <w:rPr>
          <w:rFonts w:ascii="Arial" w:cs="Arial" w:eastAsia="Arial" w:hAnsi="Arial"/>
          <w:sz w:val="16"/>
          <w:szCs w:val="16"/>
          <w:color w:val="auto"/>
        </w:rPr>
        <w:t>”) as the entire Security Deposit, as follows:</w:t>
      </w:r>
    </w:p>
    <w:p>
      <w:pPr>
        <w:spacing w:after="0" w:line="100" w:lineRule="exact"/>
        <w:rPr>
          <w:sz w:val="20"/>
          <w:szCs w:val="20"/>
          <w:color w:val="auto"/>
        </w:rPr>
      </w:pPr>
    </w:p>
    <w:p>
      <w:pPr>
        <w:jc w:val="both"/>
        <w:ind w:firstLine="1153"/>
        <w:spacing w:after="0" w:line="260" w:lineRule="auto"/>
        <w:tabs>
          <w:tab w:leader="none" w:pos="138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If Tenant elects to deliver L/C Security, then Tenant shall provide Landlord, and maintain in full force and effect throughout the Term and until the date that is four (4) months after the then-current Term Expiration Date, a letter of credit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issued by an issuer reasonably satisfactory to Landlord, in the amount of the Security Deposit, with an initial 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shall mean the determination of insolvency as made by such issuer’s primary bank regulator (i.e., the state bank supervisor for state chartered banks; the OCC or OTS, 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143" w:lineRule="exact"/>
        <w:rPr>
          <w:rFonts w:ascii="Arial" w:cs="Arial" w:eastAsia="Arial" w:hAnsi="Arial"/>
          <w:sz w:val="16"/>
          <w:szCs w:val="16"/>
          <w:color w:val="auto"/>
        </w:rPr>
      </w:pPr>
    </w:p>
    <w:p>
      <w:pPr>
        <w:ind w:firstLine="1153"/>
        <w:spacing w:after="0" w:line="245"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Tenant delivers to Landlord satisfactory L/C Security in place of the entire Security Deposit, Landlord shall remit to Tenant any cash Security Deposit Landlord previously held.</w:t>
      </w:r>
    </w:p>
    <w:p>
      <w:pPr>
        <w:spacing w:after="0" w:line="146" w:lineRule="exact"/>
        <w:rPr>
          <w:rFonts w:ascii="Arial" w:cs="Arial" w:eastAsia="Arial" w:hAnsi="Arial"/>
          <w:sz w:val="18"/>
          <w:szCs w:val="18"/>
          <w:color w:val="auto"/>
        </w:rPr>
      </w:pPr>
    </w:p>
    <w:p>
      <w:pPr>
        <w:jc w:val="both"/>
        <w:ind w:firstLine="1153"/>
        <w:spacing w:after="0" w:line="269" w:lineRule="auto"/>
        <w:tabs>
          <w:tab w:leader="none" w:pos="13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Landlord may draw upon the L/C Security, and hold and apply the proceeds in the same manner and for the same purposes as the Security Deposit, if (i) an uncured Default (as defined below) exists, (ii) as of the date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(1) four (4) months after the then-current Term Expiration Date or (2) the date one year after the then-current expiry date of the L/C Security, (iii) the L/C Security provides for automatic renewals, Landlord asks the issuer to confirm the current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4" w:name="page135"/>
    <w:bookmarkEnd w:id="134"/>
    <w:p>
      <w:pPr>
        <w:jc w:val="both"/>
        <w:spacing w:after="0" w:line="273" w:lineRule="auto"/>
        <w:rPr>
          <w:sz w:val="20"/>
          <w:szCs w:val="20"/>
          <w:color w:val="auto"/>
        </w:rPr>
      </w:pPr>
      <w:r>
        <w:rPr>
          <w:rFonts w:ascii="Arial" w:cs="Arial" w:eastAsia="Arial" w:hAnsi="Arial"/>
          <w:sz w:val="16"/>
          <w:szCs w:val="16"/>
          <w:color w:val="auto"/>
        </w:rPr>
        <w:t>L/C Security expiry date, and the issuer fails to do so within ten (10) 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125" w:lineRule="exact"/>
        <w:rPr>
          <w:sz w:val="20"/>
          <w:szCs w:val="20"/>
          <w:color w:val="auto"/>
        </w:rPr>
      </w:pPr>
    </w:p>
    <w:p>
      <w:pPr>
        <w:jc w:val="both"/>
        <w:ind w:firstLine="1153"/>
        <w:spacing w:after="0" w:line="280" w:lineRule="auto"/>
        <w:tabs>
          <w:tab w:leader="none" w:pos="1398" w:val="left"/>
        </w:tabs>
        <w:numPr>
          <w:ilvl w:val="1"/>
          <w:numId w:val="101"/>
        </w:numPr>
        <w:rPr>
          <w:rFonts w:ascii="Arial" w:cs="Arial" w:eastAsia="Arial" w:hAnsi="Arial"/>
          <w:sz w:val="15"/>
          <w:szCs w:val="15"/>
          <w:color w:val="auto"/>
        </w:rPr>
      </w:pPr>
      <w:r>
        <w:rPr>
          <w:rFonts w:ascii="Arial" w:cs="Arial" w:eastAsia="Arial" w:hAnsi="Arial"/>
          <w:sz w:val="15"/>
          <w:szCs w:val="15"/>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w:t>
      </w:r>
    </w:p>
    <w:p>
      <w:pPr>
        <w:spacing w:after="0" w:line="1" w:lineRule="exact"/>
        <w:rPr>
          <w:rFonts w:ascii="Arial" w:cs="Arial" w:eastAsia="Arial" w:hAnsi="Arial"/>
          <w:sz w:val="15"/>
          <w:szCs w:val="15"/>
          <w:color w:val="auto"/>
        </w:rPr>
      </w:pPr>
    </w:p>
    <w:p>
      <w:pPr>
        <w:jc w:val="both"/>
        <w:ind w:firstLine="8"/>
        <w:spacing w:after="0" w:line="230" w:lineRule="auto"/>
        <w:tabs>
          <w:tab w:leader="none" w:pos="2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shall cooperate to allow Tenant to post replacement L/C Security simultaneously with the return to Tenant of the wrongfully drawn sums, (b) Landlord shall upon request confirm in writing to the issuer of the L/C Security that Landlord’s draw was erroneous, and (c) if Tenant receives a final determination from a court of competent jurisdiction that is not subject to appeal that Landlord has made a “wrongful” draw, (i) Landlord shall pay Tenant interest upon the amount of such wrongful draw at the rate of twelve percent (12%) and (ii) Tenant shall be entitled to recover its reasonable attorney’s fees in accordance with Section 40.7. For purposes of the immediately foregoing sentence, the term “wrongful” shall mean that Landlord had no reasonable basis to believe that it had the right to make the draw.</w:t>
      </w:r>
    </w:p>
    <w:p>
      <w:pPr>
        <w:spacing w:after="0" w:line="152" w:lineRule="exact"/>
        <w:rPr>
          <w:rFonts w:ascii="Arial" w:cs="Arial" w:eastAsia="Arial" w:hAnsi="Arial"/>
          <w:sz w:val="18"/>
          <w:szCs w:val="18"/>
          <w:color w:val="auto"/>
        </w:rPr>
      </w:pPr>
    </w:p>
    <w:p>
      <w:pPr>
        <w:jc w:val="both"/>
        <w:ind w:firstLine="1153"/>
        <w:spacing w:after="0" w:line="235" w:lineRule="auto"/>
        <w:tabs>
          <w:tab w:leader="none" w:pos="13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52"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11.8. If Tenant, as of the third (3</w:t>
      </w:r>
      <w:r>
        <w:rPr>
          <w:rFonts w:ascii="Arial" w:cs="Arial" w:eastAsia="Arial" w:hAnsi="Arial"/>
          <w:sz w:val="13"/>
          <w:szCs w:val="13"/>
          <w:color w:val="auto"/>
        </w:rPr>
        <w:t>rd</w:t>
      </w:r>
      <w:r>
        <w:rPr>
          <w:rFonts w:ascii="Arial" w:cs="Arial" w:eastAsia="Arial" w:hAnsi="Arial"/>
          <w:sz w:val="16"/>
          <w:szCs w:val="16"/>
          <w:color w:val="auto"/>
        </w:rPr>
        <w:t>) anniversary of the Term Commencement Date, (a) has a market capitalization of at least One Billion Five Hundred Million Dollars ($1,500,000,000) and (b) has not been in Default under this Lease prior to such third (3</w:t>
      </w:r>
      <w:r>
        <w:rPr>
          <w:rFonts w:ascii="Arial" w:cs="Arial" w:eastAsia="Arial" w:hAnsi="Arial"/>
          <w:sz w:val="13"/>
          <w:szCs w:val="13"/>
          <w:color w:val="auto"/>
        </w:rPr>
        <w:t>rd</w:t>
      </w:r>
      <w:r>
        <w:rPr>
          <w:rFonts w:ascii="Arial" w:cs="Arial" w:eastAsia="Arial" w:hAnsi="Arial"/>
          <w:sz w:val="16"/>
          <w:szCs w:val="16"/>
          <w:color w:val="auto"/>
        </w:rPr>
        <w:t>) anniversary of the Term Commencement Date, then Tenant, no later than forty-five (45) days after the third (3</w:t>
      </w:r>
      <w:r>
        <w:rPr>
          <w:rFonts w:ascii="Arial" w:cs="Arial" w:eastAsia="Arial" w:hAnsi="Arial"/>
          <w:sz w:val="13"/>
          <w:szCs w:val="13"/>
          <w:color w:val="auto"/>
        </w:rPr>
        <w:t>rd</w:t>
      </w:r>
      <w:r>
        <w:rPr>
          <w:rFonts w:ascii="Arial" w:cs="Arial" w:eastAsia="Arial" w:hAnsi="Arial"/>
          <w:sz w:val="16"/>
          <w:szCs w:val="16"/>
          <w:color w:val="auto"/>
        </w:rPr>
        <w:t xml:space="preserve">) anniversary of the Term Commencement Date, may notify Landlord in writing and any such notification shall include a certificate (in form and substance reasonably acceptable to Landlord) from Tenant’s Chief Financial Officer certifying to such market capitalization with any such reasonable supporting documentation requested by Landlord. Upon Landlord’s approval of such certificate (and, if requested, supporting documentation), the Security Deposit shall be reduced to Nine Hundred Thirty Thousand Dollars ($930,000). If Landlord is then holding a cash Security Deposit, it shall return to Tenant the amount of Four Hundred Seventy Thousand Dollars ($470,000) within thirty (30) days of its approval of such certificate. If the Security Deposit is in the form of the L/C Security, Tenant may provide to Landlord a replacement L/C Security in the amount of Nine Hundred Thirty Thousand Dollars ($930,000) that satisfies the requirements of this Article 11. Provided such replacement L/C Security complies with the terms and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Landlord shall, within thirty (30) days after its receipt of such replacement L/C Security, return to Tenant the original L/C Security.</w:t>
      </w:r>
    </w:p>
    <w:p>
      <w:pPr>
        <w:spacing w:after="0" w:line="136"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w:t>
      </w:r>
    </w:p>
    <w:p>
      <w:pPr>
        <w:spacing w:after="0" w:line="165" w:lineRule="exact"/>
        <w:rPr>
          <w:sz w:val="20"/>
          <w:szCs w:val="20"/>
          <w:color w:val="auto"/>
        </w:rPr>
      </w:pPr>
    </w:p>
    <w:p>
      <w:pPr>
        <w:ind w:firstLine="764"/>
        <w:spacing w:after="0" w:line="245" w:lineRule="auto"/>
        <w:rPr>
          <w:sz w:val="20"/>
          <w:szCs w:val="20"/>
          <w:color w:val="auto"/>
        </w:rPr>
      </w:pPr>
      <w:r>
        <w:rPr>
          <w:rFonts w:ascii="Arial" w:cs="Arial" w:eastAsia="Arial" w:hAnsi="Arial"/>
          <w:sz w:val="18"/>
          <w:szCs w:val="18"/>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w:t>
      </w:r>
    </w:p>
    <w:p>
      <w:pPr>
        <w:spacing w:after="0" w:line="146" w:lineRule="exact"/>
        <w:rPr>
          <w:sz w:val="20"/>
          <w:szCs w:val="20"/>
          <w:color w:val="auto"/>
        </w:rPr>
      </w:pPr>
    </w:p>
    <w:p>
      <w:pPr>
        <w:ind w:firstLine="764"/>
        <w:spacing w:after="0" w:line="245" w:lineRule="auto"/>
        <w:rPr>
          <w:sz w:val="20"/>
          <w:szCs w:val="20"/>
          <w:color w:val="auto"/>
        </w:rPr>
      </w:pPr>
      <w:r>
        <w:rPr>
          <w:rFonts w:ascii="Arial" w:cs="Arial" w:eastAsia="Arial" w:hAnsi="Arial"/>
          <w:sz w:val="18"/>
          <w:szCs w:val="18"/>
          <w:color w:val="auto"/>
        </w:rPr>
        <w:t>12.2. Tenant shall not use or occupy the Premises in violation of Applicable Laws; zoning ordinances; or the certificate of occupancy issued for the Building or the Project, and shall, upon five (5) days’ written notice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16"/>
          <w:szCs w:val="16"/>
          <w:color w:val="auto"/>
        </w:rPr>
        <w:t>from Landlord, discontinue any use of the Premises that is declared or claimed by any Governmental Authority having jurisdiction to be a violation of any of the above, or that in Landlord’s reasonable opinion violates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save, defend (at Landlord’s option and with counsel reasonably acceptable to Landlord) and hold Landlord and its affiliates, employees, agents and contractors; and any lender, mortgagee, ground lessor or beneficiary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with Landlord and its affiliates, employees, agents and contractors, the “</w:t>
      </w:r>
      <w:r>
        <w:rPr>
          <w:rFonts w:ascii="Arial" w:cs="Arial" w:eastAsia="Arial" w:hAnsi="Arial"/>
          <w:sz w:val="16"/>
          <w:szCs w:val="16"/>
          <w:u w:val="single" w:color="auto"/>
          <w:color w:val="auto"/>
        </w:rPr>
        <w:t>Landlord Indemnitees</w:t>
      </w:r>
      <w:r>
        <w:rPr>
          <w:rFonts w:ascii="Arial" w:cs="Arial" w:eastAsia="Arial" w:hAnsi="Arial"/>
          <w:sz w:val="16"/>
          <w:szCs w:val="16"/>
          <w:color w:val="auto"/>
        </w:rPr>
        <w:t>”)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of any kind or nature that arise before, during or after the Term as a result of Tenant’s breach of this Section.</w:t>
      </w:r>
    </w:p>
    <w:p>
      <w:pPr>
        <w:spacing w:after="0" w:line="133"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12.3. Tenant shall not do or permit to be done anything that will invalidate or increase the cost of any fire, environmental, extended coverage or any other insurance policy covering the Building or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12.4. Tenant shall keep all doors opening onto public corridors closed, except when in use for ingress and egress.</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12.5. No additional locks or bolts of any kind shall be placed upon any of the doors or windows by Tenant, nor shall any changes be made to existing locks or the mechanisms thereof without Landlord’s prior written consent.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 Tenant shall be permitted to install its own security system in the Premises which is compatible with the key card access system for the Building and may include, within the Premises, video, motion and other sensors. Tenant shall have the right to install and use a WiFi system in its Premises. Any installations under this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irrespective of their cost, shall be considered Alterations, and not Cosmetic Alterations (as both such terms are hereinafter defined), and the installation thereof shall be subject to the terms and provisions of </w:t>
      </w:r>
      <w:r>
        <w:rPr>
          <w:rFonts w:ascii="Arial" w:cs="Arial" w:eastAsia="Arial" w:hAnsi="Arial"/>
          <w:sz w:val="16"/>
          <w:szCs w:val="16"/>
          <w:u w:val="single" w:color="auto"/>
          <w:color w:val="auto"/>
        </w:rPr>
        <w:t>Article 17</w:t>
      </w:r>
      <w:r>
        <w:rPr>
          <w:rFonts w:ascii="Arial" w:cs="Arial" w:eastAsia="Arial" w:hAnsi="Arial"/>
          <w:sz w:val="16"/>
          <w:szCs w:val="16"/>
          <w:color w:val="auto"/>
        </w:rPr>
        <w:t>.</w:t>
      </w:r>
    </w:p>
    <w:p>
      <w:pPr>
        <w:spacing w:after="0" w:line="137"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without Landlord’s prior written consent.</w:t>
      </w:r>
    </w:p>
    <w:p>
      <w:pPr>
        <w:spacing w:after="0" w:line="150"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12.7. Tenant shall be entitled to install and maintain, at its sole cost and expense, one (1) exterior sign identifying the Tenant, the nature of which is to be mutually agreed upon by Landlord and Tenant, acting in good faith, so long as Tenant occupies at least seventy-five percent (75%) of the Premises. No sign, advertisement or notice (collectively, “</w:t>
      </w:r>
      <w:r>
        <w:rPr>
          <w:rFonts w:ascii="Arial" w:cs="Arial" w:eastAsia="Arial" w:hAnsi="Arial"/>
          <w:sz w:val="18"/>
          <w:szCs w:val="18"/>
          <w:u w:val="single" w:color="auto"/>
          <w:color w:val="auto"/>
        </w:rPr>
        <w:t>Signage</w:t>
      </w:r>
      <w:r>
        <w:rPr>
          <w:rFonts w:ascii="Arial" w:cs="Arial" w:eastAsia="Arial" w:hAnsi="Arial"/>
          <w:sz w:val="18"/>
          <w:szCs w:val="18"/>
          <w:color w:val="auto"/>
        </w:rPr>
        <w:t>”) shall be exhibited, painted or affixed by Tenant on any part of the Premises or the Building without Landlord’s prior written consent, and Landlord’s consent shall not be unreasonably withheld or delayed in relation to the size, location, quality, color and style of any such Signage.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6" w:name="page137"/>
    <w:bookmarkEnd w:id="136"/>
    <w:p>
      <w:pPr>
        <w:jc w:val="both"/>
        <w:spacing w:after="0" w:line="261" w:lineRule="auto"/>
        <w:rPr>
          <w:sz w:val="20"/>
          <w:szCs w:val="20"/>
          <w:color w:val="auto"/>
        </w:rPr>
      </w:pPr>
      <w:r>
        <w:rPr>
          <w:rFonts w:ascii="Arial" w:cs="Arial" w:eastAsia="Arial" w:hAnsi="Arial"/>
          <w:sz w:val="16"/>
          <w:szCs w:val="16"/>
          <w:color w:val="auto"/>
        </w:rPr>
        <w:t>All Signage shall conform to Landlord’s design criteria and shall be removed by Tenant upon the expiration or early termination of this Lease. For any Signage, Tenant shall, at Tenant’s own cost and expense, (a) acquire all permits for such Signage and such Signage shall comply with Applicable Laws and (b) design, fabricate, install and maintain such Signage in a first-class condition. If Tenant fails to remove Signage upon the expiration or early termination of this Lease, Landlord shall be entitled to remove the same, and Tenant shall be responsible for reimbursing Landlord for costs incurred by Landlord in removing any of Tenant’s Signage. Interior signs on entry doors to the Premises shall be inscribed, painted or affixed by Tenant at Tenant’s sole cost and expense, and shall be of a size, color and type and be located in a place acceptable to Landlord, and the directory tablet shall be inscribed or affixed for Tenant by Landlord at Landlord’s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 At Landlord’s option, Landlord may install any Tenant Signage, and Tenant shall pay all costs associated with such installation within thirty (30) days after demand therefor. Notwithstanding anything set forth herein to the contrary, all rights of Tenant with respect to Signage on the exterior of the Building shall be personal to Tenant and may not be assigned with this Lease or otherwise.</w:t>
      </w:r>
    </w:p>
    <w:p>
      <w:pPr>
        <w:spacing w:after="0" w:line="140"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100"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12.9. Tenant shall cause any equipment or machinery to be installed in the Premises so as to reasonably prevent sounds or vibrations therefrom from extending into the Common Area or other offices in the Project.</w:t>
      </w:r>
    </w:p>
    <w:p>
      <w:pPr>
        <w:spacing w:after="0" w:line="146"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12.10. Tenant shall not (a) do or permit anything to be done in or about the Premises that shall in any way obstruct or interfere with the rights of other tenants or occupants of the Project, or injure or annoy them, (b) use or allow the Premises to be used for immoral, unlawful or objectionable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133"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12.11. Notwithstanding any other provision herein to the contrary, Tenant shall be responsible for all liabilities, costs and expenses arising out of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Arial" w:cs="Arial" w:eastAsia="Arial" w:hAnsi="Arial"/>
          <w:sz w:val="16"/>
          <w:szCs w:val="16"/>
          <w:u w:val="single" w:color="auto"/>
          <w:color w:val="auto"/>
        </w:rPr>
        <w:t>ADA</w:t>
      </w:r>
      <w:r>
        <w:rPr>
          <w:rFonts w:ascii="Arial" w:cs="Arial" w:eastAsia="Arial" w:hAnsi="Arial"/>
          <w:sz w:val="16"/>
          <w:szCs w:val="16"/>
          <w:color w:val="auto"/>
        </w:rPr>
        <w:t xml:space="preserve">”) (except to the extent that any such non-compliance of the Premises with the ADA (as in effect and interpreted as of the Term Commencement Date) existed as of the Term Commencement Date), and Tenant shall indemnify, compensate, save, defend (at Landlord’s option and with counsel reasonably acceptable to Landlord) and hold the Landlord Indemnitees harmless from and against Claims arising out of any such failure of the Premises to comply with the Tenant’s obligations with respect to the ADA under this Section. This Section (as well as any other provisions of this Lease dealing with indemnification of the Landlord Indemnitees by Tenant) shall be deemed to be modified in each case by the insertion in the appropriate place of the following: “except as otherwise provided in Mass. G.L. Ter. Ed., C. 186, Section 15.”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shall survive the expiration or earlier termination of this Lease.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7" w:name="page138"/>
    <w:bookmarkEnd w:id="137"/>
    <w:p>
      <w:pPr>
        <w:jc w:val="both"/>
        <w:ind w:firstLine="764"/>
        <w:spacing w:after="0" w:line="245" w:lineRule="auto"/>
        <w:rPr>
          <w:sz w:val="20"/>
          <w:szCs w:val="20"/>
          <w:color w:val="auto"/>
        </w:rPr>
      </w:pPr>
      <w:r>
        <w:rPr>
          <w:rFonts w:ascii="Arial" w:cs="Arial" w:eastAsia="Arial" w:hAnsi="Arial"/>
          <w:sz w:val="18"/>
          <w:szCs w:val="18"/>
          <w:color w:val="auto"/>
        </w:rPr>
        <w:t xml:space="preserve">12.12. Tenant shall maintain temperature and humidity in the Premises in accordance with ASHRAE standards at all times (subject to Landlord’s compliance with its obligations with respect to base Building HVAC systems under </w:t>
      </w:r>
      <w:r>
        <w:rPr>
          <w:rFonts w:ascii="Arial" w:cs="Arial" w:eastAsia="Arial" w:hAnsi="Arial"/>
          <w:sz w:val="18"/>
          <w:szCs w:val="18"/>
          <w:u w:val="single" w:color="auto"/>
          <w:color w:val="auto"/>
        </w:rPr>
        <w:t>Sections 16.9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18.1</w:t>
      </w:r>
      <w:r>
        <w:rPr>
          <w:rFonts w:ascii="Arial" w:cs="Arial" w:eastAsia="Arial" w:hAnsi="Arial"/>
          <w:sz w:val="18"/>
          <w:szCs w:val="18"/>
          <w:color w:val="auto"/>
        </w:rPr>
        <w:t xml:space="preserve"> of this Lease).</w:t>
      </w:r>
    </w:p>
    <w:p>
      <w:pPr>
        <w:spacing w:after="0" w:line="146"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12.13. To the extent Tenant engages in laboratory use that uses Hazardous Materials (as hereinafter defined) at the Premises, Tenant shall establish and maintain a chemical safety program administered by a licensed, qualified individual in accordance with the requirements of the Massachusetts Water Resources Authority (“</w:t>
      </w:r>
      <w:r>
        <w:rPr>
          <w:rFonts w:ascii="Arial" w:cs="Arial" w:eastAsia="Arial" w:hAnsi="Arial"/>
          <w:sz w:val="16"/>
          <w:szCs w:val="16"/>
          <w:u w:val="single" w:color="auto"/>
          <w:color w:val="auto"/>
        </w:rPr>
        <w:t>MWRA</w:t>
      </w:r>
      <w:r>
        <w:rPr>
          <w:rFonts w:ascii="Arial" w:cs="Arial" w:eastAsia="Arial" w:hAnsi="Arial"/>
          <w:sz w:val="16"/>
          <w:szCs w:val="16"/>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MWRA and any other applicable Governmental Authority with respect to such chemical safety program and (b) this Section. Notwithstanding the foregoing, Landlord shall obtain and maintain during the Term (m) any permit required by the MWRA (“</w:t>
      </w:r>
      <w:r>
        <w:rPr>
          <w:rFonts w:ascii="Arial" w:cs="Arial" w:eastAsia="Arial" w:hAnsi="Arial"/>
          <w:sz w:val="16"/>
          <w:szCs w:val="16"/>
          <w:u w:val="single" w:color="auto"/>
          <w:color w:val="auto"/>
        </w:rPr>
        <w:t>MWRA Permit</w:t>
      </w:r>
      <w:r>
        <w:rPr>
          <w:rFonts w:ascii="Arial" w:cs="Arial" w:eastAsia="Arial" w:hAnsi="Arial"/>
          <w:sz w:val="16"/>
          <w:szCs w:val="16"/>
          <w:color w:val="auto"/>
        </w:rPr>
        <w:t>”) and (n) a wastewater treatment operator license from the Commonwealth of Massachusetts with respect to Tenant’s use of the Acid Neutralization Tank (as defined below) in the Building. Tenant shall not introduce anything into the Acid Neutralization Tank (x) in violation of the terms of the MWRA Permit, (y) in violation of Applicable Laws or (z) that would interfere with the proper functioning of the Acid Neutralization Tank. Tenant agrees to reasonably cooperate with Landlord in order to obtain the MWRA Permit and the wastewater treatment operator license. Tenant shall reimburse Landlord within ten (10) business days after demand for any reasonable costs incurred by Landlord pursuant to this Section.</w:t>
      </w:r>
    </w:p>
    <w:p>
      <w:pPr>
        <w:spacing w:after="0" w:line="140"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Rules and Regulations, CC&amp;Rs, Parking Facilities and Common Area</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 xml:space="preserve">13.1.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together with such other reasonable and nondiscriminatory rules and regulations as are hereafter promulgated by Landlord in its sole and absolute discretion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shall use commercially reasonable efforts to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w:t>
      </w:r>
    </w:p>
    <w:p>
      <w:pPr>
        <w:spacing w:after="0" w:line="133"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13.2. This Lease is subject to any recorded covenants, conditions or restrictions on the Project or Property, including the Parking and Transportation Demand Management Plan for the Project that was approved on April 28, 1999, and that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with all applicable transfers thereof (the “</w:t>
      </w:r>
      <w:r>
        <w:rPr>
          <w:rFonts w:ascii="Arial" w:cs="Arial" w:eastAsia="Arial" w:hAnsi="Arial"/>
          <w:sz w:val="16"/>
          <w:szCs w:val="16"/>
          <w:u w:val="single" w:color="auto"/>
          <w:color w:val="auto"/>
        </w:rPr>
        <w:t>PTDM</w:t>
      </w:r>
      <w:r>
        <w:rPr>
          <w:rFonts w:ascii="Arial" w:cs="Arial" w:eastAsia="Arial" w:hAnsi="Arial"/>
          <w:sz w:val="16"/>
          <w:szCs w:val="16"/>
          <w:color w:val="auto"/>
        </w:rPr>
        <w:t>”), as the same may be amended, amended and restated, supplemented or otherwise modified from time to time (the “</w:t>
      </w:r>
      <w:r>
        <w:rPr>
          <w:rFonts w:ascii="Arial" w:cs="Arial" w:eastAsia="Arial" w:hAnsi="Arial"/>
          <w:sz w:val="16"/>
          <w:szCs w:val="16"/>
          <w:u w:val="single" w:color="auto"/>
          <w:color w:val="auto"/>
        </w:rPr>
        <w:t>CC&amp;Rs</w:t>
      </w:r>
      <w:r>
        <w:rPr>
          <w:rFonts w:ascii="Arial" w:cs="Arial" w:eastAsia="Arial" w:hAnsi="Arial"/>
          <w:sz w:val="16"/>
          <w:szCs w:val="16"/>
          <w:color w:val="auto"/>
        </w:rPr>
        <w:t xml:space="preserve">”). Tenant shall comply with the CC&amp;Rs. Tenant acknowledges that Tenant, at its sole cost and expense, shall comply with the tenant requirements in the PTDM, including the requirements set forth in the “Alternative Work Programs,” “Alternative Mode Promotions and Incentives,” “MBTA Corporate Pass Program and Subsidized Transit Passes,” “Ridesharing Vehicles” and “Bicycle and Pedestrian Programs” sections thereof. Landlord shall provide covered bicycle storage for Tenant’s use as provided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hereof. Tenant, at its sole cost and expense, shall also comply with the reporting requirements set forth in the PTDM at Landlord’s request. Any costs incurred by Landlord in connection with the PTDM shall constitute an Operating Expense.</w:t>
      </w:r>
    </w:p>
    <w:p>
      <w:pPr>
        <w:spacing w:after="0" w:line="137"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 xml:space="preserve">13.3. The Charles River Transportation Management Association (of which Landlord or an affiliate of Landlord is currently a member) provides certain programs to help improve transportation in the Cambridge area. Their website is </w:t>
      </w:r>
      <w:r>
        <w:rPr>
          <w:rFonts w:ascii="Arial" w:cs="Arial" w:eastAsia="Arial" w:hAnsi="Arial"/>
          <w:sz w:val="18"/>
          <w:szCs w:val="18"/>
          <w:u w:val="single" w:color="auto"/>
          <w:color w:val="auto"/>
        </w:rPr>
        <w:t>www.charlesrivertma.org</w:t>
      </w:r>
      <w:r>
        <w:rPr>
          <w:rFonts w:ascii="Arial" w:cs="Arial" w:eastAsia="Arial" w:hAnsi="Arial"/>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8" w:name="page139"/>
    <w:bookmarkEnd w:id="138"/>
    <w:p>
      <w:pPr>
        <w:jc w:val="both"/>
        <w:ind w:firstLine="764"/>
        <w:spacing w:after="0" w:line="259" w:lineRule="auto"/>
        <w:rPr>
          <w:sz w:val="20"/>
          <w:szCs w:val="20"/>
          <w:color w:val="auto"/>
        </w:rPr>
      </w:pPr>
      <w:r>
        <w:rPr>
          <w:rFonts w:ascii="Arial" w:cs="Arial" w:eastAsia="Arial" w:hAnsi="Arial"/>
          <w:sz w:val="16"/>
          <w:szCs w:val="16"/>
          <w:color w:val="auto"/>
        </w:rPr>
        <w:t>13.4. Tenant shall have a non-exclusive, irrevocable license to use 83 parking spaces, 78 of which shall be in the Parking Garage in common on an unreserved basis with other tenants of the Project and Neighboring Properties during the Term and 5 of which shall be reserved parking spaces on the west end of the Building, in the parking area near the loading dock and adjacent to Tenant’s first (1st) floor space (“</w:t>
      </w:r>
      <w:r>
        <w:rPr>
          <w:rFonts w:ascii="Arial" w:cs="Arial" w:eastAsia="Arial" w:hAnsi="Arial"/>
          <w:sz w:val="16"/>
          <w:szCs w:val="16"/>
          <w:u w:val="single" w:color="auto"/>
          <w:color w:val="auto"/>
        </w:rPr>
        <w:t>Dedicated Spaces</w:t>
      </w:r>
      <w:r>
        <w:rPr>
          <w:rFonts w:ascii="Arial" w:cs="Arial" w:eastAsia="Arial" w:hAnsi="Arial"/>
          <w:sz w:val="16"/>
          <w:szCs w:val="16"/>
          <w:color w:val="auto"/>
        </w:rPr>
        <w:t>”). The Dedicated Spaces shall be marked as reserved and Landlord shall make reasonable efforts to enforce that these spaces are reserved. The cost of the parking spaces shall be Two Hundred Fifty Dollars ($250.00) per parking space per month (subject to market rate adjustments by Landlord from time to time throughout the Term), which Tenant shall pay simultaneously with payments of Base Rent as Additional Rent. Landlord and Tenant agree that for the period from the Execution Date to the first (1st) anniversary of the Execution Date (a) Tenant shall have the one-time right, upon not less than thirty (30) days prior written notice to Landlord, to elect to use less than such 83 parking spaces allocated to Tenant (such number, the “</w:t>
      </w:r>
      <w:r>
        <w:rPr>
          <w:rFonts w:ascii="Arial" w:cs="Arial" w:eastAsia="Arial" w:hAnsi="Arial"/>
          <w:sz w:val="16"/>
          <w:szCs w:val="16"/>
          <w:u w:val="single" w:color="auto"/>
          <w:color w:val="auto"/>
        </w:rPr>
        <w:t>Initial Reduced Parking Numbe</w:t>
      </w:r>
      <w:r>
        <w:rPr>
          <w:rFonts w:ascii="Arial" w:cs="Arial" w:eastAsia="Arial" w:hAnsi="Arial"/>
          <w:sz w:val="16"/>
          <w:szCs w:val="16"/>
          <w:color w:val="auto"/>
        </w:rPr>
        <w:t>r”), and (b) Tenant shall only be obligated to pay for the use of the Initial Reduced Parking Number. On or before the first (1st) anniversary of the Execution Date, Tenant may notify Landlord in writing (the “</w:t>
      </w:r>
      <w:r>
        <w:rPr>
          <w:rFonts w:ascii="Arial" w:cs="Arial" w:eastAsia="Arial" w:hAnsi="Arial"/>
          <w:sz w:val="16"/>
          <w:szCs w:val="16"/>
          <w:u w:val="single" w:color="auto"/>
          <w:color w:val="auto"/>
        </w:rPr>
        <w:t>Parking Notice</w:t>
      </w:r>
      <w:r>
        <w:rPr>
          <w:rFonts w:ascii="Arial" w:cs="Arial" w:eastAsia="Arial" w:hAnsi="Arial"/>
          <w:sz w:val="16"/>
          <w:szCs w:val="16"/>
          <w:color w:val="auto"/>
        </w:rPr>
        <w:t>”) whether Tenant elects to use all 83 parking spaces or some other number of parking spaces that is equal to or greater than the Initial Reduced Parking Number but less than 83 parking spaces (the “</w:t>
      </w:r>
      <w:r>
        <w:rPr>
          <w:rFonts w:ascii="Arial" w:cs="Arial" w:eastAsia="Arial" w:hAnsi="Arial"/>
          <w:sz w:val="16"/>
          <w:szCs w:val="16"/>
          <w:u w:val="single" w:color="auto"/>
          <w:color w:val="auto"/>
        </w:rPr>
        <w:t>Established Reduced Parking Number</w:t>
      </w:r>
      <w:r>
        <w:rPr>
          <w:rFonts w:ascii="Arial" w:cs="Arial" w:eastAsia="Arial" w:hAnsi="Arial"/>
          <w:sz w:val="16"/>
          <w:szCs w:val="16"/>
          <w:color w:val="auto"/>
        </w:rPr>
        <w:t xml:space="preserve">”) for the remainder of the Term (including any extension thereof), provided that if Tenant fails to timely deliver to Landlord the Parking Notice, Tenant shall be deemed to have elected to use all 83 parking spaces. If Tenant elects the Established Reduced Parking Number in the Parking Notice, then Tenant shall forfeit for the then remainder of the Term (including any extension thereof) any and all rights to the parking spaces exceeding the Established Reduced Parking Number; provided, however, that Tenant may later request from Landlord additional parking spaces, including parking spaces in excess of the 83 parking spaces allocated to Tenant as aforesaid, and subject to the availability of such additional parking spaces, as determined by Landlord in its sole and absolute discretion, and provided such increase is in compliance with Applicable Laws, then the number of parking spaces licensed to Tenant under this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shall be increased by the number of parking spaces so requested; provided, however, that any such parking spaces in excess of the Established Reduced Parking Number shall be terminable by Landlord upon not less than thirty (30) days prior written notice to Tenant. Landlord, from time to time during the Term of this Lease, may require that Tenant confirm the number of parking spaces licensed to Tenant under this </w:t>
      </w:r>
      <w:r>
        <w:rPr>
          <w:rFonts w:ascii="Arial" w:cs="Arial" w:eastAsia="Arial" w:hAnsi="Arial"/>
          <w:sz w:val="16"/>
          <w:szCs w:val="16"/>
          <w:u w:val="single" w:color="auto"/>
          <w:color w:val="auto"/>
        </w:rPr>
        <w:t>Section 13.4</w:t>
      </w:r>
      <w:r>
        <w:rPr>
          <w:rFonts w:ascii="Arial" w:cs="Arial" w:eastAsia="Arial" w:hAnsi="Arial"/>
          <w:sz w:val="16"/>
          <w:szCs w:val="16"/>
          <w:color w:val="auto"/>
        </w:rPr>
        <w:t>, and Tenant shall execute and deliver any such reasonable document required by Landlord confirming the same.</w:t>
      </w:r>
    </w:p>
    <w:p>
      <w:pPr>
        <w:spacing w:after="0" w:line="142"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13.5. Tenant agrees not to unreasonably overburden the parking facilities and agrees to cooperate with Landlord and other tenants in the use of the parking facilities. Landlord reserves the right to determine that parking facilities are becoming overcrowded and to limit Tenant’s use thereof. Upon such determination, Landlord may reasonably allocate parking spaces among Tenant and other tenants of the Building or the Project provided that Tenant shall be entitled to the number of spaces set forth in Section 13.4 above. Nothing in this Section, however, is intended to create an affirmative duty on Landlord’s part to monitor parking, except as set forth in Section 13.4 above.</w:t>
      </w:r>
    </w:p>
    <w:p>
      <w:pPr>
        <w:spacing w:after="0" w:line="150"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13.6. Subject to the terms of this Lease including the Rules and Regulations and the rights of other tenants of the Building, Tenant shall have the non-exclusive right on an unreserved basis to access the freight loading dock and freight elevator twenty-four (24) hours per day, seven (7) days per week, at no additional cost. Landlord shall not be responsible for any coordination of the use of the freight elevator or the loading dock by tenants at the Building. Landlord shall provide a dumpster at the loading dock for Tenant’s use for the disposal of non-Hazardous Materials, and Tenant shall pay Tenant’s Adjusted Share of the cost of said dumpster. Tenant shall be solely responsible for the disposal of any Hazardous Materials in accordance with Applicable Laws.</w:t>
      </w:r>
    </w:p>
    <w:p>
      <w:pPr>
        <w:spacing w:after="0" w:line="128"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13.7. The land upon which the Parking Garage is situated is subject to that certain Activity and Use Limitation dated February 23, 2001, which was recorded on February 27, 2001 as Instrument No. 785 in Book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39" w:name="page140"/>
    <w:bookmarkEnd w:id="139"/>
    <w:p>
      <w:pPr>
        <w:spacing w:after="0" w:line="245" w:lineRule="auto"/>
        <w:rPr>
          <w:sz w:val="20"/>
          <w:szCs w:val="20"/>
          <w:color w:val="auto"/>
        </w:rPr>
      </w:pPr>
      <w:r>
        <w:rPr>
          <w:rFonts w:ascii="Arial" w:cs="Arial" w:eastAsia="Arial" w:hAnsi="Arial"/>
          <w:sz w:val="18"/>
          <w:szCs w:val="18"/>
          <w:color w:val="auto"/>
        </w:rPr>
        <w:t>32422, Page 393 in the Middlesex South District Registry of Deeds, Commonwealth of Massachusetts and filed as Document No. 1163744 in the Middlesex South District Registry of the Land Court.</w:t>
      </w:r>
    </w:p>
    <w:p>
      <w:pPr>
        <w:spacing w:after="0" w:line="146"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Project Control by Landlord</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 xml:space="preserve">14.1. Landlord reserves full control over the Building and the Project to the extent not inconsistent with Tenant’s enjoyment of the Premises as provided by this Lease. This reservation includes Landlord’s right to subdivide the Project; convert the Building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pipes, ducts, conduits, wires and appurtenant fixtures, wherever located in the Premises, the Building or elsewhere at the Project; and alter or relocate any other Common Area or facility, including private drives, lobbies, entrances and landscaping;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such rights shall be exercised in a way that does not materially adversely affect Tenant’s beneficial use and occupancy of the Premises, including the Permitted Use and Tenant’s access to the Premises. Tenant acknowledges that Landlord specifically reserves the right to allow the exclusive use of corridors and restroom facilities located on specific floors to one or more tenants occupying such floors;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Tenant shall not be deprived of the use of the corridors reasonably required to serve the Premises or of restroom facilities serving the floor upon which the Premises are located.</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14.2. Possession of areas of the Premises necessary for utilities, services, safety and operation of the Building is reserved to Landlord.</w:t>
      </w:r>
    </w:p>
    <w:p>
      <w:pPr>
        <w:spacing w:after="0" w:line="188"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 xml:space="preserve">14.3. Tenant shall, at Landlord’s request, promptly execute such further documents as may be reasonably appropriate to assist Landlord in the performance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Tenant need not execute any document that creates additional liability for Tenant or that deprives Tenant of the quiet enjoyment and use of the Premises as provided for in this Lease.</w:t>
      </w:r>
    </w:p>
    <w:p>
      <w:pPr>
        <w:spacing w:after="0" w:line="153" w:lineRule="exact"/>
        <w:rPr>
          <w:sz w:val="20"/>
          <w:szCs w:val="20"/>
          <w:color w:val="auto"/>
        </w:rPr>
      </w:pPr>
    </w:p>
    <w:p>
      <w:pPr>
        <w:jc w:val="both"/>
        <w:ind w:firstLine="764"/>
        <w:spacing w:after="0" w:line="260" w:lineRule="auto"/>
        <w:rPr>
          <w:sz w:val="20"/>
          <w:szCs w:val="20"/>
          <w:color w:val="auto"/>
        </w:rPr>
      </w:pPr>
      <w:r>
        <w:rPr>
          <w:rFonts w:ascii="Arial" w:cs="Arial" w:eastAsia="Arial" w:hAnsi="Arial"/>
          <w:sz w:val="16"/>
          <w:szCs w:val="16"/>
          <w:color w:val="auto"/>
        </w:rPr>
        <w:t xml:space="preserve">14.4. Landlord may, at any and all reasonable times during non-business hours (or during business hours, if (a) with respect to </w:t>
      </w:r>
      <w:r>
        <w:rPr>
          <w:rFonts w:ascii="Arial" w:cs="Arial" w:eastAsia="Arial" w:hAnsi="Arial"/>
          <w:sz w:val="16"/>
          <w:szCs w:val="16"/>
          <w:u w:val="single" w:color="auto"/>
          <w:color w:val="auto"/>
        </w:rPr>
        <w:t>Subsections 14.4(u)</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14.4(y)</w:t>
      </w:r>
      <w:r>
        <w:rPr>
          <w:rFonts w:ascii="Arial" w:cs="Arial" w:eastAsia="Arial" w:hAnsi="Arial"/>
          <w:sz w:val="16"/>
          <w:szCs w:val="16"/>
          <w:color w:val="auto"/>
        </w:rPr>
        <w:t xml:space="preserve">, Tenant so requests, and (b) with respect to </w:t>
      </w:r>
      <w:r>
        <w:rPr>
          <w:rFonts w:ascii="Arial" w:cs="Arial" w:eastAsia="Arial" w:hAnsi="Arial"/>
          <w:sz w:val="16"/>
          <w:szCs w:val="16"/>
          <w:u w:val="single" w:color="auto"/>
          <w:color w:val="auto"/>
        </w:rPr>
        <w:t>Subsection 14.4(z)</w:t>
      </w:r>
      <w:r>
        <w:rPr>
          <w:rFonts w:ascii="Arial" w:cs="Arial" w:eastAsia="Arial" w:hAnsi="Arial"/>
          <w:sz w:val="16"/>
          <w:szCs w:val="16"/>
          <w:color w:val="auto"/>
        </w:rPr>
        <w:t xml:space="preserve">, if Landlord so requests), and upon twenty-four (24) hours’ prior notice (which may be oral or by email to the office manager or other Tenant-designated individual at the Premises;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time restrictions shall apply or advance notice be required if an emergency necessitates immediate entry), enter the Premises to (u) inspect the same and to determine whether Tenant is in compliance with its obligations hereunder, (v) supply any service Landlord is required to provide hereunder, (w) alter, improve or repair any portion of the Building other than the Premises for which access to the Premises is reasonably necessary, (x) post notices of nonresponsibility, (y) access the telephone equipment, electrical substation and fire risers and (z) show the Premises to prospective tenants during the final year of the Term and current and prospective purchasers and lenders at any time. Notwithstanding the foregoing, Tenant shall have the right to have a representative of Tenant accompany Landlord at such times; provided, however, if Tenant’s representative is not available or does not elect to accompany Landlord at the times that Landlord has requested access, then such unavailability shall not prohibit or otherwise restrict Landlord’s access, and Landlord may access the Premises with or without Tenant’s representative present. Notwithstanding the immediately foregoing sentence, and except in the event of an emergency, Tenant’s representative shall be present during any times that Landlord accesses the Manufacturing Area or Vivarium (collectively, the “</w:t>
      </w:r>
      <w:r>
        <w:rPr>
          <w:rFonts w:ascii="Arial" w:cs="Arial" w:eastAsia="Arial" w:hAnsi="Arial"/>
          <w:sz w:val="16"/>
          <w:szCs w:val="16"/>
          <w:u w:val="single" w:color="auto"/>
          <w:color w:val="auto"/>
        </w:rPr>
        <w:t>Secure Areas</w:t>
      </w:r>
      <w:r>
        <w:rPr>
          <w:rFonts w:ascii="Arial" w:cs="Arial" w:eastAsia="Arial" w:hAnsi="Arial"/>
          <w:sz w:val="16"/>
          <w:szCs w:val="16"/>
          <w:color w:val="auto"/>
        </w:rPr>
        <w:t>”), and Landlord shall endeavor to comply with Tenant’s reasonable confidentiality, security, cleanliness and safety requirements when accessing the Secure Areas. As used in the immediately foregoing sentence, the term “emergency” shall mean an event or occurrence for which Landlord reasonably believes there exists the possibility of personal injury, loss of life, or damage to real or personal property. Tenant shall have the right to post signs in 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0" w:name="page141"/>
    <w:bookmarkEnd w:id="140"/>
    <w:p>
      <w:pPr>
        <w:jc w:val="both"/>
        <w:spacing w:after="0" w:line="265" w:lineRule="auto"/>
        <w:rPr>
          <w:sz w:val="20"/>
          <w:szCs w:val="20"/>
          <w:color w:val="auto"/>
        </w:rPr>
      </w:pPr>
      <w:r>
        <w:rPr>
          <w:rFonts w:ascii="Arial" w:cs="Arial" w:eastAsia="Arial" w:hAnsi="Arial"/>
          <w:sz w:val="16"/>
          <w:szCs w:val="16"/>
          <w:color w:val="auto"/>
        </w:rPr>
        <w:t xml:space="preserve">Premises related to the Secure Areas provided that such signs are not visible from outside the Premises. In connection with any such alteration, improvement or repair as described in </w:t>
      </w:r>
      <w:r>
        <w:rPr>
          <w:rFonts w:ascii="Arial" w:cs="Arial" w:eastAsia="Arial" w:hAnsi="Arial"/>
          <w:sz w:val="16"/>
          <w:szCs w:val="16"/>
          <w:u w:val="single" w:color="auto"/>
          <w:color w:val="auto"/>
        </w:rPr>
        <w:t>Subsection 14.4(w)</w:t>
      </w:r>
      <w:r>
        <w:rPr>
          <w:rFonts w:ascii="Arial" w:cs="Arial" w:eastAsia="Arial" w:hAnsi="Arial"/>
          <w:sz w:val="16"/>
          <w:szCs w:val="16"/>
          <w:color w:val="auto"/>
        </w:rPr>
        <w:t xml:space="preserve">, Landlord may erect in the Premises or elsewhere in the Project scaffolding and other structures reasonably required for the alteration, improvement or repair work to be performed. In no event shall Tenant’s Rent abate as a result of Landlord’s activities pursuant to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31" w:lineRule="exact"/>
        <w:rPr>
          <w:sz w:val="20"/>
          <w:szCs w:val="20"/>
          <w:color w:val="auto"/>
        </w:rPr>
      </w:pPr>
    </w:p>
    <w:p>
      <w:pPr>
        <w:jc w:val="both"/>
        <w:ind w:firstLine="8"/>
        <w:spacing w:after="0" w:line="235" w:lineRule="auto"/>
        <w:tabs>
          <w:tab w:leader="none" w:pos="27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51" w:lineRule="exact"/>
        <w:rPr>
          <w:rFonts w:ascii="Arial" w:cs="Arial" w:eastAsia="Arial" w:hAnsi="Arial"/>
          <w:sz w:val="18"/>
          <w:szCs w:val="18"/>
          <w:color w:val="auto"/>
        </w:rPr>
      </w:pPr>
    </w:p>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Utilities and Services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59" w:lineRule="auto"/>
        <w:rPr>
          <w:sz w:val="20"/>
          <w:szCs w:val="20"/>
          <w:color w:val="auto"/>
        </w:rPr>
      </w:pPr>
      <w:r>
        <w:rPr>
          <w:rFonts w:ascii="Arial" w:cs="Arial" w:eastAsia="Arial" w:hAnsi="Arial"/>
          <w:sz w:val="16"/>
          <w:szCs w:val="16"/>
          <w:color w:val="auto"/>
        </w:rPr>
        <w:t xml:space="preserve">16.1.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Electricity, HVAC airflow and gas shall be separately sub-metered to Tenant as part of the Tenant Improvements. Water and sewer charges, as well as charges for reverse osmosis and other treated water, shall be charged to and paid by Tenant in accordance with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Notwithstanding the foregoing, if any other utility is not separately metered or sub-metered to Tenant, Tenant shall pay Tenant’s Adjusted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adjusts such billings promptly thereafter or as part of the next Landlord’s Statement to reflect the actual cost of providing utilities to the Premises. To the extent that Tenant uses more than Tenant’s Pro Rata Share of any utilities, then Tenant shall pay Landlord for Tenant’s Adjusted Share of such utilities to reflect such excess.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ninety-five percent (95%) occupied during such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recover more than one hundred percent (100%) of the cost of such utilities. Tenant shall not be liable for the cost of utilities supplied to the Premises attributable to the time period prior to the Term Commencement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Landlord shall permit Tenant possession of the Premises prior to the Term Commencement Date and Tenant uses the Premises for any purpose other than placement of personal property as set forth in </w:t>
      </w:r>
      <w:r>
        <w:rPr>
          <w:rFonts w:ascii="Arial" w:cs="Arial" w:eastAsia="Arial" w:hAnsi="Arial"/>
          <w:sz w:val="16"/>
          <w:szCs w:val="16"/>
          <w:u w:val="single" w:color="auto"/>
          <w:color w:val="auto"/>
        </w:rPr>
        <w:t>Section 4.4</w:t>
      </w:r>
      <w:r>
        <w:rPr>
          <w:rFonts w:ascii="Arial" w:cs="Arial" w:eastAsia="Arial" w:hAnsi="Arial"/>
          <w:sz w:val="16"/>
          <w:szCs w:val="16"/>
          <w:color w:val="auto"/>
        </w:rPr>
        <w:t>, then Tenant shall be responsible for the cost of utilities supplied to the Premises from such earlier date of possession.</w:t>
      </w:r>
    </w:p>
    <w:p>
      <w:pPr>
        <w:spacing w:after="0" w:line="147"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16.2.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16"/>
          <w:szCs w:val="16"/>
          <w:color w:val="auto"/>
        </w:rPr>
        <w:t>insurrections; shortages of materials (which shortages are not unique to the party claiming Force Majeure); government regulations, moratoria or other governmental actions, inactions or delays;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Arial" w:cs="Arial" w:eastAsia="Arial" w:hAnsi="Arial"/>
          <w:sz w:val="16"/>
          <w:szCs w:val="16"/>
          <w:u w:val="single" w:color="auto"/>
          <w:color w:val="auto"/>
        </w:rPr>
        <w:t>Force Majeure</w:t>
      </w:r>
      <w:r>
        <w:rPr>
          <w:rFonts w:ascii="Arial" w:cs="Arial" w:eastAsia="Arial" w:hAnsi="Arial"/>
          <w:sz w:val="16"/>
          <w:szCs w:val="16"/>
          <w:color w:val="auto"/>
        </w:rPr>
        <w:t>”);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 “</w:t>
      </w:r>
      <w:r>
        <w:rPr>
          <w:rFonts w:ascii="Arial" w:cs="Arial" w:eastAsia="Arial" w:hAnsi="Arial"/>
          <w:sz w:val="16"/>
          <w:szCs w:val="16"/>
          <w:u w:val="single" w:color="auto"/>
          <w:color w:val="auto"/>
        </w:rPr>
        <w:t>Severe Weather Conditions</w:t>
      </w:r>
      <w:r>
        <w:rPr>
          <w:rFonts w:ascii="Arial" w:cs="Arial" w:eastAsia="Arial" w:hAnsi="Arial"/>
          <w:sz w:val="16"/>
          <w:szCs w:val="16"/>
          <w:color w:val="auto"/>
        </w:rPr>
        <w:t>” means weather conditions that are materially worse than those that reasonably would be anticipated for the Property at the applicable time based on historic meteorological records. Notwithstanding anything to the contrary in this Lease, if, for more than three (3) consecutive business days following written notice to Landlord and as a direct result of Landlord’s gross negligence or willful misconduct (and except to the extent that such failure is caused in whole or in part by the action or inaction of a Tenant Party (as defined below)), the provision of HVAC or other utilities to all or a material portion of the Premises that Landlord must provide pursuant to this Lease is interrupted (a “</w:t>
      </w:r>
      <w:r>
        <w:rPr>
          <w:rFonts w:ascii="Arial" w:cs="Arial" w:eastAsia="Arial" w:hAnsi="Arial"/>
          <w:sz w:val="16"/>
          <w:szCs w:val="16"/>
          <w:u w:val="single" w:color="auto"/>
          <w:color w:val="auto"/>
        </w:rPr>
        <w:t>Material Services Failure</w:t>
      </w:r>
      <w:r>
        <w:rPr>
          <w:rFonts w:ascii="Arial" w:cs="Arial" w:eastAsia="Arial" w:hAnsi="Arial"/>
          <w:sz w:val="16"/>
          <w:szCs w:val="16"/>
          <w:color w:val="auto"/>
        </w:rPr>
        <w:t xml:space="preserve">”), then Tenant’s Base Rent and Operating Expenses (or, to the extent that less than all of the Premises are affected, a proportionate amount (based on the Rentable Area of the Premises that is rendered unusable) of Base Rent and Operating Expenses) shall thereafter be abated until the Premises are again usable by Tenant for the Permitted 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Landlord is diligently pursuing the restoration of such HVAC and other utilities and Landlord provides substitute HVAC and other utilities reasonably suitable for Tenant’s continued use and occupancy of the Premises for the Permitted Use (e.g., supplying potable water or portable air conditioning equipment), then neither Base Rent nor Operating Expenses shall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(which shall govern in the event of a casualty), the provisions of this Section shall be Tenant’s sole recourse and remedy in the event of an interruption of HVAC or other utilities to the Premises, including related to </w:t>
      </w:r>
      <w:r>
        <w:rPr>
          <w:rFonts w:ascii="Arial" w:cs="Arial" w:eastAsia="Arial" w:hAnsi="Arial"/>
          <w:sz w:val="16"/>
          <w:szCs w:val="16"/>
          <w:u w:val="single" w:color="auto"/>
          <w:color w:val="auto"/>
        </w:rPr>
        <w:t>Section 16.8</w:t>
      </w:r>
      <w:r>
        <w:rPr>
          <w:rFonts w:ascii="Arial" w:cs="Arial" w:eastAsia="Arial" w:hAnsi="Arial"/>
          <w:sz w:val="16"/>
          <w:szCs w:val="16"/>
          <w:color w:val="auto"/>
        </w:rPr>
        <w:t>.</w:t>
      </w:r>
    </w:p>
    <w:p>
      <w:pPr>
        <w:spacing w:after="0" w:line="142"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16.3.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125"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16.4.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Pro Rata Share of the Building beyond the existing capacity of the Building usually furnished or supplied for the Permitted Use or (b) exceed Tenant’s Pro Rata Share of the Building’s capacity to provide such utilities or services.</w:t>
      </w:r>
    </w:p>
    <w:p>
      <w:pPr>
        <w:spacing w:after="0" w:line="152"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16.5.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2" w:name="page143"/>
    <w:bookmarkEnd w:id="142"/>
    <w:p>
      <w:pPr>
        <w:jc w:val="both"/>
        <w:ind w:firstLine="764"/>
        <w:spacing w:after="0" w:line="265" w:lineRule="auto"/>
        <w:rPr>
          <w:sz w:val="20"/>
          <w:szCs w:val="20"/>
          <w:color w:val="auto"/>
        </w:rPr>
      </w:pPr>
      <w:r>
        <w:rPr>
          <w:rFonts w:ascii="Arial" w:cs="Arial" w:eastAsia="Arial" w:hAnsi="Arial"/>
          <w:sz w:val="16"/>
          <w:szCs w:val="16"/>
          <w:color w:val="auto"/>
        </w:rPr>
        <w:t xml:space="preserve">16.6. Landlord shall provide water in Common Area for lavatory and landscaping purposes only, which water shall be from the local municipal or similar source;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Landlord determines that Tenant requires, uses or consumes water provided to the Common Area for any purpose other than ordinary lavatory purposes, Landlord may install a water meter (“</w:t>
      </w:r>
      <w:r>
        <w:rPr>
          <w:rFonts w:ascii="Arial" w:cs="Arial" w:eastAsia="Arial" w:hAnsi="Arial"/>
          <w:sz w:val="16"/>
          <w:szCs w:val="16"/>
          <w:u w:val="single" w:color="auto"/>
          <w:color w:val="auto"/>
        </w:rPr>
        <w:t>Tenant Water Meter</w:t>
      </w:r>
      <w:r>
        <w:rPr>
          <w:rFonts w:ascii="Arial" w:cs="Arial" w:eastAsia="Arial" w:hAnsi="Arial"/>
          <w:sz w:val="16"/>
          <w:szCs w:val="16"/>
          <w:color w:val="auto"/>
        </w:rPr>
        <w:t>”) and thereby measure Tenant’s water consumption for all purposes.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131"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16.7. Landlord reserves the right to stop service of the elevator, plumbing, ventilation, air conditioning and utility systems,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elevator facilities, plumbing, ventilation, air conditioning or utility service when prevented from doing so by Force Majeure or, to the extent permitted by Applicable Laws, Landlord’s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or, to the extent permitted by Applicable Laws, Landlord’s negligence.</w:t>
      </w:r>
    </w:p>
    <w:p>
      <w:pPr>
        <w:spacing w:after="0" w:line="131"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16.8. Landlord will connect an existing back-up generator at the Building (the “</w:t>
      </w:r>
      <w:r>
        <w:rPr>
          <w:rFonts w:ascii="Arial" w:cs="Arial" w:eastAsia="Arial" w:hAnsi="Arial"/>
          <w:sz w:val="16"/>
          <w:szCs w:val="16"/>
          <w:u w:val="single" w:color="auto"/>
          <w:color w:val="auto"/>
        </w:rPr>
        <w:t>Building Generator</w:t>
      </w:r>
      <w:r>
        <w:rPr>
          <w:rFonts w:ascii="Arial" w:cs="Arial" w:eastAsia="Arial" w:hAnsi="Arial"/>
          <w:sz w:val="16"/>
          <w:szCs w:val="16"/>
          <w:color w:val="auto"/>
        </w:rPr>
        <w:t xml:space="preserve">”) to the Premises’ stand-by electrical panel. Tenant shall be entitled to use up to Tenant’s Pro Rata Share of the Building (after deducting any power from the Building Generator required for the Common Area) of power from the Building Generator on a non-exclusive basis with other tenants in the Building; provided, however, that neither the Building Generator, nor the Premises’ stand-by electrical panel, shall serve the Manufacturing Area. The cost of maintaining, repairing and replacing the Building Generator shall constitute Operating Expenses. Landlord expressly disclaims any warranties with regard to the Building Generator or the installation thereof, including any warranty of merchantability or fitness for a particular purpose. Landlord shall maintain the Building Generator and any equipment connecting the Building Generator to Tenant’s automatic transfer switch in good working condition as set forth above, provided, however, that Tenant shall be solely responsible, at Tenant’s sole cost and expense, (and Landlord shall not be liable) for maintaining and operating Tenant’s automatic transfer switch and the distribution of power from Tenant’s automatic transfer switch throughout the Premises, and provided further that Landlord shall not be liable for any failure to make any repairs or to perform any maintenance of the Building Generator that is an obligation of Landlord unless Tenant provides Landlord with written notice of the need for such repairs or maintenance. Upon receipt of such written notice, Landlord shall promptly commence to cure such failure and shall diligently prosecute the same to completion in accordance with </w:t>
      </w:r>
      <w:r>
        <w:rPr>
          <w:rFonts w:ascii="Arial" w:cs="Arial" w:eastAsia="Arial" w:hAnsi="Arial"/>
          <w:sz w:val="16"/>
          <w:szCs w:val="16"/>
          <w:u w:val="single" w:color="auto"/>
          <w:color w:val="auto"/>
        </w:rPr>
        <w:t>Section 31.12</w:t>
      </w:r>
      <w:r>
        <w:rPr>
          <w:rFonts w:ascii="Arial" w:cs="Arial" w:eastAsia="Arial" w:hAnsi="Arial"/>
          <w:sz w:val="16"/>
          <w:szCs w:val="16"/>
          <w:color w:val="auto"/>
        </w:rPr>
        <w:t xml:space="preserve"> of this Lease. The provisions of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of this Lease shall apply to the Building Generator.</w:t>
      </w:r>
    </w:p>
    <w:p>
      <w:pPr>
        <w:spacing w:after="0" w:line="137"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 xml:space="preserve">16.9. For the Premises, Landlord shall (a) subject to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maintain and operate the HVAC systems used for the Permitted Use only and not for uses other than laboratory use and (b) subject to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16.9(a)</w:t>
      </w:r>
      <w:r>
        <w:rPr>
          <w:rFonts w:ascii="Arial" w:cs="Arial" w:eastAsia="Arial" w:hAnsi="Arial"/>
          <w:sz w:val="16"/>
          <w:szCs w:val="16"/>
          <w:color w:val="auto"/>
        </w:rPr>
        <w:t>, furnish HVAC as reasonably required (except as this Lease otherwise provides or as to any special requirements that arise from Tenant’s particular use of the Premises) for reasonably comfortable occupancy of the Premises twenty-four (24) hours a day, every day during the Term, subject to casualty, eminent domain or as otherwise specified in this Article. To the extent that Tenant requires HVAC services in excess of those provided by connection to the Building HVAC systems, Tenant shall install and maintain, at its sole cost, (and Landlord shall not be liable for) supplemental HVAC systems in accordance with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3" w:name="page144"/>
    <w:bookmarkEnd w:id="143"/>
    <w:p>
      <w:pPr>
        <w:jc w:val="both"/>
        <w:spacing w:after="0" w:line="237" w:lineRule="auto"/>
        <w:rPr>
          <w:sz w:val="20"/>
          <w:szCs w:val="20"/>
          <w:color w:val="auto"/>
        </w:rPr>
      </w:pPr>
      <w:r>
        <w:rPr>
          <w:rFonts w:ascii="Arial" w:cs="Arial" w:eastAsia="Arial" w:hAnsi="Arial"/>
          <w:sz w:val="18"/>
          <w:szCs w:val="18"/>
          <w:color w:val="auto"/>
        </w:rPr>
        <w:t xml:space="preserve">the provisions of this Lease. Tenant shall pay Landlord, as Additional Rent, Tenant’s Adjusted Share of airflow to the Premises. Notwithstanding anything to the contrary in this Section, Landlord shall have no liability, and Tenant shall have no right or remedy, on account of any interruption or impairment in HVAC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Landlord diligently endeavors to cure any such interruption or impairment.</w:t>
      </w:r>
    </w:p>
    <w:p>
      <w:pPr>
        <w:spacing w:after="0" w:line="153"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16.10. For any utilities serving the Premises for which Tenant is billed directly by such utility provider, Tenant agrees to furnish to Landlord (a) any invoices or statements for such utilities within thirty (30) days after Tenant’s receipt thereof, (b) within thirty (30) days after Landlord’s request, any other utility usage information reasonably requested by Landlord, and (c) within thirty (30) days after each calendar year during the Term, authorization to allow Landlord to access Tenant’s usage information necessary for Landlord to complete an ENERGY STAR® Statement of Performance (or similar comprehensive utility usage report (e.g., related to Labs 21), if requested by Landlord) and any other information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the Building and the Project may be shared with third parties, including Landlord’s consultants and Governmental Authorities. In the event that Tenant fails to comply with this Section, Tenant hereby authorizes Landlord to collect utility usage information directly from the applicable utility providers, and Tenant shall pay Landlord a fee of Seven Hundred Fifty Dollars ($750) per month to collect such utility usage information.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37" w:lineRule="exact"/>
        <w:rPr>
          <w:sz w:val="20"/>
          <w:szCs w:val="20"/>
          <w:color w:val="auto"/>
        </w:rPr>
      </w:pPr>
    </w:p>
    <w:p>
      <w:pPr>
        <w:jc w:val="both"/>
        <w:ind w:firstLine="764"/>
        <w:spacing w:after="0" w:line="259" w:lineRule="auto"/>
        <w:rPr>
          <w:sz w:val="20"/>
          <w:szCs w:val="20"/>
          <w:color w:val="auto"/>
        </w:rPr>
      </w:pPr>
      <w:r>
        <w:rPr>
          <w:rFonts w:ascii="Arial" w:cs="Arial" w:eastAsia="Arial" w:hAnsi="Arial"/>
          <w:sz w:val="16"/>
          <w:szCs w:val="16"/>
          <w:color w:val="auto"/>
        </w:rPr>
        <w:t>16.11. The Building is currently serviced by a common laboratory waste sanitary sewer connection from the pH neutralization room in the basement of the Building to the municipal sewer line in the street adjacent to the Building. There currently exists a separate acid neutralization tank (the “</w:t>
      </w:r>
      <w:r>
        <w:rPr>
          <w:rFonts w:ascii="Arial" w:cs="Arial" w:eastAsia="Arial" w:hAnsi="Arial"/>
          <w:sz w:val="16"/>
          <w:szCs w:val="16"/>
          <w:u w:val="single" w:color="auto"/>
          <w:color w:val="auto"/>
        </w:rPr>
        <w:t>Acid Neutralization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Tank</w:t>
      </w:r>
      <w:r>
        <w:rPr>
          <w:rFonts w:ascii="Arial" w:cs="Arial" w:eastAsia="Arial" w:hAnsi="Arial"/>
          <w:sz w:val="16"/>
          <w:szCs w:val="16"/>
          <w:color w:val="auto"/>
        </w:rPr>
        <w:t>”) that is connected to the Premises, as well as to other premises in the Building. Tenant shall have a non-exclusive right to use up to Tenant’s Pro Rata Share of the Building of the Acid Neutralization Tank in accordance with Applicable Laws in common with other tenants of the Building. Tenant, as a portion of its Operating Expenses, shall reimburse Landlord for all costs, charges and expenses incurred by Landlord from time to time in connection with or arising out of the operation, use, maintenance, repair or refurbishment of the Acid Neutralization Tank, including all clean-up costs relating to the Acid Neutralization Tank (collectively, “</w:t>
      </w:r>
      <w:r>
        <w:rPr>
          <w:rFonts w:ascii="Arial" w:cs="Arial" w:eastAsia="Arial" w:hAnsi="Arial"/>
          <w:sz w:val="16"/>
          <w:szCs w:val="16"/>
          <w:u w:val="single" w:color="auto"/>
          <w:color w:val="auto"/>
        </w:rPr>
        <w:t>Tank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Acid Neutralization Tank is being used by other tenant(s) or occupant(s) of the Building at any time during the Term, then, during such time period, Tenant shall only be obligated to pay its Pro Rata Share of the Building of the Tank Costs. Notwithstanding the foregoing, in the event the Acid Neutralization Tank is damaged or repairs to the Acid Neutralization Tank are required as a result of the improper use of the Acid Neutralization Tank by Tenant, Tenant shall be responsible for one hundred percent (100%) of the cost of any repairs or replacement required as a result of such improper use by Tenant, regardless of whether the Acid Neutralization Tank is then being used by other tenant(s) or occupant(s) of the Building; provided, however, that if Tenant reasonably believes that another tenant(s) or occupant(s) in the Building is improperly using the Acid Neutralization Tank, and Landlord, using reasonable efforts, has confirmed such allegation, then Landlord shall equitably apportion the cost of any such repairs or replacements between Tenant and such other tenant(s) or occupant(s). Tenant shall indemnify, save, defend (at Landlord’s option and with counsel reasonably acceptable to Landlord) and hold the Landlord Indemnitees harmless from and against any and all Claims, including (a) diminution in value of the Project or any portion thereof, (b) damages for the loss or restriction on use of rentable or usable space or of any amenity of the Project, (c) damages arising from any adverse impact on marketing of space in the Project or any portion thereof and (d) sums paid in settlement of Claims that arise during or after the Term as a result of Tenant’s improper use of the Acid Neutralization Tank.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4" w:name="page145"/>
    <w:bookmarkEnd w:id="144"/>
    <w:p>
      <w:pPr>
        <w:spacing w:after="0" w:line="245" w:lineRule="auto"/>
        <w:rPr>
          <w:sz w:val="20"/>
          <w:szCs w:val="20"/>
          <w:color w:val="auto"/>
        </w:rPr>
      </w:pPr>
      <w:r>
        <w:rPr>
          <w:rFonts w:ascii="Arial" w:cs="Arial" w:eastAsia="Arial" w:hAnsi="Arial"/>
          <w:sz w:val="18"/>
          <w:szCs w:val="18"/>
          <w:color w:val="auto"/>
        </w:rPr>
        <w:t>This indemnification by Tenant includes costs incurred in connection with any investigation of site conditions or any clean-up, remediation, removal or restoration required by any Governmental Authority caused by Tenant’s improper use of the Acid Neutralization Tank.</w:t>
      </w:r>
    </w:p>
    <w:p>
      <w:pPr>
        <w:spacing w:after="0" w:line="146"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Alterations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17.1. Tenant shall make no alterations, additions or improvements in or to the Premises or engage in any construction, demolition, reconstruction, renovation or other work (whether major or minor) of any kind in, at or serving the Premises (“</w:t>
      </w:r>
      <w:r>
        <w:rPr>
          <w:rFonts w:ascii="Arial" w:cs="Arial" w:eastAsia="Arial" w:hAnsi="Arial"/>
          <w:sz w:val="16"/>
          <w:szCs w:val="16"/>
          <w:u w:val="single" w:color="auto"/>
          <w:color w:val="auto"/>
        </w:rPr>
        <w:t>Alterations</w:t>
      </w:r>
      <w:r>
        <w:rPr>
          <w:rFonts w:ascii="Arial" w:cs="Arial" w:eastAsia="Arial" w:hAnsi="Arial"/>
          <w:sz w:val="16"/>
          <w:szCs w:val="16"/>
          <w:color w:val="auto"/>
        </w:rPr>
        <w:t xml:space="preserve">”) without Landlord’s prior written approval, which approval Landlord shall not unreasonably withhold;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event any proposed Alteration affects (a) any structural portions of the Building, including exterior walls, the roof, the foundation or slab, foundation or slab systems (including barriers and subslab systems) or the core of the Building,</w:t>
      </w:r>
    </w:p>
    <w:p>
      <w:pPr>
        <w:spacing w:after="0" w:line="1" w:lineRule="exact"/>
        <w:rPr>
          <w:sz w:val="20"/>
          <w:szCs w:val="20"/>
          <w:color w:val="auto"/>
        </w:rPr>
      </w:pPr>
    </w:p>
    <w:p>
      <w:pPr>
        <w:jc w:val="both"/>
        <w:ind w:firstLine="8"/>
        <w:spacing w:after="0" w:line="273" w:lineRule="auto"/>
        <w:tabs>
          <w:tab w:leader="none" w:pos="262"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be in Landlord’s sole and absolute discretion. In seeking Landlord’s approval, Tenant shall provide Landlord, at least thirty (30) days in advance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In no event shall Tenant use or Landlord be required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 Notwithstanding the foregoing, Tenant may make strictly cosmetic changes to the Premises that do not require any permits or more than three</w:t>
      </w:r>
    </w:p>
    <w:p>
      <w:pPr>
        <w:spacing w:after="0" w:line="6" w:lineRule="exact"/>
        <w:rPr>
          <w:rFonts w:ascii="Arial" w:cs="Arial" w:eastAsia="Arial" w:hAnsi="Arial"/>
          <w:sz w:val="15"/>
          <w:szCs w:val="15"/>
          <w:color w:val="auto"/>
        </w:rPr>
      </w:pPr>
    </w:p>
    <w:p>
      <w:pPr>
        <w:jc w:val="both"/>
        <w:spacing w:after="0" w:line="256" w:lineRule="auto"/>
        <w:rPr>
          <w:rFonts w:ascii="Arial" w:cs="Arial" w:eastAsia="Arial" w:hAnsi="Arial"/>
          <w:sz w:val="15"/>
          <w:szCs w:val="15"/>
          <w:color w:val="auto"/>
        </w:rPr>
      </w:pPr>
      <w:r>
        <w:rPr>
          <w:rFonts w:ascii="Arial" w:cs="Arial" w:eastAsia="Arial" w:hAnsi="Arial"/>
          <w:sz w:val="16"/>
          <w:szCs w:val="16"/>
          <w:color w:val="auto"/>
        </w:rPr>
        <w:t>(3) total contractors and subcontractors (“</w:t>
      </w:r>
      <w:r>
        <w:rPr>
          <w:rFonts w:ascii="Arial" w:cs="Arial" w:eastAsia="Arial" w:hAnsi="Arial"/>
          <w:sz w:val="16"/>
          <w:szCs w:val="16"/>
          <w:u w:val="single" w:color="auto"/>
          <w:color w:val="auto"/>
        </w:rPr>
        <w:t>Cosmetic Alterations</w:t>
      </w:r>
      <w:r>
        <w:rPr>
          <w:rFonts w:ascii="Arial" w:cs="Arial" w:eastAsia="Arial" w:hAnsi="Arial"/>
          <w:sz w:val="16"/>
          <w:szCs w:val="16"/>
          <w:color w:val="auto"/>
        </w:rPr>
        <w:t xml:space="preserve">”) without Landlord’s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the cost of any Cosmetic Alterations does not exceed Fifty Thousand Dollars ($50,000) in any one instance or One Hundred Fifty Thousand Dollars ($150,000) annually, (z) such Cosmetic Alterations do not</w:t>
      </w:r>
    </w:p>
    <w:p>
      <w:pPr>
        <w:spacing w:after="0" w:line="1" w:lineRule="exact"/>
        <w:rPr>
          <w:rFonts w:ascii="Arial" w:cs="Arial" w:eastAsia="Arial" w:hAnsi="Arial"/>
          <w:sz w:val="15"/>
          <w:szCs w:val="15"/>
          <w:color w:val="auto"/>
        </w:rPr>
      </w:pPr>
    </w:p>
    <w:p>
      <w:pPr>
        <w:jc w:val="both"/>
        <w:ind w:firstLine="8"/>
        <w:spacing w:after="0" w:line="272" w:lineRule="auto"/>
        <w:tabs>
          <w:tab w:leader="none" w:pos="22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require any structural or other substantial modifications to the Premises, (ii) require any changes to or adversely affect the Building systems, (iii) affect the exterior of the Building or (iv) trigger any requirement under Applicable Laws that would require Landlord to make any alteration or improvement to the Premises, the Building or the Project. Tenant shall give Landlord at least ten (10) days’ prior written notice of any Cosmetic Alterations.</w:t>
      </w:r>
    </w:p>
    <w:p>
      <w:pPr>
        <w:spacing w:after="0" w:line="126"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17.2.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153"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17.3. Tenant shall accomplish any work performed on the Premises or the Building in such a manner as to permit any life safety systems to remain fully operable at all times.</w:t>
      </w:r>
    </w:p>
    <w:p>
      <w:pPr>
        <w:spacing w:after="0" w:line="146"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17.4. Any work performed on the Premises, the Building or the Project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Tenant shall 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5" w:name="page146"/>
    <w:bookmarkEnd w:id="145"/>
    <w:p>
      <w:pPr>
        <w:jc w:val="both"/>
        <w:spacing w:after="0" w:line="245" w:lineRule="auto"/>
        <w:rPr>
          <w:sz w:val="20"/>
          <w:szCs w:val="20"/>
          <w:color w:val="auto"/>
        </w:rPr>
      </w:pPr>
      <w:r>
        <w:rPr>
          <w:rFonts w:ascii="Arial" w:cs="Arial" w:eastAsia="Arial" w:hAnsi="Arial"/>
          <w:sz w:val="18"/>
          <w:szCs w:val="18"/>
          <w:color w:val="auto"/>
        </w:rPr>
        <w:t xml:space="preserve">Tenant and approved by Landlord for all new or affected mechanical, electrical and plumbing systems. Any such “as built” plans shall show the applicable Alterations as an overlay on the Building as-built plans;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Landlord provides the Building “as built” plans to Tenant.</w:t>
      </w:r>
    </w:p>
    <w:p>
      <w:pPr>
        <w:spacing w:after="0" w:line="146"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17.5. Before commencing any Alterations, Tenant shall give Landlord at least thirty (30) days’ prior written notice of the proposed commencement of such work and shall, if required by Landlord, secure, at Tenant’s own cost and expense, a completion and lien indemnity bond satisfactory to Landlord for such work.</w:t>
      </w:r>
    </w:p>
    <w:p>
      <w:pPr>
        <w:spacing w:after="0" w:line="153"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17.6. Tenant shall repair any damage to the Premises caused by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153"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17.7. The Premises plus any Alterations, Signage, Tenant Improvements, attached equipment, decorations, fixtures, movable laboratory casework and related appliances, trade fixtures, and other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business and trade fixtures; attached machinery and equipment;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hereto (which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may be updated by Tenant from and after the Term Commencement Date, subject to Landlord’s reasonable written consent) constitute Tenant’s property and shall be removed by Tenant upon the expiration or earlier termination of the Lease.</w:t>
      </w:r>
    </w:p>
    <w:p>
      <w:pPr>
        <w:spacing w:after="0" w:line="133"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17.8. Notwithstanding any other provision of this Article to the contrary, in no event shall Tenant remove any improvement from the Premises as to which landlord contributed payment, including the Tenant Improvements, without Landlord’s prior written consent, which consent Landlord may withhold in its sole and absolute discretion.</w:t>
      </w:r>
    </w:p>
    <w:p>
      <w:pPr>
        <w:spacing w:after="0" w:line="153" w:lineRule="exact"/>
        <w:rPr>
          <w:sz w:val="20"/>
          <w:szCs w:val="20"/>
          <w:color w:val="auto"/>
        </w:rPr>
      </w:pPr>
    </w:p>
    <w:p>
      <w:pPr>
        <w:jc w:val="both"/>
        <w:ind w:firstLine="764"/>
        <w:spacing w:after="0" w:line="291" w:lineRule="auto"/>
        <w:rPr>
          <w:sz w:val="20"/>
          <w:szCs w:val="20"/>
          <w:color w:val="auto"/>
        </w:rPr>
      </w:pPr>
      <w:r>
        <w:rPr>
          <w:rFonts w:ascii="Arial" w:cs="Arial" w:eastAsia="Arial" w:hAnsi="Arial"/>
          <w:sz w:val="15"/>
          <w:szCs w:val="15"/>
          <w:color w:val="auto"/>
        </w:rPr>
        <w:t>17.9.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114"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17.10. Tenant shall pay to Landlord the actual out-of-pocket expenses incurred by Landlord in connection with the project management of any Alterations, including costs incurred for plan review, engineering review, coordination, scheduling and supervision thereof. Tenant shall reimburse Landlord for any extra expenses incurred by Landlord by reason of faulty work done by Tenant or its contractors, or by reason of delays caused by such work, or by reason of inadequate clean-up.</w:t>
      </w:r>
    </w:p>
    <w:p>
      <w:pPr>
        <w:spacing w:after="0" w:line="152"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17.11. Within sixty (60) days after final completion of any Alterations performed by Tenant with respect to the Premises, Tenant shall submit to Landlord documentation showing the amounts expended by Tenant with respect to such Alterations, together with supporting documentation reasonably acceptable to Landlord.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6" w:name="page147"/>
    <w:bookmarkEnd w:id="146"/>
    <w:p>
      <w:pPr>
        <w:jc w:val="both"/>
        <w:ind w:firstLine="764"/>
        <w:spacing w:after="0" w:line="306" w:lineRule="auto"/>
        <w:rPr>
          <w:sz w:val="20"/>
          <w:szCs w:val="20"/>
          <w:color w:val="auto"/>
        </w:rPr>
      </w:pPr>
      <w:r>
        <w:rPr>
          <w:rFonts w:ascii="Arial" w:cs="Arial" w:eastAsia="Arial" w:hAnsi="Arial"/>
          <w:sz w:val="16"/>
          <w:szCs w:val="16"/>
          <w:color w:val="auto"/>
        </w:rPr>
        <w:t>17.12. Tenant shall take, and shall cause its contractors to take, commercially reasonable steps to protect the Premises during the performance of any Alterations, including covering or temporarily removing any window coverings so as to guard against dust, debris or damage.</w:t>
      </w:r>
    </w:p>
    <w:p>
      <w:pPr>
        <w:spacing w:after="0" w:line="100"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17.13. Tenant shall require its contractors and subcontractors performing work on the Premises to name Landlord and its affiliates and Lenders as additional insureds on their respective insurance policies.</w:t>
      </w:r>
    </w:p>
    <w:p>
      <w:pPr>
        <w:spacing w:after="0" w:line="146"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 xml:space="preserve">17.14. Notwithstanding anything to the contrary in this Lease, Landlord and Tenant agree that Landlord shall be permitted to withhold its approval (in its sole and absolute discretion) of any Alteration that (a) is inconsistent with the office and lab zones identified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 or (b) affects the use or function of any flexible wall and lab bench system within the Premises.</w:t>
      </w:r>
    </w:p>
    <w:p>
      <w:pPr>
        <w:spacing w:after="0" w:line="153"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Repairs and Maintenance</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 xml:space="preserve">18.1. Subject to the limitations set forth in </w:t>
      </w:r>
      <w:r>
        <w:rPr>
          <w:rFonts w:ascii="Arial" w:cs="Arial" w:eastAsia="Arial" w:hAnsi="Arial"/>
          <w:sz w:val="16"/>
          <w:szCs w:val="16"/>
          <w:u w:val="single" w:color="auto"/>
          <w:color w:val="auto"/>
        </w:rPr>
        <w:t>Section 16.9</w:t>
      </w:r>
      <w:r>
        <w:rPr>
          <w:rFonts w:ascii="Arial" w:cs="Arial" w:eastAsia="Arial" w:hAnsi="Arial"/>
          <w:sz w:val="16"/>
          <w:szCs w:val="16"/>
          <w:color w:val="auto"/>
        </w:rPr>
        <w:t xml:space="preserve">, Landlord shall repair and maintain the structural and exterior portions and Common Area of the Building and the Project, including roofing and covering materials; foundations (excluding any architectural slabs, but including any structural slabs); exterior walls; plumbing; fire sprinkler and life safety systems (if any); base Building HVAC systems up to the first damper or isolation valve that serves the Premises (for purposes of clarity, the portion of the HVAC system that includes such first damper or isolation valve and extends into and through the Premises, and any supplemental HVAC serving the Premises, including but not limited to any supplemental HVAC serving the Vivarium and the Manufacturing Area shall not be part of the base Building HVAC and shall be Tenant’s obligation to maintain and repair pursuant to </w:t>
      </w:r>
      <w:r>
        <w:rPr>
          <w:rFonts w:ascii="Arial" w:cs="Arial" w:eastAsia="Arial" w:hAnsi="Arial"/>
          <w:sz w:val="16"/>
          <w:szCs w:val="16"/>
          <w:u w:val="single" w:color="auto"/>
          <w:color w:val="auto"/>
        </w:rPr>
        <w:t>Section 18.2</w:t>
      </w:r>
      <w:r>
        <w:rPr>
          <w:rFonts w:ascii="Arial" w:cs="Arial" w:eastAsia="Arial" w:hAnsi="Arial"/>
          <w:sz w:val="16"/>
          <w:szCs w:val="16"/>
          <w:color w:val="auto"/>
        </w:rPr>
        <w:t xml:space="preserve"> below); the Acid Neutralization Tank and associated monitoring system; the Base Building Laboratory Support Systems (as defined below); elevators; and base Building electrical systems, in a first class manner comparable to other buildings in Cambridgeport, Cambridge, Massachusetts owned or operated by Landlord or its affiliates that are similar to the Building and operated and used for the same use as the Permitted Use. Further detail of the items that Landlord is responsible for repairing and maintaining are set forth on the Landlord/Tenant Responsibilities Matrix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designated with an “X” under the “Landlord” column.</w:t>
      </w:r>
    </w:p>
    <w:p>
      <w:pPr>
        <w:spacing w:after="0" w:line="136"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As used in this Lease, the term “</w:t>
      </w:r>
      <w:r>
        <w:rPr>
          <w:rFonts w:ascii="Arial" w:cs="Arial" w:eastAsia="Arial" w:hAnsi="Arial"/>
          <w:sz w:val="16"/>
          <w:szCs w:val="16"/>
          <w:u w:val="single" w:color="auto"/>
          <w:color w:val="auto"/>
        </w:rPr>
        <w:t>Base Building Laboratory Support System</w:t>
      </w:r>
      <w:r>
        <w:rPr>
          <w:rFonts w:ascii="Arial" w:cs="Arial" w:eastAsia="Arial" w:hAnsi="Arial"/>
          <w:sz w:val="16"/>
          <w:szCs w:val="16"/>
          <w:color w:val="auto"/>
        </w:rPr>
        <w:t>” shall mean each of the following base Building systems: (i) vacuum and compressed air; (ii) purified water and (iii) laboratory waste water treatment, and shall include only the portion of such system that extends to the isolation valve for such system that serves the Premises, but specifically excludes dedicated services to the Manufacturing Area; Tenant hereby agreeing that any such isolation valve and the portion of such system that extends from such isolation valve to and in the Premises and any dedicated services to the Manufacturing Area (a “</w:t>
      </w:r>
      <w:r>
        <w:rPr>
          <w:rFonts w:ascii="Arial" w:cs="Arial" w:eastAsia="Arial" w:hAnsi="Arial"/>
          <w:sz w:val="16"/>
          <w:szCs w:val="16"/>
          <w:u w:val="single" w:color="auto"/>
          <w:color w:val="auto"/>
        </w:rPr>
        <w:t>Premises Laboratory Support System</w:t>
      </w:r>
      <w:r>
        <w:rPr>
          <w:rFonts w:ascii="Arial" w:cs="Arial" w:eastAsia="Arial" w:hAnsi="Arial"/>
          <w:sz w:val="16"/>
          <w:szCs w:val="16"/>
          <w:color w:val="auto"/>
        </w:rPr>
        <w:t xml:space="preserve">”) is not a Base Building Laboratory Support System. To the extent that a Base Building Laboratory Support System does not include an isolation valve that serves the Premises, then only the portion of such system that is located outside of the Premises shall constitute a Base Building Laboratory Support System, and any portion of such system that is located inside the Premises shall be a Premises Laboratory Support System. Tenant shall repair and maintain each Premises Laboratory Support System in accordance with </w:t>
      </w:r>
      <w:r>
        <w:rPr>
          <w:rFonts w:ascii="Arial" w:cs="Arial" w:eastAsia="Arial" w:hAnsi="Arial"/>
          <w:sz w:val="16"/>
          <w:szCs w:val="16"/>
          <w:u w:val="single" w:color="auto"/>
          <w:color w:val="auto"/>
        </w:rPr>
        <w:t>Section 18.2</w:t>
      </w:r>
      <w:r>
        <w:rPr>
          <w:rFonts w:ascii="Arial" w:cs="Arial" w:eastAsia="Arial" w:hAnsi="Arial"/>
          <w:sz w:val="16"/>
          <w:szCs w:val="16"/>
          <w:color w:val="auto"/>
        </w:rPr>
        <w:t xml:space="preserve"> of this Lease. Further, and with respect to the Base Building Laboratory Support System that is the purified water system for the Building, such system provides only water that has been treated by reverse osmosis, and Landlord makes no representations or warranties with respect to the purity or quality of such water and shall incur no liability whatsoever with respect to the purity, quality or any other condition of such water, and Tenant, at Tenant’s sole cost and expense, shall be solely responsible for the purity, quality and condition of the water from such purified water system that Tenant may elect to use in the Premises.</w:t>
      </w:r>
    </w:p>
    <w:p>
      <w:pPr>
        <w:spacing w:after="0" w:line="137"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 xml:space="preserve">18.2. Except for services of Landlord, if any, required by </w:t>
      </w:r>
      <w:r>
        <w:rPr>
          <w:rFonts w:ascii="Arial" w:cs="Arial" w:eastAsia="Arial" w:hAnsi="Arial"/>
          <w:sz w:val="18"/>
          <w:szCs w:val="18"/>
          <w:u w:val="single" w:color="auto"/>
          <w:color w:val="auto"/>
        </w:rPr>
        <w:t>Section 18.1</w:t>
      </w:r>
      <w:r>
        <w:rPr>
          <w:rFonts w:ascii="Arial" w:cs="Arial" w:eastAsia="Arial" w:hAnsi="Arial"/>
          <w:sz w:val="18"/>
          <w:szCs w:val="18"/>
          <w:color w:val="auto"/>
        </w:rPr>
        <w:t>, Tenant shall at Tenant’s sole cost and expense maintain and keep the Premises (including but not limited to each Premises Laboratory Support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7" w:name="page148"/>
    <w:bookmarkEnd w:id="147"/>
    <w:p>
      <w:pPr>
        <w:jc w:val="both"/>
        <w:spacing w:after="0" w:line="260" w:lineRule="auto"/>
        <w:rPr>
          <w:sz w:val="20"/>
          <w:szCs w:val="20"/>
          <w:color w:val="auto"/>
        </w:rPr>
      </w:pPr>
      <w:r>
        <w:rPr>
          <w:rFonts w:ascii="Arial" w:cs="Arial" w:eastAsia="Arial" w:hAnsi="Arial"/>
          <w:sz w:val="16"/>
          <w:szCs w:val="16"/>
          <w:color w:val="auto"/>
        </w:rPr>
        <w:t xml:space="preserve">System, the portion of the HVAC system that includes such first damper or isolation valve and extends into and through the Premises and any supplemental HVAC serving the Premises, including but not limited to any supplemental HVAC serving Tenant’s Vivarium and the Manufacturing Area, and any systems or equipment exclusively serving the Premises, including without limitation any vaporized hydrogen peroxide system serving the Manufacturing Area), and every part thereof in good condition and repair, damage thereto from ordinary wear and tear excepted. Tenant shall, within ten (10) days after receipt of written notice from Landlord, provide to Landlord any maintenance, operating or certification records that Landlord reasonably requests, and to the extent Landlord determines that a third-party expert is necessary to review or evaluate any such records relating to systems serving Tenant’s Premises, Tenant shall reimburse Landlord for Landlord’s actual out-of-pocket costs and expenses related thereto. Further detail of the items that Tenant is responsible for repairing and maintaining are set forth on the Landlord/Tenant Responsibilities Matrix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designated with an “X” under the “Tenant” column. In addition to the obligations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elsewhere in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Tenant shall be responsible for all other systems and equipment serving the Manufacturing Area, wherever located, including without limitation any vaporized hydrogen peroxide system. Subject to </w:t>
      </w:r>
      <w:r>
        <w:rPr>
          <w:rFonts w:ascii="Arial" w:cs="Arial" w:eastAsia="Arial" w:hAnsi="Arial"/>
          <w:sz w:val="16"/>
          <w:szCs w:val="16"/>
          <w:u w:val="single" w:color="auto"/>
          <w:color w:val="auto"/>
        </w:rPr>
        <w:t>Section 26.2</w:t>
      </w:r>
      <w:r>
        <w:rPr>
          <w:rFonts w:ascii="Arial" w:cs="Arial" w:eastAsia="Arial" w:hAnsi="Arial"/>
          <w:sz w:val="16"/>
          <w:szCs w:val="16"/>
          <w:color w:val="auto"/>
        </w:rPr>
        <w:t xml:space="preserve">, Tenant shall, upon the expiration or sooner termination of the Term, surrender the Premises to Landlord in as good a condition as existed when the Tenant Improvements are finally completed by Landlord, and with respect to Alterations, in substantially the same condition as existed on the date such Alterations are substantially completed by Tenant, ordinary wear and tear excepted; and shall, at Landlord’s request and Tenant’s sole cost and expense, remove all telephone and data systems, wiring and equipment from the Premises, and repair any damage to the Premises caused thereby. Landlord shall have no obligation to alter, remodel, improve, repair, decorate or paint the Premises or any part thereof, other than pursuant to the terms and provisions of the Work Letter or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39" w:lineRule="exact"/>
        <w:rPr>
          <w:sz w:val="20"/>
          <w:szCs w:val="20"/>
          <w:color w:val="auto"/>
        </w:rPr>
      </w:pPr>
    </w:p>
    <w:p>
      <w:pPr>
        <w:jc w:val="both"/>
        <w:ind w:firstLine="764"/>
        <w:spacing w:after="0" w:line="281" w:lineRule="auto"/>
        <w:rPr>
          <w:sz w:val="20"/>
          <w:szCs w:val="20"/>
          <w:color w:val="auto"/>
        </w:rPr>
      </w:pPr>
      <w:r>
        <w:rPr>
          <w:rFonts w:ascii="Arial" w:cs="Arial" w:eastAsia="Arial" w:hAnsi="Arial"/>
          <w:sz w:val="16"/>
          <w:szCs w:val="16"/>
          <w:color w:val="auto"/>
        </w:rPr>
        <w:t>18.3.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119"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18.4.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25"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 xml:space="preserve">18.5. This Article relates to repairs and maintenance arising in the ordinary course of operation of the Building and the Project. In the event of a casualty described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shall apply in lieu of this Article. In the event of eminent domain,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shall apply in lieu of this Article.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18.6. Costs incurred by Landlord pursuant to this Article shall constitute Operating Expenses.</w:t>
      </w:r>
    </w:p>
    <w:p>
      <w:pPr>
        <w:spacing w:after="0" w:line="165"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19.1. Subject to the immediately succeeding sentence, Tenant shall keep the Premises, the Building and the Project free from any liens arising out of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days after the filing thereof, at Tenant’s sole cost and expense.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8" w:name="page149"/>
    <w:bookmarkEnd w:id="148"/>
    <w:p>
      <w:pPr>
        <w:jc w:val="both"/>
        <w:ind w:firstLine="764"/>
        <w:spacing w:after="0" w:line="234" w:lineRule="auto"/>
        <w:rPr>
          <w:sz w:val="20"/>
          <w:szCs w:val="20"/>
          <w:color w:val="auto"/>
        </w:rPr>
      </w:pPr>
      <w:r>
        <w:rPr>
          <w:rFonts w:ascii="Arial" w:cs="Arial" w:eastAsia="Arial" w:hAnsi="Arial"/>
          <w:sz w:val="18"/>
          <w:szCs w:val="18"/>
          <w:color w:val="auto"/>
        </w:rPr>
        <w:t xml:space="preserve">19.2. Should Tenant fail to discharge or bond against any lien of the nature described in </w:t>
      </w:r>
      <w:r>
        <w:rPr>
          <w:rFonts w:ascii="Arial" w:cs="Arial" w:eastAsia="Arial" w:hAnsi="Arial"/>
          <w:sz w:val="18"/>
          <w:szCs w:val="18"/>
          <w:u w:val="single" w:color="auto"/>
          <w:color w:val="auto"/>
        </w:rPr>
        <w:t>Section 19.1</w:t>
      </w:r>
      <w:r>
        <w:rPr>
          <w:rFonts w:ascii="Arial" w:cs="Arial" w:eastAsia="Arial" w:hAnsi="Arial"/>
          <w:sz w:val="18"/>
          <w:szCs w:val="18"/>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compensate, save, defend (at Landlord’s option and with counsel reasonably acceptable to Landlord) and hold the Landlord Indemnitees harmless from and against any Claims arising from any such liens, including any administrative, court or other legal proceedings related to such liens.</w:t>
      </w:r>
    </w:p>
    <w:p>
      <w:pPr>
        <w:spacing w:after="0" w:line="150"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136" w:lineRule="exact"/>
        <w:rPr>
          <w:sz w:val="20"/>
          <w:szCs w:val="20"/>
          <w:color w:val="auto"/>
        </w:rPr>
      </w:pPr>
    </w:p>
    <w:p>
      <w:pPr>
        <w:jc w:val="both"/>
        <w:ind w:firstLine="8"/>
        <w:spacing w:after="0" w:line="263" w:lineRule="auto"/>
        <w:tabs>
          <w:tab w:leader="none" w:pos="26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Estoppel Certificate</w:t>
      </w:r>
      <w:r>
        <w:rPr>
          <w:rFonts w:ascii="Arial" w:cs="Arial" w:eastAsia="Arial" w:hAnsi="Arial"/>
          <w:sz w:val="16"/>
          <w:szCs w:val="16"/>
          <w:color w:val="auto"/>
        </w:rPr>
        <w:t xml:space="preserve">. Tenant shall, within ten (10) days after receipt of written notice from Landlord, execute, acknowledge and deliver a statement in writing substantially in the form attached to this Lease as </w:t>
      </w:r>
      <w:r>
        <w:rPr>
          <w:rFonts w:ascii="Arial" w:cs="Arial" w:eastAsia="Arial" w:hAnsi="Arial"/>
          <w:sz w:val="16"/>
          <w:szCs w:val="16"/>
          <w:u w:val="single" w:color="auto"/>
          <w:color w:val="auto"/>
        </w:rPr>
        <w:t>Exhibit J</w:t>
      </w:r>
      <w:r>
        <w:rPr>
          <w:rFonts w:ascii="Arial" w:cs="Arial" w:eastAsia="Arial" w:hAnsi="Arial"/>
          <w:sz w:val="16"/>
          <w:szCs w:val="16"/>
          <w:color w:val="auto"/>
        </w:rPr>
        <w:t>,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32" w:lineRule="exact"/>
        <w:rPr>
          <w:rFonts w:ascii="Arial" w:cs="Arial" w:eastAsia="Arial" w:hAnsi="Arial"/>
          <w:sz w:val="16"/>
          <w:szCs w:val="16"/>
          <w:color w:val="auto"/>
        </w:rPr>
      </w:pPr>
    </w:p>
    <w:p>
      <w:pPr>
        <w:ind w:left="280" w:hanging="272"/>
        <w:spacing w:after="0"/>
        <w:tabs>
          <w:tab w:leader="none" w:pos="2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21.1. Tenant shall not cause or permit any Hazardous Materials (as defined below) to be brought upon, kept or used in or about the Premises, the Building or the Project in violation of Applicable Laws by Tenant or any of its employees, agents, contractors or invitees (collectively with Tenant, each a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or (d) contamination of the Project occurs as a result of Hazardous Materials that are placed on or under or are released into the Project by a Tenant Party, then Tenant shall indemnify, compensate, save, defend (at Landlord’s option and with counsel reasonably acceptable to Landlord) and hold the Landlord Indemnitees harmless from and against any and all Claims of any kind or nature, including (w) diminution in value of the Project or any portion thereof, (x) damages for the loss or restriction on use of rentable or usable space or of any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49" w:name="page150"/>
    <w:bookmarkEnd w:id="149"/>
    <w:p>
      <w:pPr>
        <w:jc w:val="both"/>
        <w:spacing w:after="0" w:line="261" w:lineRule="auto"/>
        <w:rPr>
          <w:sz w:val="20"/>
          <w:szCs w:val="20"/>
          <w:color w:val="auto"/>
        </w:rPr>
      </w:pPr>
      <w:r>
        <w:rPr>
          <w:rFonts w:ascii="Arial" w:cs="Arial" w:eastAsia="Arial" w:hAnsi="Arial"/>
          <w:sz w:val="16"/>
          <w:szCs w:val="16"/>
          <w:color w:val="auto"/>
        </w:rPr>
        <w:t xml:space="preserve">amenity of the Project, (y) damages arising from any adverse impact on marketing of space in the Project or any portion thereof and (z) sums paid in settlement of Claims that arise before, during or after the Term as a result of such breach or contamination. This indemnification and compensation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Landlord’s written approval of such action shall first be obtained, which approval Landlord shall not unreasonably withhold;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140" w:lineRule="exact"/>
        <w:rPr>
          <w:sz w:val="20"/>
          <w:szCs w:val="20"/>
          <w:color w:val="auto"/>
        </w:rPr>
      </w:pPr>
    </w:p>
    <w:p>
      <w:pPr>
        <w:jc w:val="both"/>
        <w:ind w:firstLine="764"/>
        <w:spacing w:after="0" w:line="275" w:lineRule="auto"/>
        <w:rPr>
          <w:sz w:val="20"/>
          <w:szCs w:val="20"/>
          <w:color w:val="auto"/>
        </w:rPr>
      </w:pPr>
      <w:r>
        <w:rPr>
          <w:rFonts w:ascii="Arial" w:cs="Arial" w:eastAsia="Arial" w:hAnsi="Arial"/>
          <w:sz w:val="15"/>
          <w:szCs w:val="15"/>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Arial" w:cs="Arial" w:eastAsia="Arial" w:hAnsi="Arial"/>
          <w:sz w:val="15"/>
          <w:szCs w:val="15"/>
          <w:u w:val="single" w:color="auto"/>
          <w:color w:val="auto"/>
        </w:rPr>
        <w:t>Hazardous Materials Documents</w:t>
      </w:r>
      <w:r>
        <w:rPr>
          <w:rFonts w:ascii="Arial" w:cs="Arial" w:eastAsia="Arial" w:hAnsi="Arial"/>
          <w:sz w:val="15"/>
          <w:szCs w:val="15"/>
          <w:color w:val="auto"/>
        </w:rPr>
        <w:t>”). Tenant shall deliver to Landlord updated Hazardous Materials Documents, within fourteen (14) days after receipt of a written request therefor from Landlord, not more often than once per year, unless (m) there are any changes to the Hazardous Materials Documents or</w:t>
      </w:r>
    </w:p>
    <w:p>
      <w:pPr>
        <w:spacing w:after="0" w:line="6" w:lineRule="exact"/>
        <w:rPr>
          <w:sz w:val="20"/>
          <w:szCs w:val="20"/>
          <w:color w:val="auto"/>
        </w:rPr>
      </w:pPr>
    </w:p>
    <w:p>
      <w:pPr>
        <w:jc w:val="both"/>
        <w:ind w:firstLine="8"/>
        <w:spacing w:after="0" w:line="259" w:lineRule="auto"/>
        <w:tabs>
          <w:tab w:leader="none" w:pos="27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Tenant initiates any Alterations or changes its business, in either case in a way that involves any material increase in the types or amounts of Hazardous Materials.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Hazardous Materials Documents containing information of a proprietary nature, which Hazardous Materials Documents, in and of themselves, do not contain a reference to any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0" w:name="page151"/>
    <w:bookmarkEnd w:id="150"/>
    <w:p>
      <w:pPr>
        <w:jc w:val="both"/>
        <w:spacing w:after="0" w:line="306" w:lineRule="auto"/>
        <w:rPr>
          <w:sz w:val="20"/>
          <w:szCs w:val="20"/>
          <w:color w:val="auto"/>
        </w:rPr>
      </w:pPr>
      <w:r>
        <w:rPr>
          <w:rFonts w:ascii="Arial" w:cs="Arial" w:eastAsia="Arial" w:hAnsi="Arial"/>
          <w:sz w:val="16"/>
          <w:szCs w:val="16"/>
          <w:color w:val="auto"/>
        </w:rPr>
        <w:t>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100"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21.3. Tenant represents and warrants to Landlord that it is not nor has it been, in connection with the use, disposal or storage of Hazardous Materials, (a) subject to a material enforcement order issued by any Governmental Authority or (b) required to take any remedial action.</w:t>
      </w:r>
    </w:p>
    <w:p>
      <w:pPr>
        <w:spacing w:after="0" w:line="100"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21.4. Upon at least two (2) business days prior written notice to Tenant (unless Landlord reasonably believes testing must be completed sooner), prior to the expiration of the Term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this Lease.</w:t>
      </w:r>
    </w:p>
    <w:p>
      <w:pPr>
        <w:spacing w:after="0" w:line="152"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2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21.6. Tenant shall promptly report to Landlord any actual or suspected presence of mold or water intrusion at the Premises.</w:t>
      </w:r>
    </w:p>
    <w:p>
      <w:pPr>
        <w:spacing w:after="0" w:line="165"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Arial" w:cs="Arial" w:eastAsia="Arial" w:hAnsi="Arial"/>
          <w:sz w:val="18"/>
          <w:szCs w:val="18"/>
          <w:u w:val="single" w:color="auto"/>
          <w:color w:val="auto"/>
        </w:rPr>
        <w:t>Article 27</w:t>
      </w:r>
      <w:r>
        <w:rPr>
          <w:rFonts w:ascii="Arial" w:cs="Arial" w:eastAsia="Arial" w:hAnsi="Arial"/>
          <w:sz w:val="18"/>
          <w:szCs w:val="18"/>
          <w:color w:val="auto"/>
        </w:rPr>
        <w:t>.</w:t>
      </w:r>
    </w:p>
    <w:p>
      <w:pPr>
        <w:spacing w:after="0" w:line="153"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21.8. As used herein, the term “</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any toxic, explosive, corrosive, flammable, infectious, radioactive, carcinogenic, mutagenic or otherwise hazardous substance, material or waste that is or becomes regulated by Applicable Laws or any Governmental Authority.</w:t>
      </w:r>
    </w:p>
    <w:p>
      <w:pPr>
        <w:spacing w:after="0" w:line="100"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21.9. Notwithstanding anything to the contrary in this Lease, Landlord shall have sole control over the equitable allocation of fire control areas (as defined in the Uniform Building Code as adopted by the city or municipality(ies) in which the Project is located (the “</w:t>
      </w:r>
      <w:r>
        <w:rPr>
          <w:rFonts w:ascii="Arial" w:cs="Arial" w:eastAsia="Arial" w:hAnsi="Arial"/>
          <w:sz w:val="16"/>
          <w:szCs w:val="16"/>
          <w:u w:val="single" w:color="auto"/>
          <w:color w:val="auto"/>
        </w:rPr>
        <w:t>UBC</w:t>
      </w:r>
      <w:r>
        <w:rPr>
          <w:rFonts w:ascii="Arial" w:cs="Arial" w:eastAsia="Arial" w:hAnsi="Arial"/>
          <w:sz w:val="16"/>
          <w:szCs w:val="16"/>
          <w:color w:val="auto"/>
        </w:rPr>
        <w:t xml:space="preserve">”)) within the Project for the storage of Hazardous Materials. Notwithstanding anything to the contrary in this Lease, the quantity of Hazardous Materials allowed by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is specific to Tenant and shall not run with the Lease in the event of a Transfer (as defined in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Tenant shall have the exclusive license to use the control area depicted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to this Lease and designated as “Control Area 3” and the non-exclusive license to use the control areas depicted on Exhibit A and designated as “Control Area 1” and “Control Area 4” thereon (collectively, the “</w:t>
      </w:r>
      <w:r>
        <w:rPr>
          <w:rFonts w:ascii="Arial" w:cs="Arial" w:eastAsia="Arial" w:hAnsi="Arial"/>
          <w:sz w:val="16"/>
          <w:szCs w:val="16"/>
          <w:u w:val="single" w:color="auto"/>
          <w:color w:val="auto"/>
        </w:rPr>
        <w:t>Control Areas</w:t>
      </w:r>
      <w:r>
        <w:rPr>
          <w:rFonts w:ascii="Arial" w:cs="Arial" w:eastAsia="Arial" w:hAnsi="Arial"/>
          <w:sz w:val="16"/>
          <w:szCs w:val="16"/>
          <w:color w:val="auto"/>
        </w:rPr>
        <w:t>”), and Tenant’s use of such Control Areas shall be subject to any limitations set forth thereon. The license granted by Landlord in the immediately foregoing sentence is revocable by Landlord for any reason or no reason, in Landlord’s sole and absolute discretion, provided, however, if Landlord revokes said license, then it will provide to Tenant another control area(s) in the Building in accordance with Tenant’s Pro Rata Share of the Building. In the event of a Transfer, if the use of Hazardous Materials by such new tenant (“</w:t>
      </w:r>
      <w:r>
        <w:rPr>
          <w:rFonts w:ascii="Arial" w:cs="Arial" w:eastAsia="Arial" w:hAnsi="Arial"/>
          <w:sz w:val="16"/>
          <w:szCs w:val="16"/>
          <w:u w:val="single" w:color="auto"/>
          <w:color w:val="auto"/>
        </w:rPr>
        <w:t>New Tenant</w:t>
      </w:r>
      <w:r>
        <w:rPr>
          <w:rFonts w:ascii="Arial" w:cs="Arial" w:eastAsia="Arial" w:hAnsi="Arial"/>
          <w:sz w:val="16"/>
          <w:szCs w:val="16"/>
          <w:color w:val="auto"/>
        </w:rPr>
        <w:t>”) is such that New Tenant utilizes fire control areas in excess of New Tenant’s Pro Rata Share of the Building, then New Tenant shall, at its sole cost and expense and upon Landlord’s written request, establish and maintain 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1" w:name="page152"/>
    <w:bookmarkEnd w:id="151"/>
    <w:p>
      <w:pPr>
        <w:jc w:val="both"/>
        <w:spacing w:after="0" w:line="234" w:lineRule="auto"/>
        <w:rPr>
          <w:sz w:val="20"/>
          <w:szCs w:val="20"/>
          <w:color w:val="auto"/>
        </w:rPr>
      </w:pPr>
      <w:r>
        <w:rPr>
          <w:rFonts w:ascii="Arial" w:cs="Arial" w:eastAsia="Arial" w:hAnsi="Arial"/>
          <w:sz w:val="18"/>
          <w:szCs w:val="18"/>
          <w:color w:val="auto"/>
        </w:rPr>
        <w:t>separate area of the Premises classified by the UBC as an “H” occupancy area for the use and storage of Hazardous Materials, or take such other action as is necessary to ensure that its share of the fire control areas of the Building is not greater than New Tenant’s Pro Rata Share of the Building.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44" w:lineRule="exact"/>
        <w:rPr>
          <w:sz w:val="20"/>
          <w:szCs w:val="20"/>
          <w:color w:val="auto"/>
        </w:rPr>
      </w:pPr>
    </w:p>
    <w:p>
      <w:pPr>
        <w:jc w:val="both"/>
        <w:ind w:firstLine="8"/>
        <w:spacing w:after="0" w:line="275" w:lineRule="auto"/>
        <w:tabs>
          <w:tab w:leader="none" w:pos="306"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Odors and Exhaust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including in Tenant’s Vivarium and in the Manufacturing Area. Landlord and Tenant therefore agree as follows:</w:t>
      </w:r>
    </w:p>
    <w:p>
      <w:pPr>
        <w:spacing w:after="0" w:line="1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22.1. Tenant shall not cause or permit (or conduct any activities that would cause) any release of any odors or fumes of any kind from the Premises.</w:t>
      </w:r>
    </w:p>
    <w:p>
      <w:pPr>
        <w:spacing w:after="0" w:line="188" w:lineRule="exact"/>
        <w:rPr>
          <w:sz w:val="20"/>
          <w:szCs w:val="20"/>
          <w:color w:val="auto"/>
        </w:rPr>
      </w:pPr>
    </w:p>
    <w:p>
      <w:pPr>
        <w:jc w:val="both"/>
        <w:ind w:firstLine="764"/>
        <w:spacing w:after="0" w:line="287" w:lineRule="auto"/>
        <w:rPr>
          <w:sz w:val="20"/>
          <w:szCs w:val="20"/>
          <w:color w:val="auto"/>
        </w:rPr>
      </w:pPr>
      <w:r>
        <w:rPr>
          <w:rFonts w:ascii="Arial" w:cs="Arial" w:eastAsia="Arial" w:hAnsi="Arial"/>
          <w:sz w:val="15"/>
          <w:szCs w:val="15"/>
          <w:color w:val="auto"/>
        </w:rPr>
        <w:t>22.2.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119"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152"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22.4. Tenant’s responsibility to remove, eliminate and abate odors, fumes and exhaust shall continue throughout the Term. Landlord’s construction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152"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2" w:name="page153"/>
    <w:bookmarkEnd w:id="152"/>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Insurance; Waivers of Subrogation</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 xml:space="preserve">23.1. Landlord shall maintain insurance for the Building and the Project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or such lesser coverage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coverage shall not be less than the 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136"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23.2. In addition, Landlord shall carry Commercial General Liability insurance with limits of not less than One Million Dollars ($1,000,000) per occurrence/general aggregate for bodily injury (including death), or property damage with respect to the Project.</w:t>
      </w:r>
    </w:p>
    <w:p>
      <w:pPr>
        <w:spacing w:after="0" w:line="146"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23.3.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100" w:lineRule="exact"/>
        <w:rPr>
          <w:sz w:val="20"/>
          <w:szCs w:val="20"/>
          <w:color w:val="auto"/>
        </w:rPr>
      </w:pPr>
    </w:p>
    <w:p>
      <w:pPr>
        <w:jc w:val="both"/>
        <w:ind w:firstLine="1153"/>
        <w:spacing w:after="0" w:line="273" w:lineRule="auto"/>
        <w:tabs>
          <w:tab w:leader="none" w:pos="138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$2,000,000 for bodily injury and property damage per occurrence, $2,000,000 general aggregate, which limits may be met by use of excess and/or umbrella liability insurance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coverage is at least as broad as the primary coverages required herein.</w:t>
      </w:r>
    </w:p>
    <w:p>
      <w:pPr>
        <w:spacing w:after="0" w:line="125" w:lineRule="exact"/>
        <w:rPr>
          <w:rFonts w:ascii="Arial" w:cs="Arial" w:eastAsia="Arial" w:hAnsi="Arial"/>
          <w:sz w:val="16"/>
          <w:szCs w:val="16"/>
          <w:color w:val="auto"/>
        </w:rPr>
      </w:pPr>
    </w:p>
    <w:p>
      <w:pPr>
        <w:jc w:val="both"/>
        <w:ind w:firstLine="1153"/>
        <w:spacing w:after="0" w:line="237" w:lineRule="auto"/>
        <w:tabs>
          <w:tab w:leader="none" w:pos="14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Commercial Automobile Liability insurance covering liability arising from the use or operation of any auto, including those owned, hired or otherwise operated or used by or on behalf of the Tenant. The coverage shall be on a broad-based occurrence form with combined single limits of not less than $1,000,000 per accident for bodily injury and property damage.</w:t>
      </w:r>
    </w:p>
    <w:p>
      <w:pPr>
        <w:spacing w:after="0" w:line="152" w:lineRule="exact"/>
        <w:rPr>
          <w:rFonts w:ascii="Arial" w:cs="Arial" w:eastAsia="Arial" w:hAnsi="Arial"/>
          <w:sz w:val="18"/>
          <w:szCs w:val="18"/>
          <w:color w:val="auto"/>
        </w:rPr>
      </w:pPr>
    </w:p>
    <w:p>
      <w:pPr>
        <w:jc w:val="both"/>
        <w:ind w:firstLine="1153"/>
        <w:spacing w:after="0" w:line="263" w:lineRule="auto"/>
        <w:tabs>
          <w:tab w:leader="none" w:pos="138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Arial" w:cs="Arial" w:eastAsia="Arial" w:hAnsi="Arial"/>
          <w:sz w:val="16"/>
          <w:szCs w:val="16"/>
          <w:u w:val="single" w:color="auto"/>
          <w:color w:val="auto"/>
        </w:rPr>
        <w:t>Section 23.1</w:t>
      </w:r>
      <w:r>
        <w:rPr>
          <w:rFonts w:ascii="Arial" w:cs="Arial" w:eastAsia="Arial" w:hAnsi="Arial"/>
          <w:sz w:val="16"/>
          <w:szCs w:val="16"/>
          <w:color w:val="auto"/>
        </w:rPr>
        <w:t>)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Alterations or other work performed on the Premises by Tenant (collectively, “</w:t>
      </w:r>
      <w:r>
        <w:rPr>
          <w:rFonts w:ascii="Arial" w:cs="Arial" w:eastAsia="Arial" w:hAnsi="Arial"/>
          <w:sz w:val="16"/>
          <w:szCs w:val="16"/>
          <w:u w:val="single" w:color="auto"/>
          <w:color w:val="auto"/>
        </w:rPr>
        <w:t>Tenant Work</w:t>
      </w:r>
      <w:r>
        <w:rPr>
          <w:rFonts w:ascii="Arial" w:cs="Arial" w:eastAsia="Arial" w:hAnsi="Arial"/>
          <w:sz w:val="16"/>
          <w:szCs w:val="16"/>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flood, terrorism and such other risks Landlord may from time to time designate, for the full replacement cost value of the covered items with an agreed amount endorsement with no co-insurance. Business interruption coverage shall have limits sufficient to cover Tenant’s lost profits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153" w:name="page154"/>
    <w:bookmarkEnd w:id="153"/>
    <w:p>
      <w:pPr>
        <w:spacing w:after="0" w:line="245" w:lineRule="auto"/>
        <w:rPr>
          <w:sz w:val="20"/>
          <w:szCs w:val="20"/>
          <w:color w:val="auto"/>
        </w:rPr>
      </w:pPr>
      <w:r>
        <w:rPr>
          <w:rFonts w:ascii="Arial" w:cs="Arial" w:eastAsia="Arial" w:hAnsi="Arial"/>
          <w:sz w:val="18"/>
          <w:szCs w:val="18"/>
          <w:color w:val="auto"/>
        </w:rPr>
        <w:t>and necessary continuing expenses, including rents due Landlord under the Lease. The minimum period of indemnity for business interruption coverage shall be twelve (12) months.</w:t>
      </w:r>
    </w:p>
    <w:p>
      <w:pPr>
        <w:spacing w:after="0" w:line="146" w:lineRule="exact"/>
        <w:rPr>
          <w:sz w:val="20"/>
          <w:szCs w:val="20"/>
          <w:color w:val="auto"/>
        </w:rPr>
      </w:pPr>
    </w:p>
    <w:p>
      <w:pPr>
        <w:jc w:val="both"/>
        <w:ind w:firstLine="1153"/>
        <w:spacing w:after="0" w:line="237" w:lineRule="auto"/>
        <w:tabs>
          <w:tab w:leader="none" w:pos="141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Workers’ Compensation insurance as is required by statute or law, or as may be available on a voluntary basis and Employers’ Liability insurance with limits of not less than the following: each accident, Five Hundred Thousand Dollars ($500,000); disease ($500,000); disease (each employee), Five Hundred Thousand Dollars ($500,000).</w:t>
      </w:r>
    </w:p>
    <w:p>
      <w:pPr>
        <w:spacing w:after="0" w:line="152" w:lineRule="exact"/>
        <w:rPr>
          <w:rFonts w:ascii="Arial" w:cs="Arial" w:eastAsia="Arial" w:hAnsi="Arial"/>
          <w:sz w:val="18"/>
          <w:szCs w:val="18"/>
          <w:color w:val="auto"/>
        </w:rPr>
      </w:pPr>
    </w:p>
    <w:p>
      <w:pPr>
        <w:jc w:val="both"/>
        <w:ind w:firstLine="1153"/>
        <w:spacing w:after="0" w:line="282" w:lineRule="auto"/>
        <w:tabs>
          <w:tab w:leader="none" w:pos="1409" w:val="left"/>
        </w:tabs>
        <w:numPr>
          <w:ilvl w:val="0"/>
          <w:numId w:val="117"/>
        </w:numPr>
        <w:rPr>
          <w:rFonts w:ascii="Arial" w:cs="Arial" w:eastAsia="Arial" w:hAnsi="Arial"/>
          <w:sz w:val="15"/>
          <w:szCs w:val="15"/>
          <w:color w:val="auto"/>
        </w:rPr>
      </w:pPr>
      <w:r>
        <w:rPr>
          <w:rFonts w:ascii="Arial" w:cs="Arial" w:eastAsia="Arial" w:hAnsi="Arial"/>
          <w:sz w:val="15"/>
          <w:szCs w:val="15"/>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 Coverage shall be maintained with limits of not less than $1,000,000 per incident with a $2,000,000 policy aggregate and for a period of two (2) years thereafter.</w:t>
      </w:r>
    </w:p>
    <w:p>
      <w:pPr>
        <w:spacing w:after="0" w:line="123" w:lineRule="exact"/>
        <w:rPr>
          <w:rFonts w:ascii="Arial" w:cs="Arial" w:eastAsia="Arial" w:hAnsi="Arial"/>
          <w:sz w:val="15"/>
          <w:szCs w:val="15"/>
          <w:color w:val="auto"/>
        </w:rPr>
      </w:pPr>
    </w:p>
    <w:p>
      <w:pPr>
        <w:ind w:firstLine="1153"/>
        <w:spacing w:after="0" w:line="245" w:lineRule="auto"/>
        <w:tabs>
          <w:tab w:leader="none" w:pos="13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During all construction by Tenant at the Premises, with respect to tenant improvements being constructed (including any Alterations, insurance required in </w:t>
      </w:r>
      <w:r>
        <w:rPr>
          <w:rFonts w:ascii="Arial" w:cs="Arial" w:eastAsia="Arial" w:hAnsi="Arial"/>
          <w:sz w:val="18"/>
          <w:szCs w:val="18"/>
          <w:u w:val="single" w:color="auto"/>
          <w:color w:val="auto"/>
        </w:rPr>
        <w:t>Exhibit B-5</w:t>
      </w:r>
      <w:r>
        <w:rPr>
          <w:rFonts w:ascii="Arial" w:cs="Arial" w:eastAsia="Arial" w:hAnsi="Arial"/>
          <w:sz w:val="18"/>
          <w:szCs w:val="18"/>
          <w:color w:val="auto"/>
        </w:rPr>
        <w:t xml:space="preserve"> must be in place.</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 except after twenty (20)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 shall, prior to the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and Umbrella Liability and Pollution Legal Liability insurance as required above shall name Landlord, BioMed Realty, L.P., and BioMed Realty Trust, Inc., and their respective officers, employees, agents, general partners, members, subsidiaries, affiliates and Lenders (“</w:t>
      </w:r>
      <w:r>
        <w:rPr>
          <w:rFonts w:ascii="Arial" w:cs="Arial" w:eastAsia="Arial" w:hAnsi="Arial"/>
          <w:sz w:val="16"/>
          <w:szCs w:val="16"/>
          <w:u w:val="single" w:color="auto"/>
          <w:color w:val="auto"/>
        </w:rPr>
        <w:t>Landlord Parties</w:t>
      </w:r>
      <w:r>
        <w:rPr>
          <w:rFonts w:ascii="Arial" w:cs="Arial" w:eastAsia="Arial" w:hAnsi="Arial"/>
          <w:sz w:val="16"/>
          <w:szCs w:val="16"/>
          <w:color w:val="auto"/>
        </w:rPr>
        <w:t>”) as additional insureds as respects liability arising from work or operations performed by or on behalf of Tenant, Tenant’s use or occupancy of Premises, and ownership, maintenance or use of vehicles by or on behalf of Tenant.</w:t>
      </w:r>
    </w:p>
    <w:p>
      <w:pPr>
        <w:spacing w:after="0" w:line="141"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23.4.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 or the Project, (b)</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4" w:name="page155"/>
    <w:bookmarkEnd w:id="154"/>
    <w:p>
      <w:pPr>
        <w:jc w:val="both"/>
        <w:spacing w:after="0" w:line="306" w:lineRule="auto"/>
        <w:rPr>
          <w:sz w:val="20"/>
          <w:szCs w:val="20"/>
          <w:color w:val="auto"/>
        </w:rPr>
      </w:pPr>
      <w:r>
        <w:rPr>
          <w:rFonts w:ascii="Arial" w:cs="Arial" w:eastAsia="Arial" w:hAnsi="Arial"/>
          <w:sz w:val="16"/>
          <w:szCs w:val="16"/>
          <w:color w:val="auto"/>
        </w:rPr>
        <w:t>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w:t>
      </w:r>
    </w:p>
    <w:p>
      <w:pPr>
        <w:spacing w:after="0" w:line="100"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23.5.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152"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23.6. Each party and its insurers hereby waive any and all rights of recovery or subrogation against the other party (and Tenant and its insurers hereby waive any and all rights of recovery or subrogation against the Landlord Parties) with respect to any loss, damage, claims, suits or demands, howsoever caused, that are covered, or should have been covered, by valid and collectible insurance, including any deductibles or self-insurance maintained thereunder. If necessary, the parties agree to endorse the required insurance policies to permit waivers of subrogation as required hereunder and hold harmless and indemnify each other (and the Landlord Parties) for any loss or expense incurred as a result of a failure to obtain such waivers of subrogation from insurers.</w:t>
      </w:r>
    </w:p>
    <w:p>
      <w:pPr>
        <w:spacing w:after="0" w:line="128"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23.7. Landlord may require insurance policy limits required under this Lease to be raised to conform with requirements of Landlord’s Lender or to bring coverage limits to levels then being required of new tenants within the Project.</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23.8. Any costs incurred by Landlord pursuant to this Article shall constitute a portion of Operating Expenses.</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23.9. The provisions of this Section shall survive the expiration or earlier termination of this Lease.</w:t>
      </w:r>
    </w:p>
    <w:p>
      <w:pPr>
        <w:spacing w:after="0" w:line="165"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24.1. In the event of a partial destruction of (a) the Premises or (b) Common Area of the Building or the Project ((a) and (b) together, the “</w:t>
      </w:r>
      <w:r>
        <w:rPr>
          <w:rFonts w:ascii="Arial" w:cs="Arial" w:eastAsia="Arial" w:hAnsi="Arial"/>
          <w:sz w:val="16"/>
          <w:szCs w:val="16"/>
          <w:u w:val="single" w:color="auto"/>
          <w:color w:val="auto"/>
        </w:rPr>
        <w:t>Affected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Areas</w:t>
      </w:r>
      <w:r>
        <w:rPr>
          <w:rFonts w:ascii="Arial" w:cs="Arial" w:eastAsia="Arial" w:hAnsi="Arial"/>
          <w:sz w:val="16"/>
          <w:szCs w:val="16"/>
          <w:color w:val="auto"/>
        </w:rPr>
        <w:t xml:space="preserve">”) by fire or other perils covered by extended coverage insurance not exceeding twenty-five percent (25%) of the full insurable value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damage thereto is such that the Affected Areas may be repaired, reconstructed or restored within a period of six (6) months from the date of the happening of such casualty, (y) Landlord shall receive insurance proceeds sufficient to cover the cost of such repairs, reconstruction and restoration (except for any deductible amount provided by Landlord’s policy, which deductible amount, if paid by Landlord, shall constitute an Operating Expense) and (z) such casualty was not intentionally caused by a Tenant Party, then Landlord shall commence and proceed diligently with the work of repair, reconstruction and restoration of the Affected Areas and this Lease shall continue in full force and effect.</w:t>
      </w:r>
    </w:p>
    <w:p>
      <w:pPr>
        <w:spacing w:after="0" w:line="131" w:lineRule="exact"/>
        <w:rPr>
          <w:sz w:val="20"/>
          <w:szCs w:val="20"/>
          <w:color w:val="auto"/>
        </w:rPr>
      </w:pPr>
    </w:p>
    <w:p>
      <w:pPr>
        <w:jc w:val="both"/>
        <w:ind w:firstLine="764"/>
        <w:spacing w:after="0" w:line="232" w:lineRule="auto"/>
        <w:rPr>
          <w:sz w:val="20"/>
          <w:szCs w:val="20"/>
          <w:color w:val="auto"/>
        </w:rPr>
      </w:pPr>
      <w:r>
        <w:rPr>
          <w:rFonts w:ascii="Arial" w:cs="Arial" w:eastAsia="Arial" w:hAnsi="Arial"/>
          <w:sz w:val="18"/>
          <w:szCs w:val="18"/>
          <w:color w:val="auto"/>
        </w:rPr>
        <w:t xml:space="preserve">24.2. In the event of any damage to or destruction of the Building or the Project other than as described in </w:t>
      </w:r>
      <w:r>
        <w:rPr>
          <w:rFonts w:ascii="Arial" w:cs="Arial" w:eastAsia="Arial" w:hAnsi="Arial"/>
          <w:sz w:val="18"/>
          <w:szCs w:val="18"/>
          <w:u w:val="single" w:color="auto"/>
          <w:color w:val="auto"/>
        </w:rPr>
        <w:t>Section 24.1</w:t>
      </w:r>
      <w:r>
        <w:rPr>
          <w:rFonts w:ascii="Arial" w:cs="Arial" w:eastAsia="Arial" w:hAnsi="Arial"/>
          <w:sz w:val="18"/>
          <w:szCs w:val="18"/>
          <w:color w:val="auto"/>
        </w:rPr>
        <w:t xml:space="preserve">, Landlord may elect to repair, reconstruct and restore the Building or the Project, as applicable, in which case this Lease shall continue in full force and effect. If Landlord elects not to repair, reconstruct and restore the Building or the Project, as applicable, then this Lease shall terminate as of the date of such damage or destruction. In the event of any damage or destruction (regardless of whether such damage is governed by </w:t>
      </w:r>
      <w:r>
        <w:rPr>
          <w:rFonts w:ascii="Arial" w:cs="Arial" w:eastAsia="Arial" w:hAnsi="Arial"/>
          <w:sz w:val="18"/>
          <w:szCs w:val="18"/>
          <w:u w:val="single" w:color="auto"/>
          <w:color w:val="auto"/>
        </w:rPr>
        <w:t>Section 24.1</w:t>
      </w:r>
      <w:r>
        <w:rPr>
          <w:rFonts w:ascii="Arial" w:cs="Arial" w:eastAsia="Arial" w:hAnsi="Arial"/>
          <w:sz w:val="18"/>
          <w:szCs w:val="18"/>
          <w:color w:val="auto"/>
        </w:rPr>
        <w:t xml:space="preserve"> or this Section), if (a) in Landlord’s determination as set forth in the Damage Repair Estimate (as defined below), the Affected Areas cannot be repaired, reconstructed or restored within twelve (12) months after the date of the Damage Repair Estimate, (b) subject to </w:t>
      </w:r>
      <w:r>
        <w:rPr>
          <w:rFonts w:ascii="Arial" w:cs="Arial" w:eastAsia="Arial" w:hAnsi="Arial"/>
          <w:sz w:val="18"/>
          <w:szCs w:val="18"/>
          <w:u w:val="single" w:color="auto"/>
          <w:color w:val="auto"/>
        </w:rPr>
        <w:t>Section 24.6</w:t>
      </w:r>
      <w:r>
        <w:rPr>
          <w:rFonts w:ascii="Arial" w:cs="Arial" w:eastAsia="Arial" w:hAnsi="Arial"/>
          <w:sz w:val="18"/>
          <w:szCs w:val="18"/>
          <w:color w:val="auto"/>
        </w:rPr>
        <w:t>, the Affected Areas are not actually repaired, reconstructed and restored within eighteen (18) months after the date of the Damage Repair Estimate,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5" w:name="page156"/>
    <w:bookmarkEnd w:id="155"/>
    <w:p>
      <w:pPr>
        <w:jc w:val="both"/>
        <w:spacing w:after="0" w:line="283" w:lineRule="auto"/>
        <w:rPr>
          <w:sz w:val="20"/>
          <w:szCs w:val="20"/>
          <w:color w:val="auto"/>
        </w:rPr>
      </w:pPr>
      <w:r>
        <w:rPr>
          <w:rFonts w:ascii="Arial" w:cs="Arial" w:eastAsia="Arial" w:hAnsi="Arial"/>
          <w:sz w:val="15"/>
          <w:szCs w:val="15"/>
          <w:color w:val="auto"/>
        </w:rPr>
        <w:t>or (c) the damage and destruction occurs within the last twelve (12) months of the then-current Term, then Tenant shall have the right to terminate this Lease, effective as of the date of such damage or destruction, by delivering to Landlord its written notice of termination (a “</w:t>
      </w:r>
      <w:r>
        <w:rPr>
          <w:rFonts w:ascii="Arial" w:cs="Arial" w:eastAsia="Arial" w:hAnsi="Arial"/>
          <w:sz w:val="15"/>
          <w:szCs w:val="15"/>
          <w:u w:val="single" w:color="auto"/>
          <w:color w:val="auto"/>
        </w:rPr>
        <w:t>Termination Notice</w:t>
      </w:r>
      <w:r>
        <w:rPr>
          <w:rFonts w:ascii="Arial" w:cs="Arial" w:eastAsia="Arial" w:hAnsi="Arial"/>
          <w:sz w:val="15"/>
          <w:szCs w:val="15"/>
          <w:color w:val="auto"/>
        </w:rPr>
        <w:t xml:space="preserve">”) (y) with respect to </w:t>
      </w:r>
      <w:r>
        <w:rPr>
          <w:rFonts w:ascii="Arial" w:cs="Arial" w:eastAsia="Arial" w:hAnsi="Arial"/>
          <w:sz w:val="15"/>
          <w:szCs w:val="15"/>
          <w:u w:val="single" w:color="auto"/>
          <w:color w:val="auto"/>
        </w:rPr>
        <w:t>Subsections 24.2(a)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xml:space="preserve">, no later than thirty (30) days after Landlord delivers to Tenant Landlord’s Damage Repair Estimate and (z) with respect to </w:t>
      </w:r>
      <w:r>
        <w:rPr>
          <w:rFonts w:ascii="Arial" w:cs="Arial" w:eastAsia="Arial" w:hAnsi="Arial"/>
          <w:sz w:val="15"/>
          <w:szCs w:val="15"/>
          <w:u w:val="single" w:color="auto"/>
          <w:color w:val="auto"/>
        </w:rPr>
        <w:t>Subsection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24.2(b)</w:t>
      </w:r>
      <w:r>
        <w:rPr>
          <w:rFonts w:ascii="Arial" w:cs="Arial" w:eastAsia="Arial" w:hAnsi="Arial"/>
          <w:sz w:val="15"/>
          <w:szCs w:val="15"/>
          <w:color w:val="auto"/>
        </w:rPr>
        <w:t xml:space="preserve">, no later than thirty (30) days after such eighteen (18) month period (as the same may be extended pursuant to </w:t>
      </w:r>
      <w:r>
        <w:rPr>
          <w:rFonts w:ascii="Arial" w:cs="Arial" w:eastAsia="Arial" w:hAnsi="Arial"/>
          <w:sz w:val="15"/>
          <w:szCs w:val="15"/>
          <w:u w:val="single" w:color="auto"/>
          <w:color w:val="auto"/>
        </w:rPr>
        <w:t>Section 24.6</w:t>
      </w:r>
      <w:r>
        <w:rPr>
          <w:rFonts w:ascii="Arial" w:cs="Arial" w:eastAsia="Arial" w:hAnsi="Arial"/>
          <w:sz w:val="15"/>
          <w:szCs w:val="15"/>
          <w:color w:val="auto"/>
        </w:rPr>
        <w:t xml:space="preserve">) expires. If Tenant provides Landlord with a Termination Notice pursuant to </w:t>
      </w:r>
      <w:r>
        <w:rPr>
          <w:rFonts w:ascii="Arial" w:cs="Arial" w:eastAsia="Arial" w:hAnsi="Arial"/>
          <w:sz w:val="15"/>
          <w:szCs w:val="15"/>
          <w:u w:val="single" w:color="auto"/>
          <w:color w:val="auto"/>
        </w:rPr>
        <w:t>Subsection 24.2(z)</w:t>
      </w:r>
      <w:r>
        <w:rPr>
          <w:rFonts w:ascii="Arial" w:cs="Arial" w:eastAsia="Arial" w:hAnsi="Arial"/>
          <w:sz w:val="15"/>
          <w:szCs w:val="15"/>
          <w:color w:val="auto"/>
        </w:rPr>
        <w:t>, Landlord shall have an additional thirty (30) days after receipt of such Termination Notice to complete the repair, reconstruction and restoration. If Landlord does not complete such repair, reconstruction and restoration within such thirty (30) day period, then Tenant may terminate this Lease by giving Landlord written notice within two (2) business days after the expiration of such thirty (30) day period. If Landlord does complete such repair, reconstruction and restoration within such thirty (30) day period, then this Lease shall continue in full force and effect.</w:t>
      </w:r>
    </w:p>
    <w:p>
      <w:pPr>
        <w:spacing w:after="0" w:line="123"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24.3.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Arial" w:cs="Arial" w:eastAsia="Arial" w:hAnsi="Arial"/>
          <w:sz w:val="16"/>
          <w:szCs w:val="16"/>
          <w:u w:val="single" w:color="auto"/>
          <w:color w:val="auto"/>
        </w:rPr>
        <w:t>Damage Repair</w:t>
      </w:r>
      <w:r>
        <w:rPr>
          <w:rFonts w:ascii="Arial" w:cs="Arial" w:eastAsia="Arial" w:hAnsi="Arial"/>
          <w:sz w:val="16"/>
          <w:szCs w:val="16"/>
          <w:color w:val="auto"/>
        </w:rPr>
        <w:t xml:space="preserve"> </w:t>
      </w:r>
      <w:r>
        <w:rPr>
          <w:rFonts w:ascii="Arial" w:cs="Arial" w:eastAsia="Arial" w:hAnsi="Arial"/>
          <w:sz w:val="16"/>
          <w:szCs w:val="16"/>
          <w:u w:val="single" w:color="auto"/>
          <w:color w:val="auto"/>
        </w:rPr>
        <w:t>Estimate</w:t>
      </w:r>
      <w:r>
        <w:rPr>
          <w:rFonts w:ascii="Arial" w:cs="Arial" w:eastAsia="Arial" w:hAnsi="Arial"/>
          <w:sz w:val="16"/>
          <w:szCs w:val="16"/>
          <w:color w:val="auto"/>
        </w:rPr>
        <w:t>”),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128" w:lineRule="exact"/>
        <w:rPr>
          <w:sz w:val="20"/>
          <w:szCs w:val="20"/>
          <w:color w:val="auto"/>
        </w:rPr>
      </w:pPr>
    </w:p>
    <w:p>
      <w:pPr>
        <w:jc w:val="both"/>
        <w:ind w:firstLine="764"/>
        <w:spacing w:after="0" w:line="281" w:lineRule="auto"/>
        <w:rPr>
          <w:sz w:val="20"/>
          <w:szCs w:val="20"/>
          <w:color w:val="auto"/>
        </w:rPr>
      </w:pPr>
      <w:r>
        <w:rPr>
          <w:rFonts w:ascii="Arial" w:cs="Arial" w:eastAsia="Arial" w:hAnsi="Arial"/>
          <w:sz w:val="16"/>
          <w:szCs w:val="16"/>
          <w:color w:val="auto"/>
        </w:rPr>
        <w:t>24.4.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119" w:lineRule="exact"/>
        <w:rPr>
          <w:sz w:val="20"/>
          <w:szCs w:val="20"/>
          <w:color w:val="auto"/>
        </w:rPr>
      </w:pPr>
    </w:p>
    <w:p>
      <w:pPr>
        <w:jc w:val="both"/>
        <w:ind w:firstLine="764"/>
        <w:spacing w:after="0" w:line="233" w:lineRule="auto"/>
        <w:rPr>
          <w:sz w:val="20"/>
          <w:szCs w:val="20"/>
          <w:color w:val="auto"/>
        </w:rPr>
      </w:pPr>
      <w:r>
        <w:rPr>
          <w:rFonts w:ascii="Arial" w:cs="Arial" w:eastAsia="Arial" w:hAnsi="Arial"/>
          <w:sz w:val="18"/>
          <w:szCs w:val="18"/>
          <w:color w:val="auto"/>
        </w:rPr>
        <w:t xml:space="preserve">24.5.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amount of such abatement shall be reduced by the amount of Rent that is received by Tenant as part of the business interruption or loss of rental income with respect to the Premises from the proceeds of business interruption or loss of rental income insurance.</w:t>
      </w:r>
    </w:p>
    <w:p>
      <w:pPr>
        <w:spacing w:after="0" w:line="151"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 xml:space="preserve">24.6. Notwithstanding anything to the contrary contained in this Article, should Landlord be delayed or prevented from completing the repair, reconstruction or restoration of the damage or destruction to the Premises after the occurrence of such damage or destruction by Force Majeure or delays caused by a Tenant Party, then the time for Landlord to commence or complete repairs, reconstruction and restoration shall be extended on a day-for-day basis;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at Landlord’s election, Landlord shall be relieved of its obligation to make such repairs, reconstruction and restoration.</w:t>
      </w:r>
    </w:p>
    <w:p>
      <w:pPr>
        <w:spacing w:after="0" w:line="125"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24.7.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portion of the Affected Areas. The repairs, reconstruction or restoration of improvements not originally provided by Landlord or at Landlord’s expense shall be the obligation of Tenant. In the event Tenant has elected to upgrade certain improvements from the Building Standard, Landlord shall, upon the need for replacement due to an insured loss, provide only the Building Standard, unless Tenant again elects to upgrade such improvements and pay any incremental costs related thereto, except to the extent that excess insurance proceeds, if received, are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t>adequate to provide such upgrades, in addition to providing for basic repairs, reconstruction and restoration of the Premises, the Building and the Project.</w:t>
      </w:r>
    </w:p>
    <w:p>
      <w:pPr>
        <w:spacing w:after="0" w:line="188"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24.8. Notwithstanding anything to the contrary contained in this Article, Landlord shall not have any obligation whatsoever to repair, reconstruct or restore the Premises if the damage resulting from any casualty covered under this Article occurs during the last twenty-four (24) months of the Term or any extension thereof, or to the extent that insurance proceeds are not available therefor.</w:t>
      </w:r>
    </w:p>
    <w:p>
      <w:pPr>
        <w:spacing w:after="0" w:line="153"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24.9. Landlord’s obligation, should it elect or be obligated to repair, reconstruct or restore, shall be limited to the Affected Areas. Tenant shall, at its expense, replace or fully repair all of Tenant’s personal property and any Alterations installed by Tenant existing at the time of such damage or destruction. If Affected Areas are to be repaired, reconstructed or restored in accordance with the foregoing, Landlord shall make available to Tenant any portion of insurance proceeds it receives that are allocable to the Alterations constructed by Tenant pursuant to this Lease; provided Tenant is not then in default under this Lease, and subject to the requirements of any Lender of Landlord.</w:t>
      </w:r>
    </w:p>
    <w:p>
      <w:pPr>
        <w:spacing w:after="0" w:line="144" w:lineRule="exact"/>
        <w:rPr>
          <w:sz w:val="20"/>
          <w:szCs w:val="20"/>
          <w:color w:val="auto"/>
        </w:rPr>
      </w:pPr>
    </w:p>
    <w:p>
      <w:pPr>
        <w:ind w:left="280" w:hanging="272"/>
        <w:spacing w:after="0"/>
        <w:tabs>
          <w:tab w:leader="none" w:pos="2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Eminent Domain</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25.1. In the event (a) the whole of all Affected Areas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150"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25.2. In the event of a partial taking of (a) the Building or the Project or (b)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(y) items occurring prior to the taking and (z)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133"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25.3.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153" w:lineRule="exact"/>
        <w:rPr>
          <w:sz w:val="20"/>
          <w:szCs w:val="20"/>
          <w:color w:val="auto"/>
        </w:rPr>
      </w:pPr>
    </w:p>
    <w:p>
      <w:pPr>
        <w:jc w:val="both"/>
        <w:ind w:firstLine="764"/>
        <w:spacing w:after="0" w:line="281" w:lineRule="auto"/>
        <w:rPr>
          <w:sz w:val="20"/>
          <w:szCs w:val="20"/>
          <w:color w:val="auto"/>
        </w:rPr>
      </w:pPr>
      <w:r>
        <w:rPr>
          <w:rFonts w:ascii="Arial" w:cs="Arial" w:eastAsia="Arial" w:hAnsi="Arial"/>
          <w:sz w:val="16"/>
          <w:szCs w:val="16"/>
          <w:color w:val="auto"/>
        </w:rPr>
        <w:t>25.4.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w:t>
      </w:r>
    </w:p>
    <w:p>
      <w:pPr>
        <w:spacing w:after="0" w:line="119"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25.5.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damage or destruction.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7" w:name="page158"/>
    <w:bookmarkEnd w:id="157"/>
    <w:p>
      <w:pPr>
        <w:ind w:left="280" w:hanging="272"/>
        <w:spacing w:after="0"/>
        <w:tabs>
          <w:tab w:leader="none" w:pos="2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Surrender</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26.1. At least thirty (30) days prior to Tenant’s surrender of possession of any part of the Premises, Tenant shall provide Landlord with a facility decommissioning and Hazardous Materials closure plan for the Premises (“</w:t>
      </w:r>
      <w:r>
        <w:rPr>
          <w:rFonts w:ascii="Arial" w:cs="Arial" w:eastAsia="Arial" w:hAnsi="Arial"/>
          <w:sz w:val="16"/>
          <w:szCs w:val="16"/>
          <w:u w:val="single" w:color="auto"/>
          <w:color w:val="auto"/>
        </w:rPr>
        <w:t>Exit Survey</w:t>
      </w:r>
      <w:r>
        <w:rPr>
          <w:rFonts w:ascii="Arial" w:cs="Arial" w:eastAsia="Arial" w:hAnsi="Arial"/>
          <w:sz w:val="16"/>
          <w:szCs w:val="16"/>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136"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 xml:space="preserve">26.2. Notwithstanding anything in this Lease to the contrary, Landlord, upon at least six (6) months’ written notice to Tenant prior to the Term Expiration Date (as it may be extended in accordance with </w:t>
      </w:r>
      <w:r>
        <w:rPr>
          <w:rFonts w:ascii="Arial" w:cs="Arial" w:eastAsia="Arial" w:hAnsi="Arial"/>
          <w:sz w:val="16"/>
          <w:szCs w:val="16"/>
          <w:u w:val="single" w:color="auto"/>
          <w:color w:val="auto"/>
        </w:rPr>
        <w:t>Article 42</w:t>
      </w:r>
      <w:r>
        <w:rPr>
          <w:rFonts w:ascii="Arial" w:cs="Arial" w:eastAsia="Arial" w:hAnsi="Arial"/>
          <w:sz w:val="16"/>
          <w:szCs w:val="16"/>
          <w:color w:val="auto"/>
        </w:rPr>
        <w:t xml:space="preserve"> hereof), may require that Tenant, at Tenant’s sole cost and expense, yield up and surrender the Manufacturing Area to Landlord in the condition set forth in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attached hereto. Tenant’s obligations under this </w:t>
      </w:r>
      <w:r>
        <w:rPr>
          <w:rFonts w:ascii="Arial" w:cs="Arial" w:eastAsia="Arial" w:hAnsi="Arial"/>
          <w:sz w:val="16"/>
          <w:szCs w:val="16"/>
          <w:u w:val="single" w:color="auto"/>
          <w:color w:val="auto"/>
        </w:rPr>
        <w:t>Section 26.2</w:t>
      </w:r>
      <w:r>
        <w:rPr>
          <w:rFonts w:ascii="Arial" w:cs="Arial" w:eastAsia="Arial" w:hAnsi="Arial"/>
          <w:sz w:val="16"/>
          <w:szCs w:val="16"/>
          <w:color w:val="auto"/>
        </w:rPr>
        <w:t xml:space="preserve"> include the obligation to remove any equipment that serves the Manufacturing Area and located elsewhere in the Building (including without limitation the basement area and Rooftop Installation Area (as hereinafter defined)) that Landlord, in such 6-months’ notice to Tenant or in a separate notice to Tenant given at least six (6) months prior to the Term Expiration Date (as it may be extended in accordance with </w:t>
      </w:r>
      <w:r>
        <w:rPr>
          <w:rFonts w:ascii="Arial" w:cs="Arial" w:eastAsia="Arial" w:hAnsi="Arial"/>
          <w:sz w:val="16"/>
          <w:szCs w:val="16"/>
          <w:u w:val="single" w:color="auto"/>
          <w:color w:val="auto"/>
        </w:rPr>
        <w:t>Article 42</w:t>
      </w:r>
      <w:r>
        <w:rPr>
          <w:rFonts w:ascii="Arial" w:cs="Arial" w:eastAsia="Arial" w:hAnsi="Arial"/>
          <w:sz w:val="16"/>
          <w:szCs w:val="16"/>
          <w:color w:val="auto"/>
        </w:rPr>
        <w:t xml:space="preserve"> hereof) instructs Tenant to remove notwithstanding any contrary language in </w:t>
      </w:r>
      <w:r>
        <w:rPr>
          <w:rFonts w:ascii="Arial" w:cs="Arial" w:eastAsia="Arial" w:hAnsi="Arial"/>
          <w:sz w:val="16"/>
          <w:szCs w:val="16"/>
          <w:u w:val="single" w:color="auto"/>
          <w:color w:val="auto"/>
        </w:rPr>
        <w:t>Section 17.7</w:t>
      </w:r>
      <w:r>
        <w:rPr>
          <w:rFonts w:ascii="Arial" w:cs="Arial" w:eastAsia="Arial" w:hAnsi="Arial"/>
          <w:sz w:val="16"/>
          <w:szCs w:val="16"/>
          <w:color w:val="auto"/>
        </w:rPr>
        <w:t xml:space="preserve"> hereof that may require that Landlord notify Tenant of such removal obligations at an earlier time.</w:t>
      </w:r>
    </w:p>
    <w:p>
      <w:pPr>
        <w:spacing w:after="0" w:line="131"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26.3. No surrender of possession of any part of the Premises shall release Tenant from any of its obligations hereunder, unless such surrender is accepted in writing by Landlord.</w:t>
      </w:r>
    </w:p>
    <w:p>
      <w:pPr>
        <w:spacing w:after="0" w:line="146"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26.4. The voluntary or other surrender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153"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26.5. The voluntary or other surrender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146"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Holding Over</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as adjusted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and (b) any amounts for which Tenant would otherwise be liable under this Lease if the Lease were still in effect, including payments for Tenant’s Adjusted Share of Operating Expenses. Any such month-to-month tenancy shall be subject to every other term, covenant and agreement contained herein.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158" w:name="page159"/>
    <w:bookmarkEnd w:id="158"/>
    <w:p>
      <w:pPr>
        <w:jc w:val="both"/>
        <w:ind w:firstLine="764"/>
        <w:spacing w:after="0" w:line="280" w:lineRule="auto"/>
        <w:rPr>
          <w:sz w:val="20"/>
          <w:szCs w:val="20"/>
          <w:color w:val="auto"/>
        </w:rPr>
      </w:pPr>
      <w:r>
        <w:rPr>
          <w:rFonts w:ascii="Arial" w:cs="Arial" w:eastAsia="Arial" w:hAnsi="Arial"/>
          <w:sz w:val="15"/>
          <w:szCs w:val="15"/>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if such holdover persists for more than thirty</w:t>
      </w:r>
    </w:p>
    <w:p>
      <w:pPr>
        <w:spacing w:after="0" w:line="1" w:lineRule="exact"/>
        <w:rPr>
          <w:sz w:val="20"/>
          <w:szCs w:val="20"/>
          <w:color w:val="auto"/>
        </w:rPr>
      </w:pPr>
    </w:p>
    <w:p>
      <w:pPr>
        <w:jc w:val="both"/>
        <w:ind w:firstLine="8"/>
        <w:spacing w:after="0" w:line="298" w:lineRule="auto"/>
        <w:tabs>
          <w:tab w:leader="none" w:pos="34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days after the earlier of (i) the expiration or earlier termination of the Term and (ii) the date Landlord notifies Tenant that Landlord has procured a tenant that is ready, willing and able to sign a lease for the Premises (or portion thereof), Tenant shall be liable to Landlord for any and all damages suffered by Landlord as a result of such holdover, including any lost rent or consequential, special and indirect damages (in each case, regardless of whether such damages are foreseeable).</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27.3. Acceptance by Landlord of Rent after the expiration or earlier termination of the Term shall not result in an extension, renewal or reinstatement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Lease.</w:t>
      </w:r>
    </w:p>
    <w:p>
      <w:pPr>
        <w:spacing w:after="0" w:line="151" w:lineRule="exact"/>
        <w:rPr>
          <w:sz w:val="20"/>
          <w:szCs w:val="20"/>
          <w:color w:val="auto"/>
        </w:rPr>
      </w:pPr>
    </w:p>
    <w:p>
      <w:pPr>
        <w:ind w:firstLine="764"/>
        <w:spacing w:after="0" w:line="245" w:lineRule="auto"/>
        <w:rPr>
          <w:sz w:val="20"/>
          <w:szCs w:val="20"/>
          <w:color w:val="auto"/>
        </w:rPr>
      </w:pPr>
      <w:r>
        <w:rPr>
          <w:rFonts w:ascii="Arial" w:cs="Arial" w:eastAsia="Arial" w:hAnsi="Arial"/>
          <w:sz w:val="18"/>
          <w:szCs w:val="18"/>
          <w:color w:val="auto"/>
        </w:rPr>
        <w:t>27.4. The foregoing provisions of this Article are in addition to and do not affect Landlord’s right of reentry or any other rights of Landlord hereunder or as otherwise provided by Applicable Laws.</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27.5. The provisions of this Article shall survive the expiration or earlier termination of this Lease.</w:t>
      </w:r>
    </w:p>
    <w:p>
      <w:pPr>
        <w:spacing w:after="0" w:line="159" w:lineRule="exact"/>
        <w:rPr>
          <w:sz w:val="20"/>
          <w:szCs w:val="20"/>
          <w:color w:val="auto"/>
        </w:rPr>
      </w:pPr>
    </w:p>
    <w:p>
      <w:pPr>
        <w:ind w:left="280" w:hanging="272"/>
        <w:spacing w:after="0"/>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Indemnification and Exculpation</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6"/>
          <w:szCs w:val="16"/>
          <w:color w:val="auto"/>
        </w:rPr>
        <w:t xml:space="preserve">28.1. Tenant agrees to indemnify, save, defend (at Landlord’s option and with counsel reasonably acceptable to Landlord) and hold the Landlord Indemnitees harmless from and against any and all Claims arising from injury to or death of any person or damage to any property occurring within or about the Premises, the Building, the Property or the Project, arising directly or indirectly out of (a) the presence at or use or occupancy of the Premises or Project by a Tenant Party, (b) an act or omission on the part of any Tenant Party, (c) a breach or default by Tenant in the performance of any of its obligations hereunder or (d) injury to or death of persons or damage to or loss of any property, real or alleged, arising from the serving of alcoholic beverages at the Premises or Project, including liability under any dram shop law, host liquor law or similar Applicable Law, except to the extent directly caused by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 Subject to </w:t>
      </w:r>
      <w:r>
        <w:rPr>
          <w:rFonts w:ascii="Arial" w:cs="Arial" w:eastAsia="Arial" w:hAnsi="Arial"/>
          <w:sz w:val="16"/>
          <w:szCs w:val="16"/>
          <w:u w:val="single" w:color="auto"/>
          <w:color w:val="auto"/>
        </w:rPr>
        <w:t>Sections 23.6</w:t>
      </w:r>
      <w:r>
        <w:rPr>
          <w:rFonts w:ascii="Arial" w:cs="Arial" w:eastAsia="Arial" w:hAnsi="Arial"/>
          <w:sz w:val="16"/>
          <w:szCs w:val="16"/>
          <w:color w:val="auto"/>
        </w:rPr>
        <w:t xml:space="preserve">, </w:t>
      </w:r>
      <w:r>
        <w:rPr>
          <w:rFonts w:ascii="Arial" w:cs="Arial" w:eastAsia="Arial" w:hAnsi="Arial"/>
          <w:sz w:val="16"/>
          <w:szCs w:val="16"/>
          <w:u w:val="single" w:color="auto"/>
          <w:color w:val="auto"/>
        </w:rPr>
        <w:t>28.2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31.12</w:t>
      </w:r>
      <w:r>
        <w:rPr>
          <w:rFonts w:ascii="Arial" w:cs="Arial" w:eastAsia="Arial" w:hAnsi="Arial"/>
          <w:sz w:val="16"/>
          <w:szCs w:val="16"/>
          <w:color w:val="auto"/>
        </w:rPr>
        <w:t xml:space="preserve"> and any subrogation provisions contained in the Work Letter, Landlord agrees to indemnify, save, defend (at Tenant’s option and with counsel reasonably acceptable to Tenant) and hold the Tenant Parties harmless from and against any and all Claims arising from injury to or death of any person or damage to or loss of any physical property occurring within or about the Premises, the Building, the Property or the Project to the extent directly arising out of Landlord’s gross negligence or willful misconduct.</w:t>
      </w:r>
    </w:p>
    <w:p>
      <w:pPr>
        <w:spacing w:after="0" w:line="137"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28.2. Notwithstanding anything in this Lease to the contrary, Landlord shall not be liable to Tenant for and Tenant assumes all risk of (a) damage or losses caused by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Arial" w:cs="Arial" w:eastAsia="Arial" w:hAnsi="Arial"/>
          <w:sz w:val="16"/>
          <w:szCs w:val="16"/>
          <w:u w:val="single" w:color="auto"/>
          <w:color w:val="auto"/>
        </w:rPr>
        <w:t>Section 27.2</w:t>
      </w:r>
      <w:r>
        <w:rPr>
          <w:rFonts w:ascii="Arial" w:cs="Arial" w:eastAsia="Arial" w:hAnsi="Arial"/>
          <w:sz w:val="16"/>
          <w:szCs w:val="16"/>
          <w:color w:val="auto"/>
        </w:rPr>
        <w:t xml:space="preserve">), (y) as may be provided by Applicable Laws or (z) in the event of Tenant’s breach of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26.1</w:t>
      </w:r>
      <w:r>
        <w:rPr>
          <w:rFonts w:ascii="Arial" w:cs="Arial" w:eastAsia="Arial" w:hAnsi="Arial"/>
          <w:sz w:val="16"/>
          <w:szCs w:val="16"/>
          <w:color w:val="auto"/>
        </w:rPr>
        <w:t>, in no event shall Landlord or Tenant be liable to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59" w:name="page160"/>
    <w:bookmarkEnd w:id="159"/>
    <w:p>
      <w:pPr>
        <w:jc w:val="both"/>
        <w:spacing w:after="0" w:line="245" w:lineRule="auto"/>
        <w:rPr>
          <w:sz w:val="20"/>
          <w:szCs w:val="20"/>
          <w:color w:val="auto"/>
        </w:rPr>
      </w:pPr>
      <w:r>
        <w:rPr>
          <w:rFonts w:ascii="Arial" w:cs="Arial" w:eastAsia="Arial" w:hAnsi="Arial"/>
          <w:sz w:val="18"/>
          <w:szCs w:val="18"/>
          <w:color w:val="auto"/>
        </w:rPr>
        <w:t>other for any consequential, special or indirect damages arising out of this Lease, including lost profits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Subsection 28.2</w:t>
      </w:r>
      <w:r>
        <w:rPr>
          <w:rFonts w:ascii="Arial" w:cs="Arial" w:eastAsia="Arial" w:hAnsi="Arial"/>
          <w:sz w:val="18"/>
          <w:szCs w:val="18"/>
          <w:color w:val="auto"/>
        </w:rPr>
        <w:t xml:space="preserve"> shall not limit Tenant’s liability for Base Rent or Additional Rent pursuant to this Lease).</w:t>
      </w:r>
    </w:p>
    <w:p>
      <w:pPr>
        <w:spacing w:after="0" w:line="146"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28.3. Landlord shall not be liable for any damages arising from any act, omission or neglect of any other tenant in the Building or the Project, or of any other third party.</w:t>
      </w:r>
    </w:p>
    <w:p>
      <w:pPr>
        <w:spacing w:after="0" w:line="146"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28.4. Tenant acknowledges that security devices and services, if any, while intended to deter crime, may not in given instances prevent theft or other criminal acts. Landlord shall not be liable for injuries or losses caused by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28.5. The provisions of this Article shall survive the expiration or earlier termination of this Lease.</w:t>
      </w:r>
    </w:p>
    <w:p>
      <w:pPr>
        <w:spacing w:after="0" w:line="165" w:lineRule="exact"/>
        <w:rPr>
          <w:sz w:val="20"/>
          <w:szCs w:val="20"/>
          <w:color w:val="auto"/>
        </w:rPr>
      </w:pPr>
    </w:p>
    <w:p>
      <w:pPr>
        <w:ind w:left="280" w:hanging="272"/>
        <w:spacing w:after="0"/>
        <w:tabs>
          <w:tab w:leader="none" w:pos="2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Assignment or Subletting</w:t>
      </w:r>
    </w:p>
    <w:p>
      <w:pPr>
        <w:spacing w:after="0" w:line="165" w:lineRule="exact"/>
        <w:rPr>
          <w:sz w:val="20"/>
          <w:szCs w:val="20"/>
          <w:color w:val="auto"/>
        </w:rPr>
      </w:pPr>
    </w:p>
    <w:p>
      <w:pPr>
        <w:jc w:val="both"/>
        <w:ind w:firstLine="764"/>
        <w:spacing w:after="0" w:line="277" w:lineRule="auto"/>
        <w:rPr>
          <w:sz w:val="20"/>
          <w:szCs w:val="20"/>
          <w:color w:val="auto"/>
        </w:rPr>
      </w:pPr>
      <w:r>
        <w:rPr>
          <w:rFonts w:ascii="Arial" w:cs="Arial" w:eastAsia="Arial" w:hAnsi="Arial"/>
          <w:sz w:val="15"/>
          <w:szCs w:val="15"/>
          <w:color w:val="auto"/>
        </w:rPr>
        <w:t>29.1. Except as hereinafter expressly permitted, none of the following (each, a “</w:t>
      </w:r>
      <w:r>
        <w:rPr>
          <w:rFonts w:ascii="Arial" w:cs="Arial" w:eastAsia="Arial" w:hAnsi="Arial"/>
          <w:sz w:val="15"/>
          <w:szCs w:val="15"/>
          <w:u w:val="single" w:color="auto"/>
          <w:color w:val="auto"/>
        </w:rPr>
        <w:t>Transfer</w:t>
      </w:r>
      <w:r>
        <w:rPr>
          <w:rFonts w:ascii="Arial" w:cs="Arial" w:eastAsia="Arial" w:hAnsi="Arial"/>
          <w:sz w:val="15"/>
          <w:szCs w:val="15"/>
          <w:color w:val="auto"/>
        </w:rPr>
        <w:t>”), either voluntarily or by operation of Applicable Laws, shall be directly or indirectly performed without Landlord’s prior written consent, which consent shall not be unreasonably withheld, conditioned or delayed: (a) Tenant selling, hypothecating, assigning, pledging, encumbering or otherwise transferring this Lease or subletting the Premises or (b) a controlling interest in Tenant being sold, assigned or otherwise transferred (other than as a result of shares in Tenant being sold on a public stock exchange). For purposes of the preceding sentence, “control” means (a) owning (directly or indirectly) more than fifty percent (50%) of the stock or other equity interests of another person or (b)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(i) any person that as of the date of determination and at all times thereafter directly, or indirectly through one or more intermediaries, controls, is controlled by or is under common control with Tenant (“</w:t>
      </w:r>
      <w:r>
        <w:rPr>
          <w:rFonts w:ascii="Arial" w:cs="Arial" w:eastAsia="Arial" w:hAnsi="Arial"/>
          <w:sz w:val="15"/>
          <w:szCs w:val="15"/>
          <w:u w:val="single" w:color="auto"/>
          <w:color w:val="auto"/>
        </w:rPr>
        <w:t>Tenant’s Affiliate</w:t>
      </w:r>
      <w:r>
        <w:rPr>
          <w:rFonts w:ascii="Arial" w:cs="Arial" w:eastAsia="Arial" w:hAnsi="Arial"/>
          <w:sz w:val="15"/>
          <w:szCs w:val="15"/>
          <w:color w:val="auto"/>
        </w:rPr>
        <w:t xml:space="preserve">”), (ii) any person or any entity with which Tenant is merged or to which all or substantially all of Tenant’s assets or all or substantially all of the ownership interests in Tenant are sold, including in connection with a tender offer that is consummated or (iii) any person that is an entity funded or sponsored by Flagship Ventures if such Transfer involves no more than 20,000 rentable square feet of the Premises;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instance under the foregoing clauses (i), (ii) and (iii)); Tenant shall notify Landlord in writing at least ten (10) business days prior to the effectiveness of such Transfer (an “</w:t>
      </w:r>
      <w:r>
        <w:rPr>
          <w:rFonts w:ascii="Arial" w:cs="Arial" w:eastAsia="Arial" w:hAnsi="Arial"/>
          <w:sz w:val="15"/>
          <w:szCs w:val="15"/>
          <w:u w:val="single" w:color="auto"/>
          <w:color w:val="auto"/>
        </w:rPr>
        <w:t>Exempt</w:t>
      </w:r>
      <w:r>
        <w:rPr>
          <w:rFonts w:ascii="Arial" w:cs="Arial" w:eastAsia="Arial" w:hAnsi="Arial"/>
          <w:sz w:val="15"/>
          <w:szCs w:val="15"/>
          <w:color w:val="auto"/>
        </w:rPr>
        <w:t xml:space="preserve"> </w:t>
      </w:r>
      <w:r>
        <w:rPr>
          <w:rFonts w:ascii="Arial" w:cs="Arial" w:eastAsia="Arial" w:hAnsi="Arial"/>
          <w:sz w:val="15"/>
          <w:szCs w:val="15"/>
          <w:u w:val="single" w:color="auto"/>
          <w:color w:val="auto"/>
        </w:rPr>
        <w:t>Transfer</w:t>
      </w:r>
      <w:r>
        <w:rPr>
          <w:rFonts w:ascii="Arial" w:cs="Arial" w:eastAsia="Arial" w:hAnsi="Arial"/>
          <w:sz w:val="15"/>
          <w:szCs w:val="15"/>
          <w:color w:val="auto"/>
        </w:rPr>
        <w:t xml:space="preserve">”) and otherwise comply with the requirements of this Lease regarding such Transfer; and </w:t>
      </w:r>
      <w:r>
        <w:rPr>
          <w:rFonts w:ascii="Arial" w:cs="Arial" w:eastAsia="Arial" w:hAnsi="Arial"/>
          <w:sz w:val="15"/>
          <w:szCs w:val="15"/>
          <w:u w:val="single" w:color="auto"/>
          <w:color w:val="auto"/>
        </w:rPr>
        <w:t>provided</w:t>
      </w:r>
      <w:r>
        <w:rPr>
          <w:rFonts w:ascii="Arial" w:cs="Arial" w:eastAsia="Arial" w:hAnsi="Arial"/>
          <w:sz w:val="15"/>
          <w:szCs w:val="15"/>
          <w:color w:val="auto"/>
        </w:rPr>
        <w:t>, further, that the person that will be the tenant under this Lease after an Exempt Transfer pursuant to clause (ii) above has a net worth (as of both the day immediately prior to and the day immediately after the Exempt Transfer) that is equal to or greater than the net worth (as of both the Execution Date and the date of the Exempt Transfer) of the transferring Tenant. For purposes of the immediately preceding sentence, “control” requires both (a) owning (directly or indirectly) more than fifty percent (50%) of the stock or other equity interests of another person and (b) possessing, directly or indirectly, the power to direct or cause the direction of the management and policies of such person. In no event shall Tenant perform a Transfer to or with an entity that is a tenant at the Project or the properties at 21 or 40 Erie Street in Cambridge, Massachusetts or an entity that is in active discussions with Landlord or an affiliate of Landlord to lease premises at the Project or the properties at 21 or 40 Erie Street in Cambridge, Massachusetts. As used in the immediately foregoing sentence the term “active discussions” shall mean a proposed transaction in which either Landlord or such entity (or their respective broker) has submitted in writing to the other (or to the other’s broker) the material terms of a proposed lease transaction.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0" w:name="page161"/>
    <w:bookmarkEnd w:id="160"/>
    <w:p>
      <w:pPr>
        <w:jc w:val="both"/>
        <w:spacing w:after="0" w:line="266" w:lineRule="auto"/>
        <w:rPr>
          <w:sz w:val="20"/>
          <w:szCs w:val="20"/>
          <w:color w:val="auto"/>
        </w:rPr>
      </w:pPr>
      <w:r>
        <w:rPr>
          <w:rFonts w:ascii="Arial" w:cs="Arial" w:eastAsia="Arial" w:hAnsi="Arial"/>
          <w:sz w:val="16"/>
          <w:szCs w:val="16"/>
          <w:color w:val="auto"/>
        </w:rPr>
        <w:t xml:space="preserve">Notwithstanding anything in this Lease to the contrary, if (a)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any proposed transferee, assignee or sublessee is subject to a material enforcement order issued by any Governmental Authority in connection with the use, disposal or storage of Hazardous Materials, then it shall not be unreasonable for Landlord to withhold its consent to any proposed transfer, assignment or subletting (with respect to any such matter involving a proposed transferee, assignee or sublessee); provided, however, that the foregoing shall not apply if the Transfer is an Exempt Transfer pursuant to clause (ii) of this </w:t>
      </w:r>
      <w:r>
        <w:rPr>
          <w:rFonts w:ascii="Arial" w:cs="Arial" w:eastAsia="Arial" w:hAnsi="Arial"/>
          <w:sz w:val="16"/>
          <w:szCs w:val="16"/>
          <w:u w:val="single" w:color="auto"/>
          <w:color w:val="auto"/>
        </w:rPr>
        <w:t>Section 29.1</w:t>
      </w:r>
      <w:r>
        <w:rPr>
          <w:rFonts w:ascii="Arial" w:cs="Arial" w:eastAsia="Arial" w:hAnsi="Arial"/>
          <w:sz w:val="16"/>
          <w:szCs w:val="16"/>
          <w:color w:val="auto"/>
        </w:rPr>
        <w:t>.</w:t>
      </w:r>
    </w:p>
    <w:p>
      <w:pPr>
        <w:spacing w:after="0" w:line="133"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29.2. In the event Tenant desires to effect a Transfer, except for an Exempt Transfer, then, at least thirty (30) days, but not more than nine (9) months, prior to the date when Tenant desires the Transfer to be effective (the “</w:t>
      </w:r>
      <w:r>
        <w:rPr>
          <w:rFonts w:ascii="Arial" w:cs="Arial" w:eastAsia="Arial" w:hAnsi="Arial"/>
          <w:sz w:val="16"/>
          <w:szCs w:val="16"/>
          <w:u w:val="single" w:color="auto"/>
          <w:color w:val="auto"/>
        </w:rPr>
        <w:t>Transfer Date</w:t>
      </w:r>
      <w:r>
        <w:rPr>
          <w:rFonts w:ascii="Arial" w:cs="Arial" w:eastAsia="Arial" w:hAnsi="Arial"/>
          <w:sz w:val="16"/>
          <w:szCs w:val="16"/>
          <w:color w:val="auto"/>
        </w:rPr>
        <w:t>”), Tenant shall provide written notice to Landlord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Financials</w:t>
      </w:r>
      <w:r>
        <w:rPr>
          <w:rFonts w:ascii="Arial" w:cs="Arial" w:eastAsia="Arial" w:hAnsi="Arial"/>
          <w:sz w:val="16"/>
          <w:szCs w:val="16"/>
          <w:color w:val="auto"/>
        </w:rPr>
        <w:t>”); any ownership or commercial relationship between Tenant and the proposed transferee, assignee or sublessee; and the consideration and all other material terms and conditions of the proposed Transfer, all in such detail as Landlord shall reasonably require.</w:t>
      </w:r>
    </w:p>
    <w:p>
      <w:pPr>
        <w:spacing w:after="0" w:line="133" w:lineRule="exact"/>
        <w:rPr>
          <w:sz w:val="20"/>
          <w:szCs w:val="20"/>
          <w:color w:val="auto"/>
        </w:rPr>
      </w:pPr>
    </w:p>
    <w:p>
      <w:pPr>
        <w:jc w:val="both"/>
        <w:ind w:firstLine="764"/>
        <w:spacing w:after="0" w:line="260" w:lineRule="auto"/>
        <w:rPr>
          <w:sz w:val="20"/>
          <w:szCs w:val="20"/>
          <w:color w:val="auto"/>
        </w:rPr>
      </w:pPr>
      <w:r>
        <w:rPr>
          <w:rFonts w:ascii="Arial" w:cs="Arial" w:eastAsia="Arial" w:hAnsi="Arial"/>
          <w:sz w:val="16"/>
          <w:szCs w:val="16"/>
          <w:color w:val="auto"/>
        </w:rPr>
        <w:t xml:space="preserve">29.3. Landlord, in determining whether consent should be given to a proposed Transfer, may give consideration to (a) the financial strength of Tenant and of such transferee, assignee or sublessee (notwithstanding Tenant remaining liable for Tenant’s performance), (b) any change in use that such transferee, assignee or sublessee proposes to make in the use of the Premises and (c) Landlord’s desire to exercise its rights under </w:t>
      </w:r>
      <w:r>
        <w:rPr>
          <w:rFonts w:ascii="Arial" w:cs="Arial" w:eastAsia="Arial" w:hAnsi="Arial"/>
          <w:sz w:val="16"/>
          <w:szCs w:val="16"/>
          <w:u w:val="single" w:color="auto"/>
          <w:color w:val="auto"/>
        </w:rPr>
        <w:t>Section 29.7</w:t>
      </w:r>
      <w:r>
        <w:rPr>
          <w:rFonts w:ascii="Arial" w:cs="Arial" w:eastAsia="Arial" w:hAnsi="Arial"/>
          <w:sz w:val="16"/>
          <w:szCs w:val="16"/>
          <w:color w:val="auto"/>
        </w:rPr>
        <w:t xml:space="preserve"> to cancel this Lease. In no event shall Landlord be deemed to be unreasonable for declining to consent to a Transfer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Arial" w:cs="Arial" w:eastAsia="Arial" w:hAnsi="Arial"/>
          <w:sz w:val="16"/>
          <w:szCs w:val="16"/>
          <w:u w:val="single" w:color="auto"/>
          <w:color w:val="auto"/>
        </w:rPr>
        <w:t>Revenue Code</w:t>
      </w:r>
      <w:r>
        <w:rPr>
          <w:rFonts w:ascii="Arial" w:cs="Arial" w:eastAsia="Arial" w:hAnsi="Arial"/>
          <w:sz w:val="16"/>
          <w:szCs w:val="16"/>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29.4. The following are conditions precedent to a Transfer or to Landlord considering a request by Tenant to a Transfer:</w:t>
      </w:r>
    </w:p>
    <w:p>
      <w:pPr>
        <w:spacing w:after="0" w:line="165" w:lineRule="exact"/>
        <w:rPr>
          <w:sz w:val="20"/>
          <w:szCs w:val="20"/>
          <w:color w:val="auto"/>
        </w:rPr>
      </w:pPr>
    </w:p>
    <w:p>
      <w:pPr>
        <w:jc w:val="both"/>
        <w:ind w:firstLine="1153"/>
        <w:spacing w:after="0" w:line="237" w:lineRule="auto"/>
        <w:tabs>
          <w:tab w:leader="none" w:pos="13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1" w:name="page162"/>
    <w:bookmarkEnd w:id="161"/>
    <w:p>
      <w:pPr>
        <w:jc w:val="both"/>
        <w:ind w:firstLine="1153"/>
        <w:spacing w:after="0" w:line="235" w:lineRule="auto"/>
        <w:tabs>
          <w:tab w:leader="none" w:pos="139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151" w:lineRule="exact"/>
        <w:rPr>
          <w:rFonts w:ascii="Arial" w:cs="Arial" w:eastAsia="Arial" w:hAnsi="Arial"/>
          <w:sz w:val="18"/>
          <w:szCs w:val="18"/>
          <w:color w:val="auto"/>
        </w:rPr>
      </w:pPr>
    </w:p>
    <w:p>
      <w:pPr>
        <w:ind w:firstLine="1153"/>
        <w:spacing w:after="0" w:line="245" w:lineRule="auto"/>
        <w:tabs>
          <w:tab w:leader="none" w:pos="13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an Exempt Transfer, Tenant shall provide Landlord with evidence reasonably satisfactory to Landlord that the Transfer qualifies as an Exempt Transfer;</w:t>
      </w:r>
    </w:p>
    <w:p>
      <w:pPr>
        <w:spacing w:after="0" w:line="146" w:lineRule="exact"/>
        <w:rPr>
          <w:rFonts w:ascii="Arial" w:cs="Arial" w:eastAsia="Arial" w:hAnsi="Arial"/>
          <w:sz w:val="18"/>
          <w:szCs w:val="18"/>
          <w:color w:val="auto"/>
        </w:rPr>
      </w:pPr>
    </w:p>
    <w:p>
      <w:pPr>
        <w:ind w:left="1400" w:hanging="247"/>
        <w:spacing w:after="0"/>
        <w:tabs>
          <w:tab w:leader="none" w:pos="1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64" w:lineRule="exact"/>
        <w:rPr>
          <w:rFonts w:ascii="Arial" w:cs="Arial" w:eastAsia="Arial" w:hAnsi="Arial"/>
          <w:sz w:val="18"/>
          <w:szCs w:val="18"/>
          <w:color w:val="auto"/>
        </w:rPr>
      </w:pPr>
    </w:p>
    <w:p>
      <w:pPr>
        <w:ind w:firstLine="1153"/>
        <w:spacing w:after="0" w:line="245" w:lineRule="auto"/>
        <w:tabs>
          <w:tab w:leader="none" w:pos="1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Tenant shall reimburse Landlord for Landlord’s actual costs and expenses, including reasonable attorneys’ fees, charges and disbursements incurred in connection with the review, processing and documentation of such request not to exceed $2,500.00;</w:t>
      </w:r>
    </w:p>
    <w:p>
      <w:pPr>
        <w:spacing w:after="0" w:line="146" w:lineRule="exact"/>
        <w:rPr>
          <w:rFonts w:ascii="Arial" w:cs="Arial" w:eastAsia="Arial" w:hAnsi="Arial"/>
          <w:sz w:val="18"/>
          <w:szCs w:val="18"/>
          <w:color w:val="auto"/>
        </w:rPr>
      </w:pPr>
    </w:p>
    <w:p>
      <w:pPr>
        <w:jc w:val="both"/>
        <w:ind w:firstLine="1153"/>
        <w:spacing w:after="0" w:line="266" w:lineRule="auto"/>
        <w:tabs>
          <w:tab w:leader="none" w:pos="137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with respect to an Exempt Transfer, 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132" w:lineRule="exact"/>
        <w:rPr>
          <w:rFonts w:ascii="Arial" w:cs="Arial" w:eastAsia="Arial" w:hAnsi="Arial"/>
          <w:sz w:val="16"/>
          <w:szCs w:val="16"/>
          <w:color w:val="auto"/>
        </w:rPr>
      </w:pPr>
    </w:p>
    <w:p>
      <w:pPr>
        <w:jc w:val="both"/>
        <w:ind w:firstLine="1153"/>
        <w:spacing w:after="0" w:line="291" w:lineRule="auto"/>
        <w:tabs>
          <w:tab w:leader="none" w:pos="140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in no event shall Landlord or its Lenders, successors or assigns be obligated to accept such attornment;</w:t>
      </w:r>
    </w:p>
    <w:p>
      <w:pPr>
        <w:spacing w:after="0" w:line="113" w:lineRule="exact"/>
        <w:rPr>
          <w:rFonts w:ascii="Arial" w:cs="Arial" w:eastAsia="Arial" w:hAnsi="Arial"/>
          <w:sz w:val="15"/>
          <w:szCs w:val="15"/>
          <w:color w:val="auto"/>
        </w:rPr>
      </w:pPr>
    </w:p>
    <w:p>
      <w:pPr>
        <w:ind w:left="1400" w:hanging="247"/>
        <w:spacing w:after="0"/>
        <w:tabs>
          <w:tab w:leader="none" w:pos="1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Landlord’s consent to any such Transfer shall be effected on Landlord’s forms;</w:t>
      </w:r>
    </w:p>
    <w:p>
      <w:pPr>
        <w:spacing w:after="0" w:line="164" w:lineRule="exact"/>
        <w:rPr>
          <w:rFonts w:ascii="Arial" w:cs="Arial" w:eastAsia="Arial" w:hAnsi="Arial"/>
          <w:sz w:val="18"/>
          <w:szCs w:val="18"/>
          <w:color w:val="auto"/>
        </w:rPr>
      </w:pPr>
    </w:p>
    <w:p>
      <w:pPr>
        <w:ind w:left="1360" w:hanging="207"/>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Tenant shall not then be in default hereunder in any respect;</w:t>
      </w:r>
    </w:p>
    <w:p>
      <w:pPr>
        <w:spacing w:after="0" w:line="164" w:lineRule="exact"/>
        <w:rPr>
          <w:rFonts w:ascii="Arial" w:cs="Arial" w:eastAsia="Arial" w:hAnsi="Arial"/>
          <w:sz w:val="18"/>
          <w:szCs w:val="18"/>
          <w:color w:val="auto"/>
        </w:rPr>
      </w:pPr>
    </w:p>
    <w:p>
      <w:pPr>
        <w:ind w:left="1360" w:hanging="207"/>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proposed transferee, assignee or sublessee’s use of the Premises shall be the same as the Permitted Use;</w:t>
      </w:r>
    </w:p>
    <w:p>
      <w:pPr>
        <w:spacing w:after="0" w:line="164" w:lineRule="exact"/>
        <w:rPr>
          <w:rFonts w:ascii="Arial" w:cs="Arial" w:eastAsia="Arial" w:hAnsi="Arial"/>
          <w:sz w:val="18"/>
          <w:szCs w:val="18"/>
          <w:color w:val="auto"/>
        </w:rPr>
      </w:pPr>
    </w:p>
    <w:p>
      <w:pPr>
        <w:ind w:left="1400" w:hanging="247"/>
        <w:spacing w:after="0"/>
        <w:tabs>
          <w:tab w:leader="none" w:pos="14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Landlord shall not be bound by any provision of any agreement pertaining to the Transfer, except for Landlord’s written consent to the same;</w:t>
      </w:r>
    </w:p>
    <w:p>
      <w:pPr>
        <w:spacing w:after="0" w:line="187" w:lineRule="exact"/>
        <w:rPr>
          <w:rFonts w:ascii="Arial" w:cs="Arial" w:eastAsia="Arial" w:hAnsi="Arial"/>
          <w:sz w:val="16"/>
          <w:szCs w:val="16"/>
          <w:color w:val="auto"/>
        </w:rPr>
      </w:pPr>
    </w:p>
    <w:p>
      <w:pPr>
        <w:ind w:left="1360" w:hanging="207"/>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Tenant shall pay all transfer and other taxes (including interest and penalties) assessed or payable for any Transfer;</w:t>
      </w:r>
    </w:p>
    <w:p>
      <w:pPr>
        <w:spacing w:after="0" w:line="164" w:lineRule="exact"/>
        <w:rPr>
          <w:rFonts w:ascii="Arial" w:cs="Arial" w:eastAsia="Arial" w:hAnsi="Arial"/>
          <w:sz w:val="18"/>
          <w:szCs w:val="18"/>
          <w:color w:val="auto"/>
        </w:rPr>
      </w:pPr>
    </w:p>
    <w:p>
      <w:pPr>
        <w:ind w:left="1440" w:hanging="287"/>
        <w:spacing w:after="0"/>
        <w:tabs>
          <w:tab w:leader="none" w:pos="1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Landlord’s consent (or waiver of its rights) for any Transfer shall not waive Landlord’s right to consent or refuse consent to any later Transfer;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2" w:name="page163"/>
    <w:bookmarkEnd w:id="162"/>
    <w:p>
      <w:pPr>
        <w:ind w:left="1400" w:hanging="247"/>
        <w:spacing w:after="0"/>
        <w:tabs>
          <w:tab w:leader="none" w:pos="14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Tenant shall deliver to Landlord one executed copy of any and all written instruments evidencing or relating to the Transfer; and</w:t>
      </w:r>
    </w:p>
    <w:p>
      <w:pPr>
        <w:spacing w:after="0" w:line="187" w:lineRule="exact"/>
        <w:rPr>
          <w:rFonts w:ascii="Arial" w:cs="Arial" w:eastAsia="Arial" w:hAnsi="Arial"/>
          <w:sz w:val="16"/>
          <w:szCs w:val="16"/>
          <w:color w:val="auto"/>
        </w:rPr>
      </w:pPr>
    </w:p>
    <w:p>
      <w:pPr>
        <w:jc w:val="both"/>
        <w:ind w:firstLine="1153"/>
        <w:spacing w:after="0" w:line="235" w:lineRule="auto"/>
        <w:tabs>
          <w:tab w:leader="none" w:pos="13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2"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29.5. Any Transfer that is not in compliance with the provisions of this Article or with respect to which Tenant does not fulfill its obligations pursuant to this Article shall be void and shall, at the option of Landlord, terminate this Lease.</w:t>
      </w:r>
    </w:p>
    <w:p>
      <w:pPr>
        <w:spacing w:after="0" w:line="146"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52"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29.7. If Tenant delivers to Landlord a Transfer Notice indicating a desire to (a) assign this Lease to a proposed transferee (excluding any assignment constituting an Exempt Transfer), or (b) enter into a sublease or license agreement that would, in the aggregate with all other then-current subleases and licenses, cause more than fifty percent (50%) of the Rentable Area of the Premises to be licensed or subleased (excluding any subleases and licenses that constitute Exempt Transfers), then Landlord shall have the option, exercisable by giving notice to Tenant at any time within ten (10)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33"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 xml:space="preserve">29.8. If Tenant sublets the Premises or any portion thereof, Tenant hereby immediately and irrevocably assigns to Landlord, as security for Tenant’s obligations under this Lease, all rent from any such subletting, and Landlord (or a receiver for Tenant appointed on Landlord’s application) may collect such rent and apply it toward Tenant’s obligations under this Lease; provided that, until the occurrence of a Default (as defined below) by Tenant, Tenant shall have the right to collect such rent. Upon the occurrence of a Default, and without limiting the enforceability and validity of the other provisions of this </w:t>
      </w:r>
      <w:r>
        <w:rPr>
          <w:rFonts w:ascii="Arial" w:cs="Arial" w:eastAsia="Arial" w:hAnsi="Arial"/>
          <w:sz w:val="16"/>
          <w:szCs w:val="16"/>
          <w:u w:val="single" w:color="auto"/>
          <w:color w:val="auto"/>
        </w:rPr>
        <w:t>Section 29.8</w:t>
      </w:r>
      <w:r>
        <w:rPr>
          <w:rFonts w:ascii="Arial" w:cs="Arial" w:eastAsia="Arial" w:hAnsi="Arial"/>
          <w:sz w:val="16"/>
          <w:szCs w:val="16"/>
          <w:color w:val="auto"/>
        </w:rPr>
        <w:t>, Landlord may require Tenant to appoint Landlord as assignee and attorney-in-fact for Tenant to collect such rent.</w:t>
      </w:r>
    </w:p>
    <w:p>
      <w:pPr>
        <w:spacing w:after="0" w:line="122" w:lineRule="exact"/>
        <w:rPr>
          <w:sz w:val="20"/>
          <w:szCs w:val="20"/>
          <w:color w:val="auto"/>
        </w:rPr>
      </w:pPr>
    </w:p>
    <w:p>
      <w:pPr>
        <w:ind w:left="280" w:hanging="272"/>
        <w:spacing w:after="0"/>
        <w:tabs>
          <w:tab w:leader="none" w:pos="2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Subordination and Attornment</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30.1.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w:t>
      </w:r>
    </w:p>
    <w:p>
      <w:pPr>
        <w:spacing w:after="0" w:line="153"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30.2. Notwithstanding the foregoing, Tenant shall execute and deliver upon demand such further instrument or instruments evidencing such subordination of this Lease to the lien of any such mortgage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3" w:name="page164"/>
    <w:bookmarkEnd w:id="163"/>
    <w:p>
      <w:pPr>
        <w:jc w:val="both"/>
        <w:spacing w:after="0" w:line="266" w:lineRule="auto"/>
        <w:rPr>
          <w:sz w:val="20"/>
          <w:szCs w:val="20"/>
          <w:color w:val="auto"/>
        </w:rPr>
      </w:pPr>
      <w:r>
        <w:rPr>
          <w:rFonts w:ascii="Arial" w:cs="Arial" w:eastAsia="Arial" w:hAnsi="Arial"/>
          <w:sz w:val="16"/>
          <w:szCs w:val="16"/>
          <w:color w:val="auto"/>
        </w:rPr>
        <w:t>mortgages or deeds of trust or lease in which Landlord is tenant as may be required by Landlord. If any such mortgagee, beneficiary or landlord under a lease wherein Landlord is tenant (each, a “</w:t>
      </w:r>
      <w:r>
        <w:rPr>
          <w:rFonts w:ascii="Arial" w:cs="Arial" w:eastAsia="Arial" w:hAnsi="Arial"/>
          <w:sz w:val="16"/>
          <w:szCs w:val="16"/>
          <w:u w:val="single" w:color="auto"/>
          <w:color w:val="auto"/>
        </w:rPr>
        <w:t>Mortgagee</w:t>
      </w:r>
      <w:r>
        <w:rPr>
          <w:rFonts w:ascii="Arial" w:cs="Arial" w:eastAsia="Arial" w:hAnsi="Arial"/>
          <w:sz w:val="16"/>
          <w:szCs w:val="16"/>
          <w:color w:val="auto"/>
        </w:rPr>
        <w:t>”)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(10) days after written request therefor, Tenant hereby constitutes and appoints Landlord or its special attorney-in-fact to execute and deliver any such document or documents in the name of Tenant. Such power is coupled with an interest and is irrevocable. For the avoidance of doubt, “Mortgagees” shall also include historic tax credit investors and new market tax credit investors.</w:t>
      </w:r>
    </w:p>
    <w:p>
      <w:pPr>
        <w:spacing w:after="0" w:line="133"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30.3. Upon written request of Landlord and opportunity for Tenant to review, Tenant agrees to execute any Lease amendments not materially altering the terms of this Lease, if required by a Mortgagee incident to the financing of the real property of which the Premises constitute a part.</w:t>
      </w:r>
    </w:p>
    <w:p>
      <w:pPr>
        <w:spacing w:after="0" w:line="100"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47" w:lineRule="exact"/>
        <w:rPr>
          <w:sz w:val="20"/>
          <w:szCs w:val="20"/>
          <w:color w:val="auto"/>
        </w:rPr>
      </w:pPr>
    </w:p>
    <w:p>
      <w:pPr>
        <w:ind w:left="280" w:hanging="272"/>
        <w:spacing w:after="0"/>
        <w:tabs>
          <w:tab w:leader="none" w:pos="2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 (3) days after the date such payment is due, Tenant shall pay to Landlord (a) an additional sum of six percent (6%) of the overdue Rent as a late charge plus (b) interest at an annual rate (the “</w:t>
      </w:r>
      <w:r>
        <w:rPr>
          <w:rFonts w:ascii="Arial" w:cs="Arial" w:eastAsia="Arial" w:hAnsi="Arial"/>
          <w:sz w:val="16"/>
          <w:szCs w:val="16"/>
          <w:u w:val="single" w:color="auto"/>
          <w:color w:val="auto"/>
        </w:rPr>
        <w:t>Default Rate</w:t>
      </w:r>
      <w:r>
        <w:rPr>
          <w:rFonts w:ascii="Arial" w:cs="Arial" w:eastAsia="Arial" w:hAnsi="Arial"/>
          <w:sz w:val="16"/>
          <w:szCs w:val="16"/>
          <w:color w:val="auto"/>
        </w:rPr>
        <w:t>”) equal to the lesser of (a) twelve percent (12%) 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133"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133"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 xml:space="preserve">31.3. If Tenant fails to pay any sum of money required to be paid by it hereunder or perform any other act on its part to be performed hereunder, in each case within the applicable cure period (if any) described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then Landlord may (but shall not be obligated to), without waiving or releasing Tenant from any obligations of Tenant, make such payment or perform such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failure by Tenant unreasonably interfered with the use of the Building or the Project by any other tenant or with the efficient operation of the Building or the Project, or resulted or could have resulted in a violation of Applicable Laws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4" w:name="page165"/>
    <w:bookmarkEnd w:id="164"/>
    <w:p>
      <w:pPr>
        <w:jc w:val="both"/>
        <w:spacing w:after="0" w:line="235" w:lineRule="auto"/>
        <w:rPr>
          <w:sz w:val="20"/>
          <w:szCs w:val="20"/>
          <w:color w:val="auto"/>
        </w:rPr>
      </w:pPr>
      <w:r>
        <w:rPr>
          <w:rFonts w:ascii="Arial" w:cs="Arial" w:eastAsia="Arial" w:hAnsi="Arial"/>
          <w:sz w:val="18"/>
          <w:szCs w:val="18"/>
          <w:color w:val="auto"/>
        </w:rPr>
        <w:t>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Section 31.1, Tenant shall pay to Landlord as Additional Rent all sums so paid or incurred by Landlord, together with interest at the Default Rate, computed from the date such sums were paid or incurred.</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31.4. The occurrence of any one or more of the following events shall constitute a “</w:t>
      </w:r>
      <w:r>
        <w:rPr>
          <w:rFonts w:ascii="Arial" w:cs="Arial" w:eastAsia="Arial" w:hAnsi="Arial"/>
          <w:sz w:val="18"/>
          <w:szCs w:val="18"/>
          <w:u w:val="single" w:color="auto"/>
          <w:color w:val="auto"/>
        </w:rPr>
        <w:t>Default</w:t>
      </w:r>
      <w:r>
        <w:rPr>
          <w:rFonts w:ascii="Arial" w:cs="Arial" w:eastAsia="Arial" w:hAnsi="Arial"/>
          <w:sz w:val="18"/>
          <w:szCs w:val="18"/>
          <w:color w:val="auto"/>
        </w:rPr>
        <w:t>” hereunder by Tenant:</w:t>
      </w:r>
    </w:p>
    <w:p>
      <w:pPr>
        <w:spacing w:after="0" w:line="165" w:lineRule="exact"/>
        <w:rPr>
          <w:sz w:val="20"/>
          <w:szCs w:val="20"/>
          <w:color w:val="auto"/>
        </w:rPr>
      </w:pPr>
    </w:p>
    <w:p>
      <w:pPr>
        <w:ind w:left="1380" w:hanging="227"/>
        <w:spacing w:after="0"/>
        <w:tabs>
          <w:tab w:leader="none" w:pos="13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Tenant abandons or vacates the Premises;</w:t>
      </w:r>
    </w:p>
    <w:p>
      <w:pPr>
        <w:spacing w:after="0" w:line="164" w:lineRule="exact"/>
        <w:rPr>
          <w:rFonts w:ascii="Arial" w:cs="Arial" w:eastAsia="Arial" w:hAnsi="Arial"/>
          <w:sz w:val="18"/>
          <w:szCs w:val="18"/>
          <w:color w:val="auto"/>
        </w:rPr>
      </w:pPr>
    </w:p>
    <w:p>
      <w:pPr>
        <w:ind w:firstLine="1153"/>
        <w:spacing w:after="0" w:line="245" w:lineRule="auto"/>
        <w:tabs>
          <w:tab w:leader="none" w:pos="139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Tenant fails to make any payment of Rent, as and when due, or to satisfy its obligations under </w:t>
      </w:r>
      <w:r>
        <w:rPr>
          <w:rFonts w:ascii="Arial" w:cs="Arial" w:eastAsia="Arial" w:hAnsi="Arial"/>
          <w:sz w:val="18"/>
          <w:szCs w:val="18"/>
          <w:u w:val="single" w:color="auto"/>
          <w:color w:val="auto"/>
        </w:rPr>
        <w:t>Article 19</w:t>
      </w:r>
      <w:r>
        <w:rPr>
          <w:rFonts w:ascii="Arial" w:cs="Arial" w:eastAsia="Arial" w:hAnsi="Arial"/>
          <w:sz w:val="18"/>
          <w:szCs w:val="18"/>
          <w:color w:val="auto"/>
        </w:rPr>
        <w:t>, where such failure shall continue for a period of three (3) business days after written notice thereof from Landlord to Tenant;</w:t>
      </w:r>
    </w:p>
    <w:p>
      <w:pPr>
        <w:spacing w:after="0" w:line="146" w:lineRule="exact"/>
        <w:rPr>
          <w:rFonts w:ascii="Arial" w:cs="Arial" w:eastAsia="Arial" w:hAnsi="Arial"/>
          <w:sz w:val="18"/>
          <w:szCs w:val="18"/>
          <w:color w:val="auto"/>
        </w:rPr>
      </w:pPr>
    </w:p>
    <w:p>
      <w:pPr>
        <w:jc w:val="both"/>
        <w:ind w:firstLine="1153"/>
        <w:spacing w:after="0" w:line="269" w:lineRule="auto"/>
        <w:tabs>
          <w:tab w:leader="none" w:pos="139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Tenant fails to observe or perform any obligation or covenant contained herein (other than described in </w:t>
      </w:r>
      <w:r>
        <w:rPr>
          <w:rFonts w:ascii="Arial" w:cs="Arial" w:eastAsia="Arial" w:hAnsi="Arial"/>
          <w:sz w:val="16"/>
          <w:szCs w:val="16"/>
          <w:u w:val="single" w:color="auto"/>
          <w:color w:val="auto"/>
        </w:rPr>
        <w:t>Sections 31.4(a)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31.4(b)</w:t>
      </w:r>
      <w:r>
        <w:rPr>
          <w:rFonts w:ascii="Arial" w:cs="Arial" w:eastAsia="Arial" w:hAnsi="Arial"/>
          <w:sz w:val="16"/>
          <w:szCs w:val="16"/>
          <w:color w:val="auto"/>
        </w:rPr>
        <w:t xml:space="preserve">) to be performed by Tenant, where such failure continues for a period of thirty (30) days after written notice thereof from Landlord to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nature of Tenant’s default is such that it reasonably requires more than thirty (30) days to cure, Tenant shall not be deemed to be in Default if Tenant commences such cure within such thirty (30) day period and thereafter diligently prosecutes the same to completion;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such cure is completed no later than thirty (30) days after Tenant’s receipt of written notice from Landlord;</w:t>
      </w:r>
    </w:p>
    <w:p>
      <w:pPr>
        <w:spacing w:after="0" w:line="128" w:lineRule="exact"/>
        <w:rPr>
          <w:rFonts w:ascii="Arial" w:cs="Arial" w:eastAsia="Arial" w:hAnsi="Arial"/>
          <w:sz w:val="16"/>
          <w:szCs w:val="16"/>
          <w:color w:val="auto"/>
        </w:rPr>
      </w:pPr>
    </w:p>
    <w:p>
      <w:pPr>
        <w:ind w:left="1400" w:hanging="247"/>
        <w:spacing w:after="0"/>
        <w:tabs>
          <w:tab w:leader="none" w:pos="14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Tenant makes an assignment for the benefit of creditors;</w:t>
      </w:r>
    </w:p>
    <w:p>
      <w:pPr>
        <w:spacing w:after="0" w:line="164" w:lineRule="exact"/>
        <w:rPr>
          <w:rFonts w:ascii="Arial" w:cs="Arial" w:eastAsia="Arial" w:hAnsi="Arial"/>
          <w:sz w:val="18"/>
          <w:szCs w:val="18"/>
          <w:color w:val="auto"/>
        </w:rPr>
      </w:pPr>
    </w:p>
    <w:p>
      <w:pPr>
        <w:ind w:left="1380" w:hanging="227"/>
        <w:spacing w:after="0"/>
        <w:tabs>
          <w:tab w:leader="none" w:pos="13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 receiver, trustee or custodian is appointed to or does take title, possession or control of all or substantially all of Tenant’s assets;</w:t>
      </w:r>
    </w:p>
    <w:p>
      <w:pPr>
        <w:spacing w:after="0" w:line="187" w:lineRule="exact"/>
        <w:rPr>
          <w:rFonts w:ascii="Arial" w:cs="Arial" w:eastAsia="Arial" w:hAnsi="Arial"/>
          <w:sz w:val="16"/>
          <w:szCs w:val="16"/>
          <w:color w:val="auto"/>
        </w:rPr>
      </w:pPr>
    </w:p>
    <w:p>
      <w:pPr>
        <w:jc w:val="both"/>
        <w:ind w:firstLine="1153"/>
        <w:spacing w:after="0" w:line="237" w:lineRule="auto"/>
        <w:tabs>
          <w:tab w:leader="none" w:pos="136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Tenant files a voluntary petition under the United States Bankruptcy Code or any successor statute (as the same may be amended from time to time,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or an order for relief is entered against Tenant pursuant to a voluntary or involuntary proceeding commenced under any chapter of the Bankruptcy Code;</w:t>
      </w:r>
    </w:p>
    <w:p>
      <w:pPr>
        <w:spacing w:after="0" w:line="152" w:lineRule="exact"/>
        <w:rPr>
          <w:rFonts w:ascii="Arial" w:cs="Arial" w:eastAsia="Arial" w:hAnsi="Arial"/>
          <w:sz w:val="18"/>
          <w:szCs w:val="18"/>
          <w:color w:val="auto"/>
        </w:rPr>
      </w:pPr>
    </w:p>
    <w:p>
      <w:pPr>
        <w:ind w:left="1400" w:hanging="247"/>
        <w:spacing w:after="0"/>
        <w:tabs>
          <w:tab w:leader="none" w:pos="14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Any involuntary petition is filed against Tenant under any chapter of the Bankruptcy Code and is not dismissed within one hundred twenty</w:t>
      </w:r>
    </w:p>
    <w:p>
      <w:pPr>
        <w:spacing w:after="0" w:line="26" w:lineRule="exact"/>
        <w:rPr>
          <w:rFonts w:ascii="Arial" w:cs="Arial" w:eastAsia="Arial" w:hAnsi="Arial"/>
          <w:sz w:val="16"/>
          <w:szCs w:val="16"/>
          <w:color w:val="auto"/>
        </w:rPr>
      </w:pPr>
    </w:p>
    <w:p>
      <w:pPr>
        <w:ind w:left="440" w:hanging="432"/>
        <w:spacing w:after="0"/>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days;</w:t>
      </w:r>
    </w:p>
    <w:p>
      <w:pPr>
        <w:spacing w:after="0" w:line="150" w:lineRule="exact"/>
        <w:rPr>
          <w:rFonts w:ascii="Arial" w:cs="Arial" w:eastAsia="Arial" w:hAnsi="Arial"/>
          <w:sz w:val="18"/>
          <w:szCs w:val="18"/>
          <w:color w:val="auto"/>
        </w:rPr>
      </w:pPr>
    </w:p>
    <w:p>
      <w:pPr>
        <w:ind w:left="1400" w:hanging="247"/>
        <w:spacing w:after="0"/>
        <w:tabs>
          <w:tab w:leader="none" w:pos="14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Tenant fails to deliver an estoppel certificate in accordance with </w:t>
      </w:r>
      <w:r>
        <w:rPr>
          <w:rFonts w:ascii="Arial" w:cs="Arial" w:eastAsia="Arial" w:hAnsi="Arial"/>
          <w:sz w:val="18"/>
          <w:szCs w:val="18"/>
          <w:u w:val="single" w:color="auto"/>
          <w:color w:val="auto"/>
        </w:rPr>
        <w:t>Article 20</w:t>
      </w:r>
      <w:r>
        <w:rPr>
          <w:rFonts w:ascii="Arial" w:cs="Arial" w:eastAsia="Arial" w:hAnsi="Arial"/>
          <w:sz w:val="18"/>
          <w:szCs w:val="18"/>
          <w:color w:val="auto"/>
        </w:rPr>
        <w:t>; or</w:t>
      </w:r>
    </w:p>
    <w:p>
      <w:pPr>
        <w:spacing w:after="0" w:line="164" w:lineRule="exact"/>
        <w:rPr>
          <w:rFonts w:ascii="Arial" w:cs="Arial" w:eastAsia="Arial" w:hAnsi="Arial"/>
          <w:sz w:val="18"/>
          <w:szCs w:val="18"/>
          <w:color w:val="auto"/>
        </w:rPr>
      </w:pPr>
    </w:p>
    <w:p>
      <w:pPr>
        <w:ind w:firstLine="1153"/>
        <w:spacing w:after="0" w:line="245" w:lineRule="auto"/>
        <w:tabs>
          <w:tab w:leader="none" w:pos="137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Tenant’s interest in this Lease is attached, executed upon or otherwise judicially seized and such action is not released within one hundred twenty (120) days of the action.</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5" w:name="page166"/>
    <w:bookmarkEnd w:id="165"/>
    <w:p>
      <w:pPr>
        <w:ind w:firstLine="764"/>
        <w:spacing w:after="0" w:line="245" w:lineRule="auto"/>
        <w:rPr>
          <w:sz w:val="20"/>
          <w:szCs w:val="20"/>
          <w:color w:val="auto"/>
        </w:rPr>
      </w:pPr>
      <w:r>
        <w:rPr>
          <w:rFonts w:ascii="Arial" w:cs="Arial" w:eastAsia="Arial" w:hAnsi="Arial"/>
          <w:sz w:val="18"/>
          <w:szCs w:val="18"/>
          <w:color w:val="auto"/>
        </w:rPr>
        <w:t>31.5.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146" w:lineRule="exact"/>
        <w:rPr>
          <w:sz w:val="20"/>
          <w:szCs w:val="20"/>
          <w:color w:val="auto"/>
        </w:rPr>
      </w:pPr>
    </w:p>
    <w:p>
      <w:pPr>
        <w:ind w:firstLine="1153"/>
        <w:spacing w:after="0" w:line="245" w:lineRule="auto"/>
        <w:tabs>
          <w:tab w:leader="none" w:pos="139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Halt any Tenant Improvements or Landlord’s Work and Alterations and order Tenant’s contractors, subcontractors, consultants, designers and material suppliers to stop work;</w:t>
      </w:r>
    </w:p>
    <w:p>
      <w:pPr>
        <w:spacing w:after="0" w:line="146" w:lineRule="exact"/>
        <w:rPr>
          <w:rFonts w:ascii="Arial" w:cs="Arial" w:eastAsia="Arial" w:hAnsi="Arial"/>
          <w:sz w:val="18"/>
          <w:szCs w:val="18"/>
          <w:color w:val="auto"/>
        </w:rPr>
      </w:pPr>
    </w:p>
    <w:p>
      <w:pPr>
        <w:jc w:val="both"/>
        <w:ind w:firstLine="1153"/>
        <w:spacing w:after="0" w:line="273" w:lineRule="auto"/>
        <w:tabs>
          <w:tab w:leader="none" w:pos="14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125" w:lineRule="exact"/>
        <w:rPr>
          <w:rFonts w:ascii="Arial" w:cs="Arial" w:eastAsia="Arial" w:hAnsi="Arial"/>
          <w:sz w:val="16"/>
          <w:szCs w:val="16"/>
          <w:color w:val="auto"/>
        </w:rPr>
      </w:pPr>
    </w:p>
    <w:p>
      <w:pPr>
        <w:jc w:val="both"/>
        <w:ind w:firstLine="1534"/>
        <w:spacing w:after="0" w:line="269" w:lineRule="auto"/>
        <w:tabs>
          <w:tab w:leader="none" w:pos="173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 the sum of:</w:t>
      </w:r>
    </w:p>
    <w:p>
      <w:pPr>
        <w:spacing w:after="0" w:line="128" w:lineRule="exact"/>
        <w:rPr>
          <w:rFonts w:ascii="Arial" w:cs="Arial" w:eastAsia="Arial" w:hAnsi="Arial"/>
          <w:sz w:val="16"/>
          <w:szCs w:val="16"/>
          <w:color w:val="auto"/>
        </w:rPr>
      </w:pPr>
    </w:p>
    <w:p>
      <w:pPr>
        <w:ind w:left="2200" w:hanging="283"/>
        <w:spacing w:after="0"/>
        <w:tabs>
          <w:tab w:leader="none" w:pos="220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that had accrued at the time of such termination; plus</w:t>
      </w:r>
    </w:p>
    <w:p>
      <w:pPr>
        <w:spacing w:after="0" w:line="164" w:lineRule="exact"/>
        <w:rPr>
          <w:rFonts w:ascii="Arial" w:cs="Arial" w:eastAsia="Arial" w:hAnsi="Arial"/>
          <w:sz w:val="18"/>
          <w:szCs w:val="18"/>
          <w:color w:val="auto"/>
        </w:rPr>
      </w:pPr>
    </w:p>
    <w:p>
      <w:pPr>
        <w:ind w:left="2200" w:hanging="283"/>
        <w:spacing w:after="0"/>
        <w:tabs>
          <w:tab w:leader="none" w:pos="220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costs of restoring the Premises to the condition required under the terms of this Lease; plus</w:t>
      </w:r>
    </w:p>
    <w:p>
      <w:pPr>
        <w:spacing w:after="0" w:line="164" w:lineRule="exact"/>
        <w:rPr>
          <w:rFonts w:ascii="Arial" w:cs="Arial" w:eastAsia="Arial" w:hAnsi="Arial"/>
          <w:sz w:val="18"/>
          <w:szCs w:val="18"/>
          <w:color w:val="auto"/>
        </w:rPr>
      </w:pPr>
    </w:p>
    <w:p>
      <w:pPr>
        <w:jc w:val="both"/>
        <w:ind w:firstLine="1917"/>
        <w:spacing w:after="0" w:line="263" w:lineRule="auto"/>
        <w:tabs>
          <w:tab w:leader="none" w:pos="2218" w:val="left"/>
        </w:tabs>
        <w:numPr>
          <w:ilvl w:val="2"/>
          <w:numId w:val="132"/>
        </w:numPr>
        <w:rPr>
          <w:rFonts w:ascii="Arial" w:cs="Arial" w:eastAsia="Arial" w:hAnsi="Arial"/>
          <w:sz w:val="16"/>
          <w:szCs w:val="16"/>
          <w:color w:val="auto"/>
        </w:rPr>
      </w:pPr>
      <w:r>
        <w:rPr>
          <w:rFonts w:ascii="Arial" w:cs="Arial" w:eastAsia="Arial" w:hAnsi="Arial"/>
          <w:sz w:val="16"/>
          <w:szCs w:val="16"/>
          <w:color w:val="auto"/>
        </w:rPr>
        <w:t>An amount (the “</w:t>
      </w:r>
      <w:r>
        <w:rPr>
          <w:rFonts w:ascii="Arial" w:cs="Arial" w:eastAsia="Arial" w:hAnsi="Arial"/>
          <w:sz w:val="16"/>
          <w:szCs w:val="16"/>
          <w:u w:val="single" w:color="auto"/>
          <w:color w:val="auto"/>
        </w:rPr>
        <w:t>Election Amount</w:t>
      </w:r>
      <w:r>
        <w:rPr>
          <w:rFonts w:ascii="Arial" w:cs="Arial" w:eastAsia="Arial" w:hAnsi="Arial"/>
          <w:sz w:val="16"/>
          <w:szCs w:val="16"/>
          <w:color w:val="auto"/>
        </w:rPr>
        <w:t>”) equal to either (A)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 (1) percentage point (the “</w:t>
      </w:r>
      <w:r>
        <w:rPr>
          <w:rFonts w:ascii="Arial" w:cs="Arial" w:eastAsia="Arial" w:hAnsi="Arial"/>
          <w:sz w:val="16"/>
          <w:szCs w:val="16"/>
          <w:u w:val="single" w:color="auto"/>
          <w:color w:val="auto"/>
        </w:rPr>
        <w:t>Discount Rate</w:t>
      </w:r>
      <w:r>
        <w:rPr>
          <w:rFonts w:ascii="Arial" w:cs="Arial" w:eastAsia="Arial" w:hAnsi="Arial"/>
          <w:sz w:val="16"/>
          <w:szCs w:val="16"/>
          <w:color w:val="auto"/>
        </w:rPr>
        <w:t>”) or (B)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used in </w:t>
      </w:r>
      <w:r>
        <w:rPr>
          <w:rFonts w:ascii="Arial" w:cs="Arial" w:eastAsia="Arial" w:hAnsi="Arial"/>
          <w:sz w:val="18"/>
          <w:szCs w:val="18"/>
          <w:u w:val="single" w:color="auto"/>
          <w:color w:val="auto"/>
        </w:rPr>
        <w:t>Section 31.5(c)(i)</w:t>
      </w:r>
      <w:r>
        <w:rPr>
          <w:rFonts w:ascii="Arial" w:cs="Arial" w:eastAsia="Arial" w:hAnsi="Arial"/>
          <w:sz w:val="18"/>
          <w:szCs w:val="18"/>
          <w:color w:val="auto"/>
        </w:rPr>
        <w:t>, “worth at the time of award” shall be computed by allowing interest at the Default Rate.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6" w:name="page167"/>
    <w:bookmarkEnd w:id="166"/>
    <w:p>
      <w:pPr>
        <w:jc w:val="both"/>
        <w:ind w:firstLine="764"/>
        <w:spacing w:after="0" w:line="281" w:lineRule="auto"/>
        <w:rPr>
          <w:sz w:val="20"/>
          <w:szCs w:val="20"/>
          <w:color w:val="auto"/>
        </w:rPr>
      </w:pPr>
      <w:r>
        <w:rPr>
          <w:rFonts w:ascii="Arial" w:cs="Arial" w:eastAsia="Arial" w:hAnsi="Arial"/>
          <w:sz w:val="16"/>
          <w:szCs w:val="16"/>
          <w:color w:val="auto"/>
        </w:rPr>
        <w:t>31.6. In addition to any other remedies available to Landlord at law or in equity and under this Lease, Landlord may continue this Lease in effect after Tenant’s Default or abandonment and recover Rent as it becomes due.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119" w:lineRule="exact"/>
        <w:rPr>
          <w:sz w:val="20"/>
          <w:szCs w:val="20"/>
          <w:color w:val="auto"/>
        </w:rPr>
      </w:pPr>
    </w:p>
    <w:p>
      <w:pPr>
        <w:ind w:firstLine="1153"/>
        <w:spacing w:after="0" w:line="245" w:lineRule="auto"/>
        <w:tabs>
          <w:tab w:leader="none" w:pos="13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146" w:lineRule="exact"/>
        <w:rPr>
          <w:rFonts w:ascii="Arial" w:cs="Arial" w:eastAsia="Arial" w:hAnsi="Arial"/>
          <w:sz w:val="18"/>
          <w:szCs w:val="18"/>
          <w:color w:val="auto"/>
        </w:rPr>
      </w:pPr>
    </w:p>
    <w:p>
      <w:pPr>
        <w:ind w:left="1400" w:hanging="247"/>
        <w:spacing w:after="0"/>
        <w:tabs>
          <w:tab w:leader="none" w:pos="1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appointment of a receiver upon the initiative of Landlord to protect Landlord’s interest under this Lease or in the Premises.</w:t>
      </w:r>
    </w:p>
    <w:p>
      <w:pPr>
        <w:spacing w:after="0" w:line="16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Notwithstanding the foregoing, in the event of a Default by Tenant, Landlord may elect at any time to terminate this Lease and to recover damages to which Landlord is entitled.</w:t>
      </w:r>
    </w:p>
    <w:p>
      <w:pPr>
        <w:spacing w:after="0" w:line="146" w:lineRule="exact"/>
        <w:rPr>
          <w:sz w:val="20"/>
          <w:szCs w:val="20"/>
          <w:color w:val="auto"/>
        </w:rPr>
      </w:pPr>
    </w:p>
    <w:p>
      <w:pPr>
        <w:ind w:firstLine="764"/>
        <w:spacing w:after="0" w:line="306" w:lineRule="auto"/>
        <w:rPr>
          <w:sz w:val="20"/>
          <w:szCs w:val="20"/>
          <w:color w:val="auto"/>
        </w:rPr>
      </w:pPr>
      <w:r>
        <w:rPr>
          <w:rFonts w:ascii="Arial" w:cs="Arial" w:eastAsia="Arial" w:hAnsi="Arial"/>
          <w:sz w:val="16"/>
          <w:szCs w:val="16"/>
          <w:color w:val="auto"/>
        </w:rPr>
        <w:t xml:space="preserve">31.7. If Landlord does not elect to terminate this Lease as provided in </w:t>
      </w:r>
      <w:r>
        <w:rPr>
          <w:rFonts w:ascii="Arial" w:cs="Arial" w:eastAsia="Arial" w:hAnsi="Arial"/>
          <w:sz w:val="16"/>
          <w:szCs w:val="16"/>
          <w:u w:val="single" w:color="auto"/>
          <w:color w:val="auto"/>
        </w:rPr>
        <w:t>Section 31.5</w:t>
      </w:r>
      <w:r>
        <w:rPr>
          <w:rFonts w:ascii="Arial" w:cs="Arial" w:eastAsia="Arial" w:hAnsi="Arial"/>
          <w:sz w:val="16"/>
          <w:szCs w:val="16"/>
          <w:color w:val="auto"/>
        </w:rPr>
        <w:t>, then Landlord may, from time to time, recover all Rent as it becomes due under this Lease. At any time thereafter, Landlord may elect to terminate this Lease and to recover damages to which Landlord is entitled.</w:t>
      </w:r>
    </w:p>
    <w:p>
      <w:pPr>
        <w:spacing w:after="0" w:line="100" w:lineRule="exact"/>
        <w:rPr>
          <w:sz w:val="20"/>
          <w:szCs w:val="20"/>
          <w:color w:val="auto"/>
        </w:rPr>
      </w:pPr>
    </w:p>
    <w:p>
      <w:pPr>
        <w:ind w:firstLine="764"/>
        <w:spacing w:after="0" w:line="306" w:lineRule="auto"/>
        <w:rPr>
          <w:sz w:val="20"/>
          <w:szCs w:val="20"/>
          <w:color w:val="auto"/>
        </w:rPr>
      </w:pPr>
      <w:r>
        <w:rPr>
          <w:rFonts w:ascii="Arial" w:cs="Arial" w:eastAsia="Arial" w:hAnsi="Arial"/>
          <w:sz w:val="16"/>
          <w:szCs w:val="16"/>
          <w:color w:val="auto"/>
        </w:rPr>
        <w:t>31.8.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00" w:lineRule="exact"/>
        <w:rPr>
          <w:sz w:val="20"/>
          <w:szCs w:val="20"/>
          <w:color w:val="auto"/>
        </w:rPr>
      </w:pPr>
    </w:p>
    <w:p>
      <w:pPr>
        <w:ind w:firstLine="1153"/>
        <w:spacing w:after="0" w:line="245" w:lineRule="auto"/>
        <w:tabs>
          <w:tab w:leader="none" w:pos="140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First, to the payment of any indebtedness other than Rent due hereunder from Tenant to Landlord, including storage charges or brokerage commissions owing from Tenant to Landlord as the result of such reletting;</w:t>
      </w:r>
    </w:p>
    <w:p>
      <w:pPr>
        <w:spacing w:after="0" w:line="146" w:lineRule="exact"/>
        <w:rPr>
          <w:rFonts w:ascii="Arial" w:cs="Arial" w:eastAsia="Arial" w:hAnsi="Arial"/>
          <w:sz w:val="18"/>
          <w:szCs w:val="18"/>
          <w:color w:val="auto"/>
        </w:rPr>
      </w:pPr>
    </w:p>
    <w:p>
      <w:pPr>
        <w:jc w:val="both"/>
        <w:ind w:firstLine="1153"/>
        <w:spacing w:after="0" w:line="237" w:lineRule="auto"/>
        <w:tabs>
          <w:tab w:leader="none" w:pos="13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52" w:lineRule="exact"/>
        <w:rPr>
          <w:rFonts w:ascii="Arial" w:cs="Arial" w:eastAsia="Arial" w:hAnsi="Arial"/>
          <w:sz w:val="18"/>
          <w:szCs w:val="18"/>
          <w:color w:val="auto"/>
        </w:rPr>
      </w:pPr>
    </w:p>
    <w:p>
      <w:pPr>
        <w:ind w:left="1380" w:hanging="227"/>
        <w:spacing w:after="0"/>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Third, to the payment of Rent and other charges due and unpaid hereunder; and</w:t>
      </w:r>
    </w:p>
    <w:p>
      <w:pPr>
        <w:spacing w:after="0" w:line="164" w:lineRule="exact"/>
        <w:rPr>
          <w:rFonts w:ascii="Arial" w:cs="Arial" w:eastAsia="Arial" w:hAnsi="Arial"/>
          <w:sz w:val="18"/>
          <w:szCs w:val="18"/>
          <w:color w:val="auto"/>
        </w:rPr>
      </w:pPr>
    </w:p>
    <w:p>
      <w:pPr>
        <w:ind w:left="1400" w:hanging="247"/>
        <w:spacing w:after="0"/>
        <w:tabs>
          <w:tab w:leader="none" w:pos="14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Fourth, to the payment of future Rent and other damages payable by Tenant under this Lease.</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31.9.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Any obligation imposed by Applicable Law upon Landlord to relet the Premises after any termination of this Lease shall be subject to the reasonable requirements of Landlord to (a) lease to high quality tenants on such terms as Landlord may from time to time deem appropriate in its discretion and (b) develop the Project in a harmonious manner with a mix of uses, tenants, floor areas, terms of tenancies, etc., as determined by Landlord. Landlord shall not be obligated to relet the Premises to (y) any Tenant’s Affiliate or (z) any party (i) unacceptable to a Lender, (ii) that requires Landlord to make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7" w:name="page168"/>
    <w:bookmarkEnd w:id="167"/>
    <w:p>
      <w:pPr>
        <w:jc w:val="both"/>
        <w:spacing w:after="0" w:line="237" w:lineRule="auto"/>
        <w:rPr>
          <w:sz w:val="20"/>
          <w:szCs w:val="20"/>
          <w:color w:val="auto"/>
        </w:rPr>
      </w:pPr>
      <w:r>
        <w:rPr>
          <w:rFonts w:ascii="Arial" w:cs="Arial" w:eastAsia="Arial" w:hAnsi="Arial"/>
          <w:sz w:val="18"/>
          <w:szCs w:val="18"/>
          <w:color w:val="auto"/>
        </w:rPr>
        <w:t>improvements to or re-demise the Premises, (iii) that desires to change the Permitted Use, (iv) 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153"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31.10.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153"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31.11.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00"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 xml:space="preserve">31.12.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133"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 xml:space="preserve">31.13. In the event of any default by Landlord, Tenant shall give notice by registered or certified mail to any (a) beneficiary of a deed of trust or (b) mortgagee under a mortgage covering the Premises, the Building or the Project and to any landlord of any lease of land upon or within which the Premises, the Building or the Project is located, and shall offer such beneficiary, mortgagee or landlord a reasonable opportunity to cure the default, including time to obtain possession of the Building or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shall furnish to Tenant in writing, upon written request by Tenant, the names and addresses of all such persons who are to receive such notices.</w:t>
      </w:r>
    </w:p>
    <w:p>
      <w:pPr>
        <w:spacing w:after="0" w:line="128" w:lineRule="exact"/>
        <w:rPr>
          <w:sz w:val="20"/>
          <w:szCs w:val="20"/>
          <w:color w:val="auto"/>
        </w:rPr>
      </w:pPr>
    </w:p>
    <w:p>
      <w:pPr>
        <w:jc w:val="both"/>
        <w:ind w:firstLine="8"/>
        <w:spacing w:after="0" w:line="234" w:lineRule="auto"/>
        <w:tabs>
          <w:tab w:leader="none" w:pos="26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150" w:lineRule="exact"/>
        <w:rPr>
          <w:sz w:val="20"/>
          <w:szCs w:val="20"/>
          <w:color w:val="auto"/>
        </w:rPr>
      </w:pPr>
    </w:p>
    <w:p>
      <w:pPr>
        <w:ind w:firstLine="764"/>
        <w:spacing w:after="0" w:line="245" w:lineRule="auto"/>
        <w:rPr>
          <w:sz w:val="20"/>
          <w:szCs w:val="20"/>
          <w:color w:val="auto"/>
        </w:rPr>
      </w:pPr>
      <w:r>
        <w:rPr>
          <w:rFonts w:ascii="Arial" w:cs="Arial" w:eastAsia="Arial" w:hAnsi="Arial"/>
          <w:sz w:val="18"/>
          <w:szCs w:val="18"/>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32.2. A prompt cash payment to compensate Landlord for any monetary defaults or actual damages arising directly from a breach of this Lease;</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32.3. A cash deposit in an amount at least equal to the then-current amount of the Security Deposit; or</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32.4. The assumption or assignment of all of Tenant’s interest and obligations under this Lease.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68" w:name="page169"/>
    <w:bookmarkEnd w:id="168"/>
    <w:p>
      <w:pPr>
        <w:ind w:left="280" w:hanging="272"/>
        <w:spacing w:after="0"/>
        <w:tabs>
          <w:tab w:leader="none" w:pos="2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33.1. Tenant represents and warrants that it has had no dealings with any real estate broker or agent in connection with the negotiation of this Lease other than Transwestern | RBJ, Inc. and Cushman and Wakefield of Massachusetts, Inc. (collectively, “</w:t>
      </w:r>
      <w:r>
        <w:rPr>
          <w:rFonts w:ascii="Arial" w:cs="Arial" w:eastAsia="Arial" w:hAnsi="Arial"/>
          <w:sz w:val="18"/>
          <w:szCs w:val="18"/>
          <w:u w:val="single" w:color="auto"/>
          <w:color w:val="auto"/>
        </w:rPr>
        <w:t>Broker</w:t>
      </w:r>
      <w:r>
        <w:rPr>
          <w:rFonts w:ascii="Arial" w:cs="Arial" w:eastAsia="Arial" w:hAnsi="Arial"/>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52"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33.2. Tenant represents and warrants that no broker or agent has made any representation or warranty relied upon by Tenant in Tenant’s decision to enter into this Lease, other than as contained in this Lease.</w:t>
      </w:r>
    </w:p>
    <w:p>
      <w:pPr>
        <w:spacing w:after="0" w:line="146" w:lineRule="exact"/>
        <w:rPr>
          <w:sz w:val="20"/>
          <w:szCs w:val="20"/>
          <w:color w:val="auto"/>
        </w:rPr>
      </w:pPr>
    </w:p>
    <w:p>
      <w:pPr>
        <w:jc w:val="both"/>
        <w:ind w:firstLine="764"/>
        <w:spacing w:after="0" w:line="308" w:lineRule="auto"/>
        <w:rPr>
          <w:sz w:val="20"/>
          <w:szCs w:val="20"/>
          <w:color w:val="auto"/>
        </w:rPr>
      </w:pPr>
      <w:r>
        <w:rPr>
          <w:rFonts w:ascii="Arial" w:cs="Arial" w:eastAsia="Arial" w:hAnsi="Arial"/>
          <w:sz w:val="15"/>
          <w:szCs w:val="15"/>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Arial" w:cs="Arial" w:eastAsia="Arial" w:hAnsi="Arial"/>
          <w:sz w:val="15"/>
          <w:szCs w:val="15"/>
          <w:u w:val="single" w:color="auto"/>
          <w:color w:val="auto"/>
        </w:rPr>
        <w:t>Sections 33.1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33.2</w:t>
      </w:r>
      <w:r>
        <w:rPr>
          <w:rFonts w:ascii="Arial" w:cs="Arial" w:eastAsia="Arial" w:hAnsi="Arial"/>
          <w:sz w:val="15"/>
          <w:szCs w:val="15"/>
          <w:color w:val="auto"/>
        </w:rPr>
        <w:t>.</w:t>
      </w:r>
    </w:p>
    <w:p>
      <w:pPr>
        <w:spacing w:after="0" w:line="102"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33.4. Tenant agrees to indemnify, save, defend (at Landlord’s option and with counsel reasonably acceptable to Landlord) and hold the Landlord Indemnitees harmless from any and all cost or liability for compensation claimed by any broker or agent, other than Broker, employed or engaged by Tenant or claiming to have been employed or engaged by Tenant.</w:t>
      </w:r>
    </w:p>
    <w:p>
      <w:pPr>
        <w:spacing w:after="0" w:line="153" w:lineRule="exact"/>
        <w:rPr>
          <w:sz w:val="20"/>
          <w:szCs w:val="20"/>
          <w:color w:val="auto"/>
        </w:rPr>
      </w:pPr>
    </w:p>
    <w:p>
      <w:pPr>
        <w:jc w:val="both"/>
        <w:ind w:firstLine="8"/>
        <w:spacing w:after="0" w:line="263" w:lineRule="auto"/>
        <w:tabs>
          <w:tab w:leader="none" w:pos="262"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Definition of Landlord</w:t>
      </w:r>
      <w:r>
        <w:rPr>
          <w:rFonts w:ascii="Arial" w:cs="Arial" w:eastAsia="Arial" w:hAnsi="Arial"/>
          <w:sz w:val="16"/>
          <w:szCs w:val="16"/>
          <w:color w:val="auto"/>
        </w:rPr>
        <w:t>. With regard to obligations imposed upon Landlord pursuant to this Lease, the term “</w:t>
      </w:r>
      <w:r>
        <w:rPr>
          <w:rFonts w:ascii="Arial" w:cs="Arial" w:eastAsia="Arial" w:hAnsi="Arial"/>
          <w:sz w:val="16"/>
          <w:szCs w:val="16"/>
          <w:u w:val="single" w:color="auto"/>
          <w:color w:val="auto"/>
        </w:rPr>
        <w:t>Landlord</w:t>
      </w:r>
      <w:r>
        <w:rPr>
          <w:rFonts w:ascii="Arial" w:cs="Arial" w:eastAsia="Arial" w:hAnsi="Arial"/>
          <w:sz w:val="16"/>
          <w:szCs w:val="16"/>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31" w:lineRule="exact"/>
        <w:rPr>
          <w:rFonts w:ascii="Arial" w:cs="Arial" w:eastAsia="Arial" w:hAnsi="Arial"/>
          <w:sz w:val="16"/>
          <w:szCs w:val="16"/>
          <w:color w:val="auto"/>
        </w:rPr>
      </w:pPr>
    </w:p>
    <w:p>
      <w:pPr>
        <w:ind w:left="280" w:hanging="272"/>
        <w:spacing w:after="0"/>
        <w:tabs>
          <w:tab w:leader="none" w:pos="2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Limitation of Landlord’s Liability</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125"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35.2.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169" w:name="page170"/>
    <w:bookmarkEnd w:id="169"/>
    <w:p>
      <w:pPr>
        <w:jc w:val="both"/>
        <w:spacing w:after="0" w:line="281" w:lineRule="auto"/>
        <w:rPr>
          <w:sz w:val="20"/>
          <w:szCs w:val="20"/>
          <w:color w:val="auto"/>
        </w:rPr>
      </w:pPr>
      <w:r>
        <w:rPr>
          <w:rFonts w:ascii="Arial" w:cs="Arial" w:eastAsia="Arial" w:hAnsi="Arial"/>
          <w:sz w:val="16"/>
          <w:szCs w:val="16"/>
          <w:color w:val="auto"/>
        </w:rPr>
        <w:t>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119" w:lineRule="exact"/>
        <w:rPr>
          <w:sz w:val="20"/>
          <w:szCs w:val="20"/>
          <w:color w:val="auto"/>
        </w:rPr>
      </w:pPr>
    </w:p>
    <w:p>
      <w:pPr>
        <w:jc w:val="both"/>
        <w:ind w:right="20" w:firstLine="764"/>
        <w:spacing w:after="0" w:line="245" w:lineRule="auto"/>
        <w:rPr>
          <w:sz w:val="20"/>
          <w:szCs w:val="20"/>
          <w:color w:val="auto"/>
        </w:rPr>
      </w:pPr>
      <w:r>
        <w:rPr>
          <w:rFonts w:ascii="Arial" w:cs="Arial" w:eastAsia="Arial" w:hAnsi="Arial"/>
          <w:sz w:val="18"/>
          <w:szCs w:val="18"/>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If more than one person or entity executes this Lease as Tenant, then:</w:t>
      </w:r>
    </w:p>
    <w:p>
      <w:pPr>
        <w:spacing w:after="0" w:line="165"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36.1.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153"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36.2. The term “</w:t>
      </w:r>
      <w:r>
        <w:rPr>
          <w:rFonts w:ascii="Arial" w:cs="Arial" w:eastAsia="Arial" w:hAnsi="Arial"/>
          <w:sz w:val="18"/>
          <w:szCs w:val="18"/>
          <w:u w:val="single" w:color="auto"/>
          <w:color w:val="auto"/>
        </w:rPr>
        <w:t>Tenant</w:t>
      </w:r>
      <w:r>
        <w:rPr>
          <w:rFonts w:ascii="Arial" w:cs="Arial" w:eastAsia="Arial" w:hAnsi="Arial"/>
          <w:sz w:val="18"/>
          <w:szCs w:val="18"/>
          <w:color w:val="auto"/>
        </w:rPr>
        <w:t>,”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52" w:lineRule="exact"/>
        <w:rPr>
          <w:sz w:val="20"/>
          <w:szCs w:val="20"/>
          <w:color w:val="auto"/>
        </w:rPr>
      </w:pPr>
    </w:p>
    <w:p>
      <w:pPr>
        <w:jc w:val="both"/>
        <w:ind w:firstLine="8"/>
        <w:spacing w:after="0" w:line="261" w:lineRule="auto"/>
        <w:tabs>
          <w:tab w:leader="none" w:pos="262"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w:t>
      </w:r>
      <w:r>
        <w:rPr>
          <w:rFonts w:ascii="Arial" w:cs="Arial" w:eastAsia="Arial" w:hAnsi="Arial"/>
          <w:sz w:val="16"/>
          <w:szCs w:val="16"/>
          <w:u w:val="single" w:color="auto"/>
          <w:color w:val="auto"/>
        </w:rPr>
        <w:t>OFAC</w:t>
      </w:r>
      <w:r>
        <w:rPr>
          <w:rFonts w:ascii="Arial" w:cs="Arial" w:eastAsia="Arial" w:hAnsi="Arial"/>
          <w:sz w:val="16"/>
          <w:szCs w:val="16"/>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139" w:lineRule="exact"/>
        <w:rPr>
          <w:rFonts w:ascii="Arial" w:cs="Arial" w:eastAsia="Arial" w:hAnsi="Arial"/>
          <w:sz w:val="16"/>
          <w:szCs w:val="16"/>
          <w:color w:val="auto"/>
        </w:rPr>
      </w:pPr>
    </w:p>
    <w:p>
      <w:pPr>
        <w:jc w:val="both"/>
        <w:ind w:firstLine="8"/>
        <w:spacing w:after="0" w:line="265" w:lineRule="auto"/>
        <w:tabs>
          <w:tab w:leader="none" w:pos="284"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Tenant shall keep the terms and conditions of this Lease and any information provided to Tenant or its employees, agents or contractors pursuant to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(b) provide to any third party an original or copy of this Lease (or any Lease-related document).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or in any judicial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releasing party has given the other party reasonable notice of such requirement, if feasible, (y)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0" w:name="page171"/>
    <w:bookmarkEnd w:id="170"/>
    <w:p>
      <w:pPr>
        <w:spacing w:after="0" w:line="306" w:lineRule="auto"/>
        <w:rPr>
          <w:sz w:val="20"/>
          <w:szCs w:val="20"/>
          <w:color w:val="auto"/>
        </w:rPr>
      </w:pPr>
      <w:r>
        <w:rPr>
          <w:rFonts w:ascii="Arial" w:cs="Arial" w:eastAsia="Arial" w:hAnsi="Arial"/>
          <w:sz w:val="16"/>
          <w:szCs w:val="16"/>
          <w:color w:val="auto"/>
        </w:rPr>
        <w:t xml:space="preserve">to a party’s attorneys, accountants, brokers and other bona fide consultants or advisers (with respect to this Lease only);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third parties agree to be bound by this Section or (z) to bona fide prospective assignees or subtenants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they agree in writing to be bound by this Section.</w:t>
      </w:r>
    </w:p>
    <w:p>
      <w:pPr>
        <w:spacing w:after="0" w:line="100" w:lineRule="exact"/>
        <w:rPr>
          <w:sz w:val="20"/>
          <w:szCs w:val="20"/>
          <w:color w:val="auto"/>
        </w:rPr>
      </w:pPr>
    </w:p>
    <w:p>
      <w:pPr>
        <w:jc w:val="both"/>
        <w:ind w:firstLine="8"/>
        <w:spacing w:after="0" w:line="263" w:lineRule="auto"/>
        <w:tabs>
          <w:tab w:leader="none" w:pos="273"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stated in this Lease, any notice, consent, demand, invoice, statement or other communication required or permitted to be given hereunder shall be in writing and shall be given by (a) personal delivery, (b) overnight delivery with a reputable international overnight delivery service, such as FedEx, or (c) facsimile or email transmission, so long as such transmission is followed within one (1) business day by delivery utilizing one of the methods described in </w:t>
      </w:r>
      <w:r>
        <w:rPr>
          <w:rFonts w:ascii="Arial" w:cs="Arial" w:eastAsia="Arial" w:hAnsi="Arial"/>
          <w:sz w:val="16"/>
          <w:szCs w:val="16"/>
          <w:u w:val="single" w:color="auto"/>
          <w:color w:val="auto"/>
        </w:rPr>
        <w:t>Subsection 39(a)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Any such notice, consent, demand, invoice, statement or other communication shall be deemed delivered (x) upon receipt, if given in accordance with </w:t>
      </w:r>
      <w:r>
        <w:rPr>
          <w:rFonts w:ascii="Arial" w:cs="Arial" w:eastAsia="Arial" w:hAnsi="Arial"/>
          <w:sz w:val="16"/>
          <w:szCs w:val="16"/>
          <w:u w:val="single" w:color="auto"/>
          <w:color w:val="auto"/>
        </w:rPr>
        <w:t>Subsection 39(a)</w:t>
      </w:r>
      <w:r>
        <w:rPr>
          <w:rFonts w:ascii="Arial" w:cs="Arial" w:eastAsia="Arial" w:hAnsi="Arial"/>
          <w:sz w:val="16"/>
          <w:szCs w:val="16"/>
          <w:color w:val="auto"/>
        </w:rPr>
        <w:t xml:space="preserve">; (y) one (1) business day after deposit with a reputable international overnight delivery service, if given if given in accordance with </w:t>
      </w:r>
      <w:r>
        <w:rPr>
          <w:rFonts w:ascii="Arial" w:cs="Arial" w:eastAsia="Arial" w:hAnsi="Arial"/>
          <w:sz w:val="16"/>
          <w:szCs w:val="16"/>
          <w:u w:val="single" w:color="auto"/>
          <w:color w:val="auto"/>
        </w:rPr>
        <w:t>Subsection 39(b)</w:t>
      </w:r>
      <w:r>
        <w:rPr>
          <w:rFonts w:ascii="Arial" w:cs="Arial" w:eastAsia="Arial" w:hAnsi="Arial"/>
          <w:sz w:val="16"/>
          <w:szCs w:val="16"/>
          <w:color w:val="auto"/>
        </w:rPr>
        <w:t xml:space="preserve">; or (z) upon transmission, if given in accordance with </w:t>
      </w:r>
      <w:r>
        <w:rPr>
          <w:rFonts w:ascii="Arial" w:cs="Arial" w:eastAsia="Arial" w:hAnsi="Arial"/>
          <w:sz w:val="16"/>
          <w:szCs w:val="16"/>
          <w:u w:val="single" w:color="auto"/>
          <w:color w:val="auto"/>
        </w:rPr>
        <w:t>Subsection 39(c)</w:t>
      </w:r>
      <w:r>
        <w:rPr>
          <w:rFonts w:ascii="Arial" w:cs="Arial" w:eastAsia="Arial" w:hAnsi="Arial"/>
          <w:sz w:val="16"/>
          <w:szCs w:val="16"/>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Arial" w:cs="Arial" w:eastAsia="Arial" w:hAnsi="Arial"/>
          <w:sz w:val="16"/>
          <w:szCs w:val="16"/>
          <w:u w:val="single" w:color="auto"/>
          <w:color w:val="auto"/>
        </w:rPr>
        <w:t>Sections 2.9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 respectively. Either party may, by notice to the other given pursuant to this Section, specify additional or different addresses for notice purposes.</w:t>
      </w:r>
    </w:p>
    <w:p>
      <w:pPr>
        <w:spacing w:after="0" w:line="132" w:lineRule="exact"/>
        <w:rPr>
          <w:rFonts w:ascii="Arial" w:cs="Arial" w:eastAsia="Arial" w:hAnsi="Arial"/>
          <w:sz w:val="16"/>
          <w:szCs w:val="16"/>
          <w:color w:val="auto"/>
        </w:rPr>
      </w:pPr>
    </w:p>
    <w:p>
      <w:pPr>
        <w:ind w:left="280" w:hanging="272"/>
        <w:spacing w:after="0"/>
        <w:tabs>
          <w:tab w:leader="none" w:pos="2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40.1. Landlord reserves the right to change the name of the Building or the Project in its sole discretion.</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40.2. To induce Landlord to enter into this Lease, Tenant agrees that it shall promptly furnish to Landlord, from time to time, upon Landlord’s written request, the most recent year-end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 audited by a nationally recognized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The provisions of this Section shall not apply at any time while Tenant is a corporation whose shares are traded on any nationally recognized stock exchange.</w:t>
      </w:r>
    </w:p>
    <w:p>
      <w:pPr>
        <w:spacing w:after="0" w:line="137"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40.3. Submission of this instrument for examination or signature by Tenant does not constitute a reservation of or option for a lease, and shall not be effective as a lease or otherwise until execution by and delivery to both Landlord and Tenant.</w:t>
      </w:r>
    </w:p>
    <w:p>
      <w:pPr>
        <w:spacing w:after="0" w:line="146"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40.4.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100"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40.5. Upon the request of either Landlord or Tenant, the parties shall execute a document in recordable form containing only such information as is necessary to constitute a Notice of Lease under Massachusetts law. All costs of preparing and recording such notice shall be borne by the requesting party. Simultaneously with the execution of any Notice of Lease as provided above, Tenant shall executed a recordable termination of such Notice of Lease (the “</w:t>
      </w:r>
      <w:r>
        <w:rPr>
          <w:rFonts w:ascii="Arial" w:cs="Arial" w:eastAsia="Arial" w:hAnsi="Arial"/>
          <w:sz w:val="18"/>
          <w:szCs w:val="18"/>
          <w:u w:val="single" w:color="auto"/>
          <w:color w:val="auto"/>
        </w:rPr>
        <w:t>Termination Notice</w:t>
      </w:r>
      <w:r>
        <w:rPr>
          <w:rFonts w:ascii="Arial" w:cs="Arial" w:eastAsia="Arial" w:hAnsi="Arial"/>
          <w:sz w:val="18"/>
          <w:szCs w:val="18"/>
          <w:color w:val="auto"/>
        </w:rPr>
        <w:t>”), which Termination Notice shall be held in escrow by Landlord and may be released from escrow and recorded by Landlord after the expiration or earlier termination of this Lease. Neither party shall record this Lease.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1" w:name="page172"/>
    <w:bookmarkEnd w:id="171"/>
    <w:p>
      <w:pPr>
        <w:jc w:val="both"/>
        <w:ind w:firstLine="764"/>
        <w:spacing w:after="0" w:line="269" w:lineRule="auto"/>
        <w:rPr>
          <w:sz w:val="20"/>
          <w:szCs w:val="20"/>
          <w:color w:val="auto"/>
        </w:rPr>
      </w:pPr>
      <w:r>
        <w:rPr>
          <w:rFonts w:ascii="Arial" w:cs="Arial" w:eastAsia="Arial" w:hAnsi="Arial"/>
          <w:sz w:val="16"/>
          <w:szCs w:val="16"/>
          <w:color w:val="auto"/>
        </w:rPr>
        <w:t>40.6.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128" w:lineRule="exact"/>
        <w:rPr>
          <w:sz w:val="20"/>
          <w:szCs w:val="20"/>
          <w:color w:val="auto"/>
        </w:rPr>
      </w:pPr>
    </w:p>
    <w:p>
      <w:pPr>
        <w:jc w:val="both"/>
        <w:ind w:firstLine="764"/>
        <w:spacing w:after="0" w:line="266" w:lineRule="auto"/>
        <w:rPr>
          <w:sz w:val="20"/>
          <w:szCs w:val="20"/>
          <w:color w:val="auto"/>
        </w:rPr>
      </w:pPr>
      <w:r>
        <w:rPr>
          <w:rFonts w:ascii="Arial" w:cs="Arial" w:eastAsia="Arial" w:hAnsi="Arial"/>
          <w:sz w:val="16"/>
          <w:szCs w:val="16"/>
          <w:color w:val="auto"/>
        </w:rPr>
        <w:t>40.7. Except as otherwise expressly set forth in this Lease, each party shall pay its own costs and expenses incurred in connection with this Lease and such party’s performance under this Lease; provided that, if either party commences an action, proceeding, demand, claim, action, cause of action or suit against the other party arising out of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w:t>
      </w:r>
    </w:p>
    <w:p>
      <w:pPr>
        <w:spacing w:after="0" w:line="13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40.8. Time is of the essence with respect to the performance of every provision of this Lease.</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40.9. Each provision of this Lease performable by Tenant shall be deemed both a covenant and a condition.</w:t>
      </w:r>
    </w:p>
    <w:p>
      <w:pPr>
        <w:spacing w:after="0" w:line="165"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40.10. Notwithstanding anything to the contrary contained in this Lease, Tenant’s obligations under this Lease are independent and shall not be conditioned upon performance by Landlord.</w:t>
      </w:r>
    </w:p>
    <w:p>
      <w:pPr>
        <w:spacing w:after="0" w:line="146"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40.11. Whenever consent or approval of either party is required, that party shall not unreasonably withhold, condition or delay such consent or approval, except as may be expressly set forth to the contrary.</w:t>
      </w:r>
    </w:p>
    <w:p>
      <w:pPr>
        <w:spacing w:after="0" w:line="146" w:lineRule="exact"/>
        <w:rPr>
          <w:sz w:val="20"/>
          <w:szCs w:val="20"/>
          <w:color w:val="auto"/>
        </w:rPr>
      </w:pPr>
    </w:p>
    <w:p>
      <w:pPr>
        <w:jc w:val="both"/>
        <w:ind w:firstLine="764"/>
        <w:spacing w:after="0" w:line="306" w:lineRule="auto"/>
        <w:rPr>
          <w:sz w:val="20"/>
          <w:szCs w:val="20"/>
          <w:color w:val="auto"/>
        </w:rPr>
      </w:pPr>
      <w:r>
        <w:rPr>
          <w:rFonts w:ascii="Arial" w:cs="Arial" w:eastAsia="Arial" w:hAnsi="Arial"/>
          <w:sz w:val="16"/>
          <w:szCs w:val="16"/>
          <w:color w:val="auto"/>
        </w:rPr>
        <w:t>40.12.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00"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40.13.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150"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40.14. This Lease shall be governed by, construed and enforced in accordance with the laws of the state in which the Premises are located, without regard to such state’s conflict of law principles.</w:t>
      </w:r>
    </w:p>
    <w:p>
      <w:pPr>
        <w:spacing w:after="0" w:line="146"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40.15. Tenant guarantees, warrants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40.16. This Lease may be executed in one or more counterparts, each of which, when taken together, shall constitute one and the same document.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2" w:name="page173"/>
    <w:bookmarkEnd w:id="172"/>
    <w:p>
      <w:pPr>
        <w:ind w:left="780"/>
        <w:spacing w:after="0"/>
        <w:rPr>
          <w:sz w:val="20"/>
          <w:szCs w:val="20"/>
          <w:color w:val="auto"/>
        </w:rPr>
      </w:pPr>
      <w:r>
        <w:rPr>
          <w:rFonts w:ascii="Arial" w:cs="Arial" w:eastAsia="Arial" w:hAnsi="Arial"/>
          <w:sz w:val="16"/>
          <w:szCs w:val="16"/>
          <w:color w:val="auto"/>
        </w:rPr>
        <w:t>40.17. No provision of this Lease may be modified, amended or supplemented except by an agreement in writing signed by Landlord and Tenant.</w:t>
      </w:r>
    </w:p>
    <w:p>
      <w:pPr>
        <w:spacing w:after="0" w:line="188" w:lineRule="exact"/>
        <w:rPr>
          <w:sz w:val="20"/>
          <w:szCs w:val="20"/>
          <w:color w:val="auto"/>
        </w:rPr>
      </w:pPr>
    </w:p>
    <w:p>
      <w:pPr>
        <w:jc w:val="both"/>
        <w:ind w:firstLine="764"/>
        <w:spacing w:after="0" w:line="281" w:lineRule="auto"/>
        <w:rPr>
          <w:sz w:val="20"/>
          <w:szCs w:val="20"/>
          <w:color w:val="auto"/>
        </w:rPr>
      </w:pPr>
      <w:r>
        <w:rPr>
          <w:rFonts w:ascii="Arial" w:cs="Arial" w:eastAsia="Arial" w:hAnsi="Arial"/>
          <w:sz w:val="16"/>
          <w:szCs w:val="16"/>
          <w:color w:val="auto"/>
        </w:rPr>
        <w:t>40.18.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119"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40.19. To the extent permitted by Applicable Laws, the parties waive trial by jury in any action, proceeding or counterclaim brought by the other party hereto related to matters arising out of or in any way connected with this Lease; the relationship between Landlord and Tenant; Tenant’s use or occupancy of the Premises; or any claim of injury or damage related to this Lease or the Premises.</w:t>
      </w:r>
    </w:p>
    <w:p>
      <w:pPr>
        <w:spacing w:after="0" w:line="153" w:lineRule="exact"/>
        <w:rPr>
          <w:sz w:val="20"/>
          <w:szCs w:val="20"/>
          <w:color w:val="auto"/>
        </w:rPr>
      </w:pPr>
    </w:p>
    <w:p>
      <w:pPr>
        <w:ind w:left="280" w:hanging="272"/>
        <w:spacing w:after="0"/>
        <w:tabs>
          <w:tab w:leader="none" w:pos="2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Rooftop Installation Area</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41.1. Tenant may use those portions of the Building identified as “TENANT 100/220/410 ROOFTOP INSTALLATION AREA” on the 5</w:t>
      </w:r>
      <w:r>
        <w:rPr>
          <w:rFonts w:ascii="Arial" w:cs="Arial" w:eastAsia="Arial" w:hAnsi="Arial"/>
          <w:sz w:val="13"/>
          <w:szCs w:val="13"/>
          <w:color w:val="auto"/>
        </w:rPr>
        <w:t>th</w:t>
      </w:r>
      <w:r>
        <w:rPr>
          <w:rFonts w:ascii="Arial" w:cs="Arial" w:eastAsia="Arial" w:hAnsi="Arial"/>
          <w:sz w:val="16"/>
          <w:szCs w:val="16"/>
          <w:color w:val="auto"/>
        </w:rPr>
        <w:t xml:space="preserve"> and 6</w:t>
      </w:r>
      <w:r>
        <w:rPr>
          <w:rFonts w:ascii="Arial" w:cs="Arial" w:eastAsia="Arial" w:hAnsi="Arial"/>
          <w:sz w:val="13"/>
          <w:szCs w:val="13"/>
          <w:color w:val="auto"/>
        </w:rPr>
        <w:t>th</w:t>
      </w:r>
      <w:r>
        <w:rPr>
          <w:rFonts w:ascii="Arial" w:cs="Arial" w:eastAsia="Arial" w:hAnsi="Arial"/>
          <w:sz w:val="16"/>
          <w:szCs w:val="16"/>
          <w:color w:val="auto"/>
        </w:rPr>
        <w:t xml:space="preserve"> pages of Exhibit A attached hereto (collectively, the “</w:t>
      </w:r>
      <w:r>
        <w:rPr>
          <w:rFonts w:ascii="Arial" w:cs="Arial" w:eastAsia="Arial" w:hAnsi="Arial"/>
          <w:sz w:val="16"/>
          <w:szCs w:val="16"/>
          <w:u w:val="single" w:color="auto"/>
          <w:color w:val="auto"/>
        </w:rPr>
        <w:t>Rooftop Installation Area</w:t>
      </w:r>
      <w:r>
        <w:rPr>
          <w:rFonts w:ascii="Arial" w:cs="Arial" w:eastAsia="Arial" w:hAnsi="Arial"/>
          <w:sz w:val="16"/>
          <w:szCs w:val="16"/>
          <w:color w:val="auto"/>
        </w:rPr>
        <w:t>”) solely to operate, maintain, repair and replace rooftop antennae, mechanical equipment, communications antennas and other equipment installed by Tenant, or as part of the Tenant Improvements, in the Rooftop Installation Area in accordance with this Article (“</w:t>
      </w:r>
      <w:r>
        <w:rPr>
          <w:rFonts w:ascii="Arial" w:cs="Arial" w:eastAsia="Arial" w:hAnsi="Arial"/>
          <w:sz w:val="16"/>
          <w:szCs w:val="16"/>
          <w:u w:val="single" w:color="auto"/>
          <w:color w:val="auto"/>
        </w:rPr>
        <w:t>Tenant’s Rooftop Equipment</w:t>
      </w:r>
      <w:r>
        <w:rPr>
          <w:rFonts w:ascii="Arial" w:cs="Arial" w:eastAsia="Arial" w:hAnsi="Arial"/>
          <w:sz w:val="16"/>
          <w:szCs w:val="16"/>
          <w:color w:val="auto"/>
        </w:rPr>
        <w:t xml:space="preserve">”). Tenant’s Rooftop Equipment shall be only for Tenant’s use of the Premises for the Permitted Use. The parties acknowledge and agree that the Rooftop Installation Area depicted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based on the Basis of Design and URS for the Manufacturing Area and is not based on Approved Plans (as defined in the Work Letter) for the Manufacturing Area. If Landlord determines, in accordance with the Work Letter, that Tenant’s Rooftop Equipment can be accommodated in an area that is smaller than the Rooftop Installation Area depicted on </w:t>
      </w:r>
      <w:r>
        <w:rPr>
          <w:rFonts w:ascii="Arial" w:cs="Arial" w:eastAsia="Arial" w:hAnsi="Arial"/>
          <w:sz w:val="16"/>
          <w:szCs w:val="16"/>
          <w:u w:val="single" w:color="auto"/>
          <w:color w:val="auto"/>
        </w:rPr>
        <w:t>Exhibit A</w:t>
      </w:r>
      <w:r>
        <w:rPr>
          <w:rFonts w:ascii="Arial" w:cs="Arial" w:eastAsia="Arial" w:hAnsi="Arial"/>
          <w:sz w:val="16"/>
          <w:szCs w:val="16"/>
          <w:color w:val="auto"/>
        </w:rPr>
        <w:t>, then the Rooftop Installation Area shall be reduced to an area, as determined by Landlord, that is necessary to accommodate Tenant’s Rooftop Equipment, and Tenant agrees that upon the written request of Landlord, Tenant shall execute an amendment to this Lease that depicts such final Rooftop Installation Area.</w:t>
      </w:r>
    </w:p>
    <w:p>
      <w:pPr>
        <w:spacing w:after="0" w:line="133"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41.2. Other than Tenant’s Rooftop Equipment that is being installed by Landlord as part of the Tenant Improvements, Tenant shall install Tenant’s Rooftop Equipment at its sole cost and expense, at such times and in such manner as Landlord may reasonably designate, and in accordance with this Article and the applicable provisions of this Lease regarding Alterations. Tenant’s Rooftop Equipment and the installation thereof shall be subject to Landlord’s prior written approval, which approval shall not be unreasonably withheld. Among other reasons, Landlord may withhold approval if the installation or operation of Tenant’s Rooftop Equipment could reasonably be expected to damage the structural integrity of the Building or to transmit vibrations or noise or cause other adverse effects beyond the Premises to an extent not customary in first class laboratory buildings, unless Tenant implements measures that are acceptable to Landlord in its reasonable discretion to avoid any such damage or transmission.</w:t>
      </w:r>
    </w:p>
    <w:p>
      <w:pPr>
        <w:spacing w:after="0" w:line="131" w:lineRule="exact"/>
        <w:rPr>
          <w:sz w:val="20"/>
          <w:szCs w:val="20"/>
          <w:color w:val="auto"/>
        </w:rPr>
      </w:pPr>
    </w:p>
    <w:p>
      <w:pPr>
        <w:jc w:val="both"/>
        <w:ind w:firstLine="764"/>
        <w:spacing w:after="0" w:line="232" w:lineRule="auto"/>
        <w:rPr>
          <w:sz w:val="20"/>
          <w:szCs w:val="20"/>
          <w:color w:val="auto"/>
        </w:rPr>
      </w:pPr>
      <w:r>
        <w:rPr>
          <w:rFonts w:ascii="Arial" w:cs="Arial" w:eastAsia="Arial" w:hAnsi="Arial"/>
          <w:sz w:val="18"/>
          <w:szCs w:val="18"/>
          <w:color w:val="auto"/>
        </w:rPr>
        <w:t xml:space="preserve">41.3. Tenant, at Tenant’s sole cost and expense, shall maintain and keep Tenant’s Rooftop Equipment and every part thereof in good condition and repair and in compliance with all Applicable Laws and the manufacturer’s specifications therefor, and shall, within ten (10) days after receipt of written notice from Landlord, provide to Landlord any records that Landlord reasonably requests, which shall be subject to the records provisions of </w:t>
      </w:r>
      <w:r>
        <w:rPr>
          <w:rFonts w:ascii="Arial" w:cs="Arial" w:eastAsia="Arial" w:hAnsi="Arial"/>
          <w:sz w:val="18"/>
          <w:szCs w:val="18"/>
          <w:u w:val="single" w:color="auto"/>
          <w:color w:val="auto"/>
        </w:rPr>
        <w:t>Section 18.2</w:t>
      </w:r>
      <w:r>
        <w:rPr>
          <w:rFonts w:ascii="Arial" w:cs="Arial" w:eastAsia="Arial" w:hAnsi="Arial"/>
          <w:sz w:val="18"/>
          <w:szCs w:val="18"/>
          <w:color w:val="auto"/>
        </w:rPr>
        <w:t>. At all times that it is in operation, Tenant’s Rooftop Equipment shall meet or exceed the manufacturer’s specifications therefor (including without limitation any specifications concerning noise and vibration), and Landlord, from time to time during the Term (including without limitation following the initial installation of Tenant’s Rooftop Equipment), may require that Tenant test Tenant’s Rooftop Equipment to determine whether it is operating in accordance with said specifications and in accordance with Applicable Laws.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3" w:name="page174"/>
    <w:bookmarkEnd w:id="173"/>
    <w:p>
      <w:pPr>
        <w:jc w:val="both"/>
        <w:ind w:firstLine="764"/>
        <w:spacing w:after="0" w:line="281" w:lineRule="auto"/>
        <w:rPr>
          <w:sz w:val="20"/>
          <w:szCs w:val="20"/>
          <w:color w:val="auto"/>
        </w:rPr>
      </w:pPr>
      <w:r>
        <w:rPr>
          <w:rFonts w:ascii="Arial" w:cs="Arial" w:eastAsia="Arial" w:hAnsi="Arial"/>
          <w:sz w:val="15"/>
          <w:szCs w:val="15"/>
          <w:color w:val="auto"/>
        </w:rPr>
        <w:t>41.4. Tenant shall comply with any roof or roof-related warranties. Tenant shall obtain a letter from Landlord’s roofing contractor within thirty (30) days after completion of any Tenant work on the rooftop stating that such work did not affect any such warranties. Tenant, at its sole cost and expense, shall inspect the Rooftop Installation Area at least annually, and correct any loose bolts, fittings or other appurtenances and repair any damage to the roof caused by the installation or operation of Tenant’s Rooftop Equipment. Tenant shall not permit the installation, maintenance or operation of Tenant’s Rooftop Equipment to violate any Applicable Laws or constitute a nuisance. Tenant shall pay Landlord within thirty (30) days after demand (a) all applicable taxes, charges, fees or impositions imposed on Landlord by Governmental Authorities as the result of Tenant’s use of the Rooftop Installation Areas in excess of those for which Landlord would otherwise be responsible for the use or installation of Tenant’s Rooftop Equipment and (b) the amount of any increase in Landlord’s insurance premiums as a result of the installation of Tenant’s Rooftop Equipment. Upon Tenant’s written request to Landlord, Landlord shall use commercially reasonable efforts to cause other tenants to remedy any interference in the operation of Tenant’s Rooftop Equipment caused by any such tenants’ equipment installed after the applicable piece of Tenant’s Rooftop Equipment; provided, however, that Landlord shall not be required to request that such tenants waive their rights under their respective leases.</w:t>
      </w:r>
    </w:p>
    <w:p>
      <w:pPr>
        <w:spacing w:after="0" w:line="125"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41.5. If Tenant’s Rooftop Equipment (a) causes physical damage to the structural integrity of the Building, (b) interferes with any telecommunications, mechanical or other systems located at or near or servicing the Building or the Project that were installed prior to the installation of Tenant’s Rooftop Equipment,</w:t>
      </w:r>
    </w:p>
    <w:p>
      <w:pPr>
        <w:spacing w:after="0" w:line="1" w:lineRule="exact"/>
        <w:rPr>
          <w:sz w:val="20"/>
          <w:szCs w:val="20"/>
          <w:color w:val="auto"/>
        </w:rPr>
      </w:pPr>
    </w:p>
    <w:p>
      <w:pPr>
        <w:jc w:val="both"/>
        <w:ind w:firstLine="8"/>
        <w:spacing w:after="0" w:line="230" w:lineRule="auto"/>
        <w:tabs>
          <w:tab w:leader="none" w:pos="2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interferes with any other service provided to other tenants in the Building or the Project by rooftop or penthouse installations that were installed prior to the installation of Tenant’s Rooftop Equipment or (d) interferes with any other tenants’ business, in each case in excess of that permissible under Federal Communications Commission regulations, then Tenant shall cooperate with Landlord to determine the source of the damage or interference and promptly repair such damage and eliminate such interference, in each case at Tenant’s sole cost and expense, within ten (10) days after receipt of notice of such damage or interference (which notice may be oral; provided that Landlord also delivers to Tenant written notice of such damage or interference within twenty-four (24) hours after providing oral notice).</w:t>
      </w:r>
    </w:p>
    <w:p>
      <w:pPr>
        <w:spacing w:after="0" w:line="152" w:lineRule="exact"/>
        <w:rPr>
          <w:sz w:val="20"/>
          <w:szCs w:val="20"/>
          <w:color w:val="auto"/>
        </w:rPr>
      </w:pPr>
    </w:p>
    <w:p>
      <w:pPr>
        <w:jc w:val="both"/>
        <w:ind w:firstLine="764"/>
        <w:spacing w:after="0" w:line="260" w:lineRule="auto"/>
        <w:rPr>
          <w:sz w:val="20"/>
          <w:szCs w:val="20"/>
          <w:color w:val="auto"/>
        </w:rPr>
      </w:pPr>
      <w:r>
        <w:rPr>
          <w:rFonts w:ascii="Arial" w:cs="Arial" w:eastAsia="Arial" w:hAnsi="Arial"/>
          <w:sz w:val="16"/>
          <w:szCs w:val="16"/>
          <w:color w:val="auto"/>
        </w:rPr>
        <w:t xml:space="preserve">41.6. If Landlord determines that, after the Term Commencement Date, Tenant’s Rooftop Equipment is not in compliance with Applicable Laws, then Landlord shall have the right to cause Tenant, at Tenant’s cost and expense, to relocate Tenant’s Rooftop Equipment to comparably functional space on the roof or in the penthouse of the Building by giving Tenant prior written notice thereof. If Landlord elects to exercise such relocation right, Tenant may, at Tenant’s option, propose in writing to Landlord within thirty (30) days after receipt of such notice from Landlord, reasonable alternatives to the relocation of Tenant’s Rooftop Equipment that, if taken, would cause Tenant’s Rooftop Equipment to comply with Applicable Laws, such as, by way of example only, screening Tenant’s Rooftop Equipment (if not then screened) or adding additional screening (if then screened), taking other noise mitigation measures or making adjustments to Tenant’s Rooftop Equipment to reduce the noise emanating therefrom. If Landlord consents to the same, such consent not to be unreasonably withheld (except that with respect to any such mitigation measures that affect the appearance of the Building or the roof or base Building systems, such consent shall be at Landlord’s sole and absolute discretion), then Landlord shall permit Tenant, at Tenant’s cost and expense, to undertake such mitigation measures. If such mitigation measures cause Tenant’s Rooftop Equipment to be in compliance with Applicable Laws, then Landlord shall not exercise its relocation right under this </w:t>
      </w:r>
      <w:r>
        <w:rPr>
          <w:rFonts w:ascii="Arial" w:cs="Arial" w:eastAsia="Arial" w:hAnsi="Arial"/>
          <w:sz w:val="16"/>
          <w:szCs w:val="16"/>
          <w:u w:val="single" w:color="auto"/>
          <w:color w:val="auto"/>
        </w:rPr>
        <w:t>Section 41.6</w:t>
      </w:r>
      <w:r>
        <w:rPr>
          <w:rFonts w:ascii="Arial" w:cs="Arial" w:eastAsia="Arial" w:hAnsi="Arial"/>
          <w:sz w:val="16"/>
          <w:szCs w:val="16"/>
          <w:color w:val="auto"/>
        </w:rPr>
        <w:t>. If, however, such mitigation measures do not cause Tenant’s Rooftop Equipment to be in compliance with Applicable Laws, or if Landlord does not approve such mitigation measures, or if Tenant does not propose any mitigation measures within the 30-day time period set forth above, then Tenant shall arrange for the relocation of Tenant’s Rooftop Equipment within sixty (60) days after receipt of Landlord’s notification of such relocation or within thirty (30) days after Landlord does not approve any proposed mitigation measures or promptly after Landlord has determined that such mitigation measures have not caused Tenant’s Rooftop Equipment to be in compliance with Applicable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4" w:name="page175"/>
    <w:bookmarkEnd w:id="174"/>
    <w:p>
      <w:pPr>
        <w:spacing w:after="0" w:line="306" w:lineRule="auto"/>
        <w:rPr>
          <w:sz w:val="20"/>
          <w:szCs w:val="20"/>
          <w:color w:val="auto"/>
        </w:rPr>
      </w:pPr>
      <w:r>
        <w:rPr>
          <w:rFonts w:ascii="Arial" w:cs="Arial" w:eastAsia="Arial" w:hAnsi="Arial"/>
          <w:sz w:val="16"/>
          <w:szCs w:val="16"/>
          <w:color w:val="auto"/>
        </w:rPr>
        <w:t>Laws. In the event Tenant fails to arrange for relocation within the foregoing time periods, Landlord shall have the right to arrange for the relocation of Tenant’s Rooftop Equipment in a manner that does not unnecessarily interrupt or interfere with Tenant’s use of the Premises for the Permitted Use.</w:t>
      </w:r>
    </w:p>
    <w:p>
      <w:pPr>
        <w:spacing w:after="0" w:line="100" w:lineRule="exact"/>
        <w:rPr>
          <w:sz w:val="20"/>
          <w:szCs w:val="20"/>
          <w:color w:val="auto"/>
        </w:rPr>
      </w:pPr>
    </w:p>
    <w:p>
      <w:pPr>
        <w:ind w:firstLine="8"/>
        <w:spacing w:after="0" w:line="306" w:lineRule="auto"/>
        <w:tabs>
          <w:tab w:leader="none" w:pos="262"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Option to Extend Term</w:t>
      </w:r>
      <w:r>
        <w:rPr>
          <w:rFonts w:ascii="Arial" w:cs="Arial" w:eastAsia="Arial" w:hAnsi="Arial"/>
          <w:sz w:val="16"/>
          <w:szCs w:val="16"/>
          <w:color w:val="auto"/>
        </w:rPr>
        <w:t>. Tenant shall have two options (“</w:t>
      </w:r>
      <w:r>
        <w:rPr>
          <w:rFonts w:ascii="Arial" w:cs="Arial" w:eastAsia="Arial" w:hAnsi="Arial"/>
          <w:sz w:val="16"/>
          <w:szCs w:val="16"/>
          <w:u w:val="single" w:color="auto"/>
          <w:color w:val="auto"/>
        </w:rPr>
        <w:t>Options</w:t>
      </w:r>
      <w:r>
        <w:rPr>
          <w:rFonts w:ascii="Arial" w:cs="Arial" w:eastAsia="Arial" w:hAnsi="Arial"/>
          <w:sz w:val="16"/>
          <w:szCs w:val="16"/>
          <w:color w:val="auto"/>
        </w:rPr>
        <w:t>”) to extend the Term by five (5) years each as to the entire Premises, upon the following terms and conditions. Any extension of the Term pursuant to the Options shall be on all the same terms and conditions as this Lease, except as follows:</w:t>
      </w:r>
    </w:p>
    <w:p>
      <w:pPr>
        <w:spacing w:after="0" w:line="100" w:lineRule="exact"/>
        <w:rPr>
          <w:sz w:val="20"/>
          <w:szCs w:val="20"/>
          <w:color w:val="auto"/>
        </w:rPr>
      </w:pPr>
    </w:p>
    <w:p>
      <w:pPr>
        <w:jc w:val="both"/>
        <w:ind w:firstLine="764"/>
        <w:spacing w:after="0" w:line="258" w:lineRule="auto"/>
        <w:rPr>
          <w:sz w:val="20"/>
          <w:szCs w:val="20"/>
          <w:color w:val="auto"/>
        </w:rPr>
      </w:pPr>
      <w:r>
        <w:rPr>
          <w:rFonts w:ascii="Arial" w:cs="Arial" w:eastAsia="Arial" w:hAnsi="Arial"/>
          <w:sz w:val="16"/>
          <w:szCs w:val="16"/>
          <w:color w:val="auto"/>
        </w:rPr>
        <w:t>42.1. Base Rent at the commencement of each Option term shall equal to the then-current fair market value for comparable Class A office and laboratory space in the East Cambridge submarket of comparable age, quality, level of finish and proximity to amenities and public transit, and taking into account the location of the Building in the Cambridgeport sub-submarket (“</w:t>
      </w:r>
      <w:r>
        <w:rPr>
          <w:rFonts w:ascii="Arial" w:cs="Arial" w:eastAsia="Arial" w:hAnsi="Arial"/>
          <w:sz w:val="16"/>
          <w:szCs w:val="16"/>
          <w:u w:val="single" w:color="auto"/>
          <w:color w:val="auto"/>
        </w:rPr>
        <w:t>FMV</w:t>
      </w:r>
      <w:r>
        <w:rPr>
          <w:rFonts w:ascii="Arial" w:cs="Arial" w:eastAsia="Arial" w:hAnsi="Arial"/>
          <w:sz w:val="16"/>
          <w:szCs w:val="16"/>
          <w:color w:val="auto"/>
        </w:rPr>
        <w:t>”), and shall be further increased on each annual anniversary of the Option term commencement date by three percent (3%). Tenant may, no more than thirteen (13) months prior to the date the Term is then scheduled to expire, request Landlord’s estimate of the FMV for the Option term. Landlord shall, within fifteen (15) 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 (a) the size of the Premises, (b) the length of the Option term, (c) rent in comparable buildings in the relevant submarket, including concessions offered to new tenants, such as free rent, tenant improvement allowances and moving allowances, (d) Tenant’s creditworthiness, (e) the quality and location of the Building and the Project, (f) the location of the Building in the Cambridgeport sub-submarket and (g) the systems and improvements in the portion of the Premises that is not the Manfuacturing Area and the value of the Manufacturing Area as so-called “warm” laboratory space. In the event that the parties are unable to agree upon the FMV within thirty (30) days after Tenant notifies Landlord that Tenant is exercising the applicable Option, then either party may request that the same be determined as follows: a senior officer of a nationally recognized leasing brokerage firm with local knowledge of the East Cambridge and Cambridgeport laboratory/research and development leasing submarket (the “</w:t>
      </w:r>
      <w:r>
        <w:rPr>
          <w:rFonts w:ascii="Arial" w:cs="Arial" w:eastAsia="Arial" w:hAnsi="Arial"/>
          <w:sz w:val="16"/>
          <w:szCs w:val="16"/>
          <w:u w:val="single" w:color="auto"/>
          <w:color w:val="auto"/>
        </w:rPr>
        <w:t>Baseball Arbitrator</w:t>
      </w:r>
      <w:r>
        <w:rPr>
          <w:rFonts w:ascii="Arial" w:cs="Arial" w:eastAsia="Arial" w:hAnsi="Arial"/>
          <w:sz w:val="16"/>
          <w:szCs w:val="16"/>
          <w:color w:val="auto"/>
        </w:rPr>
        <w:t>”)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Arial" w:cs="Arial" w:eastAsia="Arial" w:hAnsi="Arial"/>
          <w:sz w:val="16"/>
          <w:szCs w:val="16"/>
          <w:u w:val="single" w:color="auto"/>
          <w:color w:val="auto"/>
        </w:rPr>
        <w:t>JAMS</w:t>
      </w:r>
      <w:r>
        <w:rPr>
          <w:rFonts w:ascii="Arial" w:cs="Arial" w:eastAsia="Arial" w:hAnsi="Arial"/>
          <w:sz w:val="16"/>
          <w:szCs w:val="16"/>
          <w:color w:val="auto"/>
        </w:rPr>
        <w:t>”). The Baseball Arbitrator selected by the parties or designated by JAMS shall have at least ten (10) years’ experience in the leasing of laboratory/research and development space in the East Cambridge and Cambridgeport submarkets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Option term. If, as of the commencement date of either Option term, the amount of Base Rent payable during such Option term shall not have been determined, then, pending such determination, Tenant shall pay Base Rent equal to the Base Rent payable with respect to the last year of the then-current Term. After the final determination of Base Rent payable for applicable Option term, the parties shall promptly execute a written amendment to this Lease specifying the amount of Base Rent to be paid during the applicable Option term. Any failure of the parties to execute such amendment shall not affect the validity of the FMV determined pursuant to this Section.</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42.2. The Option is not assignable separate and apart from this Lease.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5" w:name="page176"/>
    <w:bookmarkEnd w:id="175"/>
    <w:p>
      <w:pPr>
        <w:jc w:val="both"/>
        <w:ind w:firstLine="764"/>
        <w:spacing w:after="0" w:line="235" w:lineRule="auto"/>
        <w:rPr>
          <w:sz w:val="20"/>
          <w:szCs w:val="20"/>
          <w:color w:val="auto"/>
        </w:rPr>
      </w:pPr>
      <w:r>
        <w:rPr>
          <w:rFonts w:ascii="Arial" w:cs="Arial" w:eastAsia="Arial" w:hAnsi="Arial"/>
          <w:sz w:val="18"/>
          <w:szCs w:val="18"/>
          <w:color w:val="auto"/>
        </w:rPr>
        <w:t>42.3. The Option is conditional upon Tenant giving Landlord written notice of its election to exercise the Option at least twelve (12) months prior to the end of the expiration of the then-current Term. Time shall be of the essence as to Tenant’s exercise of the applicable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42.4. Notwithstanding anything contained in this Article to the contrary, Tenant shall not have the right to exercise the Option:</w:t>
      </w:r>
    </w:p>
    <w:p>
      <w:pPr>
        <w:spacing w:after="0" w:line="165" w:lineRule="exact"/>
        <w:rPr>
          <w:sz w:val="20"/>
          <w:szCs w:val="20"/>
          <w:color w:val="auto"/>
        </w:rPr>
      </w:pPr>
    </w:p>
    <w:p>
      <w:pPr>
        <w:ind w:firstLine="1153"/>
        <w:spacing w:after="0" w:line="245" w:lineRule="auto"/>
        <w:tabs>
          <w:tab w:leader="none" w:pos="13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146" w:lineRule="exact"/>
        <w:rPr>
          <w:rFonts w:ascii="Arial" w:cs="Arial" w:eastAsia="Arial" w:hAnsi="Arial"/>
          <w:sz w:val="18"/>
          <w:szCs w:val="18"/>
          <w:color w:val="auto"/>
        </w:rPr>
      </w:pPr>
    </w:p>
    <w:p>
      <w:pPr>
        <w:jc w:val="both"/>
        <w:ind w:firstLine="1153"/>
        <w:spacing w:after="0" w:line="237" w:lineRule="auto"/>
        <w:tabs>
          <w:tab w:leader="none" w:pos="13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At any time after any Default as described in </w:t>
      </w:r>
      <w:r>
        <w:rPr>
          <w:rFonts w:ascii="Arial" w:cs="Arial" w:eastAsia="Arial" w:hAnsi="Arial"/>
          <w:sz w:val="18"/>
          <w:szCs w:val="18"/>
          <w:u w:val="single" w:color="auto"/>
          <w:color w:val="auto"/>
        </w:rPr>
        <w:t>Article 31</w:t>
      </w:r>
      <w:r>
        <w:rPr>
          <w:rFonts w:ascii="Arial" w:cs="Arial" w:eastAsia="Arial" w:hAnsi="Arial"/>
          <w:sz w:val="18"/>
          <w:szCs w:val="18"/>
          <w:color w:val="auto"/>
        </w:rPr>
        <w:t xml:space="preserve"> of the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for purposes of this </w:t>
      </w:r>
      <w:r>
        <w:rPr>
          <w:rFonts w:ascii="Arial" w:cs="Arial" w:eastAsia="Arial" w:hAnsi="Arial"/>
          <w:sz w:val="18"/>
          <w:szCs w:val="18"/>
          <w:u w:val="single" w:color="auto"/>
          <w:color w:val="auto"/>
        </w:rPr>
        <w:t>Section 42.4(b)</w:t>
      </w:r>
      <w:r>
        <w:rPr>
          <w:rFonts w:ascii="Arial" w:cs="Arial" w:eastAsia="Arial" w:hAnsi="Arial"/>
          <w:sz w:val="18"/>
          <w:szCs w:val="18"/>
          <w:color w:val="auto"/>
        </w:rPr>
        <w:t>, Landlord shall not be required to provide Tenant with notice of such Default) and continuing until Tenant cures any such Default, if such Default is susceptible to being cured; or</w:t>
      </w:r>
    </w:p>
    <w:p>
      <w:pPr>
        <w:spacing w:after="0" w:line="152" w:lineRule="exact"/>
        <w:rPr>
          <w:rFonts w:ascii="Arial" w:cs="Arial" w:eastAsia="Arial" w:hAnsi="Arial"/>
          <w:sz w:val="18"/>
          <w:szCs w:val="18"/>
          <w:color w:val="auto"/>
        </w:rPr>
      </w:pPr>
    </w:p>
    <w:p>
      <w:pPr>
        <w:ind w:firstLine="1153"/>
        <w:spacing w:after="0" w:line="245" w:lineRule="auto"/>
        <w:tabs>
          <w:tab w:leader="none" w:pos="138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Tenant has subleased more than fifty percent (50%) of the Rentable Area of the Premises as of the exercise of the applicable Option or at the commencement of the applicable Option term (unless such sublease constituted a Business Transfer); or</w:t>
      </w:r>
    </w:p>
    <w:p>
      <w:pPr>
        <w:spacing w:after="0" w:line="146" w:lineRule="exact"/>
        <w:rPr>
          <w:rFonts w:ascii="Arial" w:cs="Arial" w:eastAsia="Arial" w:hAnsi="Arial"/>
          <w:sz w:val="18"/>
          <w:szCs w:val="18"/>
          <w:color w:val="auto"/>
        </w:rPr>
      </w:pPr>
    </w:p>
    <w:p>
      <w:pPr>
        <w:jc w:val="both"/>
        <w:ind w:firstLine="1153"/>
        <w:spacing w:after="0" w:line="237" w:lineRule="auto"/>
        <w:tabs>
          <w:tab w:leader="none" w:pos="140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event that Tenant has defaulted in the performance of any monetary obligations or material non-monetary obligations under this Lease two (2) or more times during the twelve (12)-month period immediately prior to the date that Tenant intends to exercise the Option, whether or not Tenant has cured such defaults.</w:t>
      </w:r>
    </w:p>
    <w:p>
      <w:pPr>
        <w:spacing w:after="0" w:line="153"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 xml:space="preserve">42.5. The period of time within which Tenant may exercise the Option shall not be extended or enlarged by reason of Tenant’s inability to exercise such Option because of the provisions of </w:t>
      </w:r>
      <w:r>
        <w:rPr>
          <w:rFonts w:ascii="Arial" w:cs="Arial" w:eastAsia="Arial" w:hAnsi="Arial"/>
          <w:sz w:val="18"/>
          <w:szCs w:val="18"/>
          <w:u w:val="single" w:color="auto"/>
          <w:color w:val="auto"/>
        </w:rPr>
        <w:t>Section 42.4</w:t>
      </w:r>
      <w:r>
        <w:rPr>
          <w:rFonts w:ascii="Arial" w:cs="Arial" w:eastAsia="Arial" w:hAnsi="Arial"/>
          <w:sz w:val="18"/>
          <w:szCs w:val="18"/>
          <w:color w:val="auto"/>
        </w:rPr>
        <w:t>.</w:t>
      </w:r>
    </w:p>
    <w:p>
      <w:pPr>
        <w:spacing w:after="0" w:line="146"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42.6. All of Tenant’s rights under the provisions of the Option shall terminate and be of no further force or effect, after Tenant’s due and timely exercise of the Option if, after such exercise, but prior to the commencement date of the new term, Tenant defaults in the performance of any monetary obligations or material non-monetary obligations under this Lease and Tenant has also defaulted in any monetary obligations or material nonmonetary obligations under this Lease one (1) or more times during the preceeding twelve (12)-month period.</w:t>
      </w:r>
    </w:p>
    <w:p>
      <w:pPr>
        <w:spacing w:after="0" w:line="152"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43.1. Subject to (a) the conditions set forth in this Article, (b) any other party’s pre-existing rights with respect to the Available ROFO Premises (as defined below), (c) Tenant, both as of the time of exercising the ROFO (as defined below) and as of the commencement of the term with respect to the Available ROFO Premises, (i) not being in default (A) of any non-monetary obligation under this Lease of which Landlord has delivered notice to Tenant or (B) of any monetary obligation under this Lease, (ii) not having assigned this Lease or sublet any portion of the Premises (except with respect to an Exempt Transfer) and (iii) occupying (as the original tenant under this Lease or a tenant pursuant to an Exempt Transfer under this Lease) seventy-five percent (75%) of the Premises, Tenant shall have a one-time right of first offer (“</w:t>
      </w:r>
      <w:r>
        <w:rPr>
          <w:rFonts w:ascii="Arial" w:cs="Arial" w:eastAsia="Arial" w:hAnsi="Arial"/>
          <w:sz w:val="16"/>
          <w:szCs w:val="16"/>
          <w:u w:val="single" w:color="auto"/>
          <w:color w:val="auto"/>
        </w:rPr>
        <w:t>ROFO</w:t>
      </w:r>
      <w:r>
        <w:rPr>
          <w:rFonts w:ascii="Arial" w:cs="Arial" w:eastAsia="Arial" w:hAnsi="Arial"/>
          <w:sz w:val="16"/>
          <w:szCs w:val="16"/>
          <w:color w:val="auto"/>
        </w:rPr>
        <w:t>”) as to any rentable premises within the Building for which Landlord is seeking a tenant (the “</w:t>
      </w:r>
      <w:r>
        <w:rPr>
          <w:rFonts w:ascii="Arial" w:cs="Arial" w:eastAsia="Arial" w:hAnsi="Arial"/>
          <w:sz w:val="16"/>
          <w:szCs w:val="16"/>
          <w:u w:val="single" w:color="auto"/>
          <w:color w:val="auto"/>
        </w:rPr>
        <w:t>Available 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To the extent that Landlord renews or extends a then-existing lease with any then-existing tenant of any space in the Building under any extension or renewal rights in existence under any such lease as of the Execution Date, or enters into a new lease with such then-existing tenant for the same premises provided that the term for such new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6" w:name="page177"/>
    <w:bookmarkEnd w:id="176"/>
    <w:p>
      <w:pPr>
        <w:jc w:val="both"/>
        <w:spacing w:after="0" w:line="266" w:lineRule="auto"/>
        <w:rPr>
          <w:sz w:val="20"/>
          <w:szCs w:val="20"/>
          <w:color w:val="auto"/>
        </w:rPr>
      </w:pPr>
      <w:r>
        <w:rPr>
          <w:rFonts w:ascii="Arial" w:cs="Arial" w:eastAsia="Arial" w:hAnsi="Arial"/>
          <w:sz w:val="16"/>
          <w:szCs w:val="16"/>
          <w:color w:val="auto"/>
        </w:rPr>
        <w:t>lease (including any extension or renewal terms) does not exceed the term (including any extension or renewal terms) under any existing lease for such tenant as of the Execution Date, the affected space shall not be deemed to be Available ROFO Premises. In the event Landlord intends to market Available ROFO Premises, Landlord shall provide written notice thereof to Tenant (the “</w:t>
      </w:r>
      <w:r>
        <w:rPr>
          <w:rFonts w:ascii="Arial" w:cs="Arial" w:eastAsia="Arial" w:hAnsi="Arial"/>
          <w:sz w:val="16"/>
          <w:szCs w:val="16"/>
          <w:u w:val="single" w:color="auto"/>
          <w:color w:val="auto"/>
        </w:rPr>
        <w:t>Advice</w:t>
      </w:r>
      <w:r>
        <w:rPr>
          <w:rFonts w:ascii="Arial" w:cs="Arial" w:eastAsia="Arial" w:hAnsi="Arial"/>
          <w:sz w:val="16"/>
          <w:szCs w:val="16"/>
          <w:color w:val="auto"/>
        </w:rPr>
        <w:t>”). The Advice shall include the terms under which Landlord is prepared to lease the Available ROFO Premises to Tenant, including the base rent, , property management fee, Tenant’s improvement allowance, if any, any renewal term and all other material economic terms. Tenant may lease such Available ROFO Premises under such terms, by delivering written notice of exercise to Landlord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within fifteen (15) business days after the date of the Advice.</w:t>
      </w:r>
    </w:p>
    <w:p>
      <w:pPr>
        <w:spacing w:after="0" w:line="13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43.2. Terms for Offering Space.</w:t>
      </w:r>
    </w:p>
    <w:p>
      <w:pPr>
        <w:spacing w:after="0" w:line="165" w:lineRule="exact"/>
        <w:rPr>
          <w:sz w:val="20"/>
          <w:szCs w:val="20"/>
          <w:color w:val="auto"/>
        </w:rPr>
      </w:pPr>
    </w:p>
    <w:p>
      <w:pPr>
        <w:jc w:val="both"/>
        <w:ind w:firstLine="1153"/>
        <w:spacing w:after="0" w:line="273" w:lineRule="auto"/>
        <w:tabs>
          <w:tab w:leader="none" w:pos="140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term for the Available ROFO Premises shall commence upon the commencement date stated in the Advice and expire on the Term Expiration Date (as it may be extended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and during such period, such Available ROFO Premises shall be considered a part of the Premises, provided that all of the terms and conditions of this Lease shall apply to the Available ROFO Premises except to the extent that they conflict with the Advice, in which case the Advice shall govern until the parties have entered into the Offering Amendment (as hereinafter defined).</w:t>
      </w:r>
    </w:p>
    <w:p>
      <w:pPr>
        <w:spacing w:after="0" w:line="125" w:lineRule="exact"/>
        <w:rPr>
          <w:rFonts w:ascii="Arial" w:cs="Arial" w:eastAsia="Arial" w:hAnsi="Arial"/>
          <w:sz w:val="16"/>
          <w:szCs w:val="16"/>
          <w:color w:val="auto"/>
        </w:rPr>
      </w:pPr>
    </w:p>
    <w:p>
      <w:pPr>
        <w:ind w:left="1420" w:hanging="267"/>
        <w:spacing w:after="0"/>
        <w:tabs>
          <w:tab w:leader="none" w:pos="14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Tenant shall pay Base Rent and Operating Expenses for the Available ROFO Premises in accordance with the terms and conditions of the</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Advice.</w:t>
      </w:r>
    </w:p>
    <w:p>
      <w:pPr>
        <w:spacing w:after="0" w:line="151" w:lineRule="exact"/>
        <w:rPr>
          <w:sz w:val="20"/>
          <w:szCs w:val="20"/>
          <w:color w:val="auto"/>
        </w:rPr>
      </w:pPr>
    </w:p>
    <w:p>
      <w:pPr>
        <w:jc w:val="both"/>
        <w:ind w:firstLine="1145"/>
        <w:spacing w:after="0" w:line="235" w:lineRule="auto"/>
        <w:rPr>
          <w:sz w:val="20"/>
          <w:szCs w:val="20"/>
          <w:color w:val="auto"/>
        </w:rPr>
      </w:pPr>
      <w:r>
        <w:rPr>
          <w:rFonts w:ascii="Arial" w:cs="Arial" w:eastAsia="Arial" w:hAnsi="Arial"/>
          <w:sz w:val="18"/>
          <w:szCs w:val="18"/>
          <w:color w:val="auto"/>
        </w:rPr>
        <w:t>(c). The Available ROFO Premises (including improvements and personalty, if any) shall be accepted by Tenant in its condition and as-built configuration existing on the earlier of the date Tenant takes possession of the Available ROFO Premises or as of the date the term for such Available ROFO Premises commences, unless the Advice specifies any work to be performed by Landlord in the Available ROFO Premises, in which case Landlord shall perform such work in the Available ROFO Premises.</w:t>
      </w:r>
    </w:p>
    <w:p>
      <w:pPr>
        <w:spacing w:after="0" w:line="152" w:lineRule="exact"/>
        <w:rPr>
          <w:sz w:val="20"/>
          <w:szCs w:val="20"/>
          <w:color w:val="auto"/>
        </w:rPr>
      </w:pPr>
    </w:p>
    <w:p>
      <w:pPr>
        <w:jc w:val="both"/>
        <w:ind w:firstLine="764"/>
        <w:spacing w:after="0" w:line="263" w:lineRule="auto"/>
        <w:rPr>
          <w:sz w:val="20"/>
          <w:szCs w:val="20"/>
          <w:color w:val="auto"/>
        </w:rPr>
      </w:pPr>
      <w:r>
        <w:rPr>
          <w:rFonts w:ascii="Arial" w:cs="Arial" w:eastAsia="Arial" w:hAnsi="Arial"/>
          <w:sz w:val="16"/>
          <w:szCs w:val="16"/>
          <w:color w:val="auto"/>
        </w:rPr>
        <w:t xml:space="preserve">43.3. The rights of Tenant hereunder with respect to the Available ROFO Premises shall terminate on the earlier to occur of: (i) Tenant’s failure to exercise its ROFO within the fifteen (15) business day period provided in </w:t>
      </w:r>
      <w:r>
        <w:rPr>
          <w:rFonts w:ascii="Arial" w:cs="Arial" w:eastAsia="Arial" w:hAnsi="Arial"/>
          <w:sz w:val="16"/>
          <w:szCs w:val="16"/>
          <w:u w:val="single" w:color="auto"/>
          <w:color w:val="auto"/>
        </w:rPr>
        <w:t>Section 43.1</w:t>
      </w:r>
      <w:r>
        <w:rPr>
          <w:rFonts w:ascii="Arial" w:cs="Arial" w:eastAsia="Arial" w:hAnsi="Arial"/>
          <w:sz w:val="16"/>
          <w:szCs w:val="16"/>
          <w:color w:val="auto"/>
        </w:rPr>
        <w:t xml:space="preserve"> above; and (ii) the date Landlord would have provided Tenant an Advice if Tenant had not been in violation of one or more of the conditions set forth in </w:t>
      </w:r>
      <w:r>
        <w:rPr>
          <w:rFonts w:ascii="Arial" w:cs="Arial" w:eastAsia="Arial" w:hAnsi="Arial"/>
          <w:sz w:val="16"/>
          <w:szCs w:val="16"/>
          <w:u w:val="single" w:color="auto"/>
          <w:color w:val="auto"/>
        </w:rPr>
        <w:t>Section 43.1</w:t>
      </w:r>
      <w:r>
        <w:rPr>
          <w:rFonts w:ascii="Arial" w:cs="Arial" w:eastAsia="Arial" w:hAnsi="Arial"/>
          <w:sz w:val="16"/>
          <w:szCs w:val="16"/>
          <w:color w:val="auto"/>
        </w:rPr>
        <w:t xml:space="preserve"> above, and in the event such rights of Tenant terminate with respect to the Available ROFO Premises, Landlord shall have the right to consummate a lease of the Available ROFO Premises to any other tenant and Tenant’s ROFO shall be deemed waived for such space for the remainder of the Term of this Lease. Notwithstanding the immediately foregoing, if Tenant fails to exercise its ROFO as set forth above and if Landlord intends to lease the Available ROFO Premises to a third party that is not the existing occupant of such space at a Net Effective Rent (defined below) that is less than ninety-five percent (95%) of the Net Effective Rent that would be payable under the original Advice, then, prior to offering to lease such Available ROFO Premises to a third party, Landlord shall again give Tenant an Advice and Tenant shall have a ROFO with respect to such Available ROFO Premises, subject to, and in accordance with the provisions of this </w:t>
      </w:r>
      <w:r>
        <w:rPr>
          <w:rFonts w:ascii="Arial" w:cs="Arial" w:eastAsia="Arial" w:hAnsi="Arial"/>
          <w:sz w:val="16"/>
          <w:szCs w:val="16"/>
          <w:u w:val="single" w:color="auto"/>
          <w:color w:val="auto"/>
        </w:rPr>
        <w:t>Article 43</w:t>
      </w:r>
      <w:r>
        <w:rPr>
          <w:rFonts w:ascii="Arial" w:cs="Arial" w:eastAsia="Arial" w:hAnsi="Arial"/>
          <w:sz w:val="16"/>
          <w:szCs w:val="16"/>
          <w:color w:val="auto"/>
        </w:rPr>
        <w:t>.</w:t>
      </w:r>
    </w:p>
    <w:p>
      <w:pPr>
        <w:spacing w:after="0" w:line="133"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 xml:space="preserve">43.4. As used in this </w:t>
      </w:r>
      <w:r>
        <w:rPr>
          <w:rFonts w:ascii="Arial" w:cs="Arial" w:eastAsia="Arial" w:hAnsi="Arial"/>
          <w:sz w:val="18"/>
          <w:szCs w:val="18"/>
          <w:u w:val="single" w:color="auto"/>
          <w:color w:val="auto"/>
        </w:rPr>
        <w:t>Article 43</w:t>
      </w:r>
      <w:r>
        <w:rPr>
          <w:rFonts w:ascii="Arial" w:cs="Arial" w:eastAsia="Arial" w:hAnsi="Arial"/>
          <w:sz w:val="18"/>
          <w:szCs w:val="18"/>
          <w:color w:val="auto"/>
        </w:rPr>
        <w:t>, the term “</w:t>
      </w:r>
      <w:r>
        <w:rPr>
          <w:rFonts w:ascii="Arial" w:cs="Arial" w:eastAsia="Arial" w:hAnsi="Arial"/>
          <w:sz w:val="18"/>
          <w:szCs w:val="18"/>
          <w:u w:val="single" w:color="auto"/>
          <w:color w:val="auto"/>
        </w:rPr>
        <w:t>Net Effective Rent</w:t>
      </w:r>
      <w:r>
        <w:rPr>
          <w:rFonts w:ascii="Arial" w:cs="Arial" w:eastAsia="Arial" w:hAnsi="Arial"/>
          <w:sz w:val="18"/>
          <w:szCs w:val="18"/>
          <w:color w:val="auto"/>
        </w:rPr>
        <w:t>” shall mean the net present value (using the same discount factor in each case) of the aggregate consideration, determined on an average annual basis, payable to Landlord under the proposal at issue (i.e., either the Advice or the offer to another party, as the case may be), taking into account all fixed base rent, additional rent, free rent, construction or other allowances, the cost of any work performed in the Available ROFO Premises by Landlord at its expense, the length of lease term, and all other relevant economic terms, as the same may be modified by Landlord to account for the other tenant-party’s financial strength.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7" w:name="page178"/>
    <w:bookmarkEnd w:id="177"/>
    <w:p>
      <w:pPr>
        <w:jc w:val="both"/>
        <w:ind w:firstLine="764"/>
        <w:spacing w:after="0" w:line="273" w:lineRule="auto"/>
        <w:rPr>
          <w:sz w:val="20"/>
          <w:szCs w:val="20"/>
          <w:color w:val="auto"/>
        </w:rPr>
      </w:pPr>
      <w:r>
        <w:rPr>
          <w:rFonts w:ascii="Arial" w:cs="Arial" w:eastAsia="Arial" w:hAnsi="Arial"/>
          <w:sz w:val="16"/>
          <w:szCs w:val="16"/>
          <w:color w:val="auto"/>
        </w:rPr>
        <w:t>43.5. If Tenant exercises its ROFO, Landlord shall prepare an amendment (the “</w:t>
      </w:r>
      <w:r>
        <w:rPr>
          <w:rFonts w:ascii="Arial" w:cs="Arial" w:eastAsia="Arial" w:hAnsi="Arial"/>
          <w:sz w:val="16"/>
          <w:szCs w:val="16"/>
          <w:u w:val="single" w:color="auto"/>
          <w:color w:val="auto"/>
        </w:rPr>
        <w:t>Offering Amendment</w:t>
      </w:r>
      <w:r>
        <w:rPr>
          <w:rFonts w:ascii="Arial" w:cs="Arial" w:eastAsia="Arial" w:hAnsi="Arial"/>
          <w:sz w:val="16"/>
          <w:szCs w:val="16"/>
          <w:color w:val="auto"/>
        </w:rPr>
        <w:t>”) adding the Available ROFO Premises to the Premises on the terms set forth in the Advice. A copy of the Offering Amendment shall be sent to Tenant within a reasonable time after Landlord’s receipt of the Notice of Exercise executed by Tenant, and Tenant shall execute and return the Offering Amendment to Landlord within fifteen (15) days thereafter, but an otherwise valid exercise of the ROFO shall be fully effective whether or not the Offering Amendment is executed.</w:t>
      </w:r>
    </w:p>
    <w:p>
      <w:pPr>
        <w:spacing w:after="0" w:line="125" w:lineRule="exact"/>
        <w:rPr>
          <w:sz w:val="20"/>
          <w:szCs w:val="20"/>
          <w:color w:val="auto"/>
        </w:rPr>
      </w:pPr>
    </w:p>
    <w:p>
      <w:pPr>
        <w:jc w:val="both"/>
        <w:ind w:firstLine="764"/>
        <w:spacing w:after="0" w:line="235" w:lineRule="auto"/>
        <w:rPr>
          <w:sz w:val="20"/>
          <w:szCs w:val="20"/>
          <w:color w:val="auto"/>
        </w:rPr>
      </w:pPr>
      <w:r>
        <w:rPr>
          <w:rFonts w:ascii="Arial" w:cs="Arial" w:eastAsia="Arial" w:hAnsi="Arial"/>
          <w:sz w:val="18"/>
          <w:szCs w:val="18"/>
          <w:color w:val="auto"/>
        </w:rPr>
        <w:t xml:space="preserve">43.6. Notwithstanding anything in this Article to the contrary, any exercise by Tenant of the ROFO during any period of time in which Tenant is not permitted to exercise the ROFO in accordance with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above shall be void and of no effect. In addition, Tenant shall not be entitled to exercise the ROFO if Tenant has defaulted in the performance of any monetary obligations or material non-monetary obligations under this Lease two (2) or more times during the twelve (12) month period prior to the date on which Tenant seeks to exercise the ROFO.</w:t>
      </w:r>
    </w:p>
    <w:p>
      <w:pPr>
        <w:spacing w:after="0" w:line="152"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43.7. Notwithstanding anything in this Lease to the contrary, Tenant shall not assign or transfer the ROFO (other than as part of an Exempt Transfer), either separately or in conjunction with an assignment or transfer of Tenant’s interest in the Lease, without Landlord’s prior written consent, which consent Landlord may withhold in its sole and absolute discretion.</w:t>
      </w:r>
    </w:p>
    <w:p>
      <w:pPr>
        <w:spacing w:after="0" w:line="153"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43.8. If Tenant exercises the ROFO, Landlord does not guaranty that the Available ROFO Premises will be available on the anticipated commencement date for the Lease as to such Premises due to a holdover by the then-existing occupants of the Available ROFO Premises or for any other reason beyond Landlord’s reasonable control.</w:t>
      </w:r>
    </w:p>
    <w:p>
      <w:pPr>
        <w:spacing w:after="0" w:line="153" w:lineRule="exact"/>
        <w:rPr>
          <w:sz w:val="20"/>
          <w:szCs w:val="20"/>
          <w:color w:val="auto"/>
        </w:rPr>
      </w:pPr>
    </w:p>
    <w:p>
      <w:pPr>
        <w:jc w:val="both"/>
        <w:ind w:firstLine="8"/>
        <w:spacing w:after="0" w:line="234" w:lineRule="auto"/>
        <w:tabs>
          <w:tab w:leader="none" w:pos="26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Bicycle Storage</w:t>
      </w:r>
      <w:r>
        <w:rPr>
          <w:rFonts w:ascii="Arial" w:cs="Arial" w:eastAsia="Arial" w:hAnsi="Arial"/>
          <w:sz w:val="18"/>
          <w:szCs w:val="18"/>
          <w:color w:val="auto"/>
        </w:rPr>
        <w:t xml:space="preserve">. For so long as Landlord provides bicycle storage to all of the tenants in the Building, Tenant shall be able to access and use bicycle storage at the Parking Garage, at no additional cost. Landlord shall have no liability to Tenant or its employees with respect to any loss or damage to any bicycles or other personal property or equipment in such bicycle storage area. Landlord agrees that, in addition to Landlord’s Work set forth on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 the Landlord’s Work shall include the installation of covered bicycle storage in the Parking Garage to serve Tenant and other tenants and occupants of the Building and neighboring properties.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178" w:name="page179"/>
    <w:bookmarkEnd w:id="178"/>
    <w:p>
      <w:pPr>
        <w:ind w:left="780"/>
        <w:spacing w:after="0"/>
        <w:rPr>
          <w:sz w:val="20"/>
          <w:szCs w:val="20"/>
          <w:color w:val="auto"/>
        </w:rPr>
      </w:pPr>
      <w:r>
        <w:rPr>
          <w:rFonts w:ascii="Arial" w:cs="Arial" w:eastAsia="Arial" w:hAnsi="Arial"/>
          <w:sz w:val="15"/>
          <w:szCs w:val="15"/>
          <w:color w:val="auto"/>
        </w:rPr>
        <w:t>IN WITNESS WHEREOF, the parties hereto have executed this Lease as a sealed Massachusetts instrument as of the date first above written.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BMR-SIDNEY RESEARCH CAMPUS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gridSpan w:val="2"/>
          </w:tcPr>
          <w:p>
            <w:pPr>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Kane</w:t>
            </w: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Name:</w:t>
            </w:r>
          </w:p>
        </w:tc>
        <w:tc>
          <w:tcPr>
            <w:tcW w:w="56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8"/>
                <w:szCs w:val="18"/>
                <w:color w:val="auto"/>
                <w:w w:val="93"/>
              </w:rPr>
              <w:t>William Kane</w:t>
            </w: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Title:</w:t>
            </w:r>
          </w:p>
        </w:tc>
        <w:tc>
          <w:tcPr>
            <w:tcW w:w="56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8"/>
                <w:szCs w:val="18"/>
                <w:color w:val="auto"/>
                <w:w w:val="88"/>
              </w:rPr>
              <w:t>Senior Vice President, Boston Market Lead</w:t>
            </w:r>
          </w:p>
        </w:tc>
      </w:tr>
      <w:tr>
        <w:trPr>
          <w:trHeight w:val="330"/>
        </w:trPr>
        <w:tc>
          <w:tcPr>
            <w:tcW w:w="920" w:type="dxa"/>
            <w:vAlign w:val="bottom"/>
            <w:gridSpan w:val="2"/>
          </w:tcPr>
          <w:p>
            <w:pPr>
              <w:spacing w:after="0"/>
              <w:rPr>
                <w:sz w:val="20"/>
                <w:szCs w:val="20"/>
                <w:color w:val="auto"/>
              </w:rPr>
            </w:pPr>
            <w:r>
              <w:rPr>
                <w:rFonts w:ascii="Arial" w:cs="Arial" w:eastAsia="Arial" w:hAnsi="Arial"/>
                <w:sz w:val="18"/>
                <w:szCs w:val="18"/>
                <w:color w:val="auto"/>
              </w:rPr>
              <w:t>TENANT:</w:t>
            </w:r>
          </w:p>
        </w:tc>
        <w:tc>
          <w:tcPr>
            <w:tcW w:w="560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SERES THERAPEUTICS,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4445</wp:posOffset>
            </wp:positionV>
            <wp:extent cx="356362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6362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642620</wp:posOffset>
            </wp:positionV>
            <wp:extent cx="731202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700"/>
          </w:cols>
          <w:pgMar w:left="220" w:top="298" w:right="979" w:bottom="1440" w:gutter="0" w:footer="0" w:header="0"/>
        </w:sectPr>
      </w:pPr>
    </w:p>
    <w:bookmarkStart w:id="179" w:name="page180"/>
    <w:bookmarkEnd w:id="179"/>
    <w:p>
      <w:pPr>
        <w:ind w:left="780"/>
        <w:spacing w:after="0"/>
        <w:rPr>
          <w:sz w:val="20"/>
          <w:szCs w:val="20"/>
          <w:color w:val="auto"/>
        </w:rPr>
      </w:pPr>
      <w:r>
        <w:rPr>
          <w:rFonts w:ascii="Arial" w:cs="Arial" w:eastAsia="Arial" w:hAnsi="Arial"/>
          <w:sz w:val="16"/>
          <w:szCs w:val="16"/>
          <w:color w:val="auto"/>
        </w:rPr>
        <w:t>IN WITNESS WHEREOF, the parties hereto have executed this Lease as a sealed Massachusetts instrument as of the date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BMR-SIDNEY RESEARCH CAMPUS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4445</wp:posOffset>
            </wp:positionV>
            <wp:extent cx="356362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tcPr>
          <w:p>
            <w:pPr>
              <w:spacing w:after="0"/>
              <w:rPr>
                <w:sz w:val="20"/>
                <w:szCs w:val="20"/>
                <w:color w:val="auto"/>
              </w:rPr>
            </w:pPr>
            <w:r>
              <w:rPr>
                <w:rFonts w:ascii="Arial" w:cs="Arial" w:eastAsia="Arial" w:hAnsi="Arial"/>
                <w:sz w:val="18"/>
                <w:szCs w:val="18"/>
                <w:color w:val="auto"/>
              </w:rPr>
              <w:t>TENANT:</w:t>
            </w:r>
          </w:p>
        </w:tc>
        <w:tc>
          <w:tcPr>
            <w:tcW w:w="396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368"/>
        </w:trPr>
        <w:tc>
          <w:tcPr>
            <w:tcW w:w="2560" w:type="dxa"/>
            <w:vAlign w:val="bottom"/>
            <w:gridSpan w:val="3"/>
          </w:tcPr>
          <w:p>
            <w:pPr>
              <w:spacing w:after="0"/>
              <w:rPr>
                <w:sz w:val="20"/>
                <w:szCs w:val="20"/>
                <w:color w:val="auto"/>
              </w:rPr>
            </w:pPr>
            <w:r>
              <w:rPr>
                <w:rFonts w:ascii="Arial" w:cs="Arial" w:eastAsia="Arial" w:hAnsi="Arial"/>
                <w:sz w:val="18"/>
                <w:szCs w:val="18"/>
                <w:color w:val="auto"/>
                <w:w w:val="99"/>
              </w:rPr>
              <w:t>SERES THERAPEUTICS, INC.,</w:t>
            </w:r>
          </w:p>
        </w:tc>
        <w:tc>
          <w:tcPr>
            <w:tcW w:w="39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22"/>
        </w:trPr>
        <w:tc>
          <w:tcPr>
            <w:tcW w:w="2560" w:type="dxa"/>
            <w:vAlign w:val="bottom"/>
            <w:gridSpan w:val="3"/>
          </w:tcPr>
          <w:p>
            <w:pPr>
              <w:spacing w:after="0"/>
              <w:rPr>
                <w:sz w:val="20"/>
                <w:szCs w:val="20"/>
                <w:color w:val="auto"/>
              </w:rPr>
            </w:pPr>
            <w:r>
              <w:rPr>
                <w:rFonts w:ascii="Arial" w:cs="Arial" w:eastAsia="Arial" w:hAnsi="Arial"/>
                <w:sz w:val="18"/>
                <w:szCs w:val="18"/>
                <w:color w:val="auto"/>
              </w:rPr>
              <w:t>a Delaware corporation</w:t>
            </w:r>
          </w:p>
        </w:tc>
        <w:tc>
          <w:tcPr>
            <w:tcW w:w="396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386"/>
        </w:trPr>
        <w:tc>
          <w:tcPr>
            <w:tcW w:w="2560" w:type="dxa"/>
            <w:vAlign w:val="bottom"/>
            <w:gridSpan w:val="3"/>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center"/>
              <w:ind w:right="1552"/>
              <w:spacing w:after="0"/>
              <w:rPr>
                <w:sz w:val="20"/>
                <w:szCs w:val="20"/>
                <w:color w:val="auto"/>
              </w:rPr>
            </w:pPr>
            <w:r>
              <w:rPr>
                <w:rFonts w:ascii="Arial" w:cs="Arial" w:eastAsia="Arial" w:hAnsi="Arial"/>
                <w:sz w:val="18"/>
                <w:szCs w:val="18"/>
                <w:color w:val="auto"/>
                <w:w w:val="87"/>
              </w:rPr>
              <w:t>/s/ Roger Pomerantz</w:t>
            </w:r>
          </w:p>
        </w:tc>
        <w:tc>
          <w:tcPr>
            <w:tcW w:w="4960" w:type="dxa"/>
            <w:vAlign w:val="bottom"/>
          </w:tcPr>
          <w:p>
            <w:pPr>
              <w:spacing w:after="0"/>
              <w:rPr>
                <w:sz w:val="24"/>
                <w:szCs w:val="24"/>
                <w:color w:val="auto"/>
              </w:rPr>
            </w:pP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Name:</w:t>
            </w:r>
          </w:p>
        </w:tc>
        <w:tc>
          <w:tcPr>
            <w:tcW w:w="1640" w:type="dxa"/>
            <w:vAlign w:val="bottom"/>
            <w:tcBorders>
              <w:top w:val="single" w:sz="8" w:color="auto"/>
              <w:bottom w:val="single" w:sz="8" w:color="auto"/>
            </w:tcBorders>
          </w:tcPr>
          <w:p>
            <w:pPr>
              <w:spacing w:after="0"/>
              <w:rPr>
                <w:sz w:val="16"/>
                <w:szCs w:val="16"/>
                <w:color w:val="auto"/>
              </w:rPr>
            </w:pPr>
          </w:p>
        </w:tc>
        <w:tc>
          <w:tcPr>
            <w:tcW w:w="3960" w:type="dxa"/>
            <w:vAlign w:val="bottom"/>
            <w:tcBorders>
              <w:top w:val="single" w:sz="8" w:color="auto"/>
              <w:bottom w:val="single" w:sz="8" w:color="auto"/>
            </w:tcBorders>
          </w:tcPr>
          <w:p>
            <w:pPr>
              <w:jc w:val="center"/>
              <w:ind w:right="1532"/>
              <w:spacing w:after="0" w:line="188" w:lineRule="exact"/>
              <w:rPr>
                <w:sz w:val="20"/>
                <w:szCs w:val="20"/>
                <w:color w:val="auto"/>
              </w:rPr>
            </w:pPr>
            <w:r>
              <w:rPr>
                <w:rFonts w:ascii="Arial" w:cs="Arial" w:eastAsia="Arial" w:hAnsi="Arial"/>
                <w:sz w:val="18"/>
                <w:szCs w:val="18"/>
                <w:color w:val="auto"/>
                <w:w w:val="86"/>
              </w:rPr>
              <w:t>Roger Pomerantz</w:t>
            </w:r>
          </w:p>
        </w:tc>
        <w:tc>
          <w:tcPr>
            <w:tcW w:w="4960" w:type="dxa"/>
            <w:vAlign w:val="bottom"/>
          </w:tcPr>
          <w:p>
            <w:pPr>
              <w:spacing w:after="0"/>
              <w:rPr>
                <w:sz w:val="16"/>
                <w:szCs w:val="16"/>
                <w:color w:val="auto"/>
              </w:rPr>
            </w:pP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jc w:val="center"/>
              <w:ind w:right="1552"/>
              <w:spacing w:after="0" w:line="188" w:lineRule="exact"/>
              <w:rPr>
                <w:sz w:val="20"/>
                <w:szCs w:val="20"/>
                <w:color w:val="auto"/>
              </w:rPr>
            </w:pPr>
            <w:r>
              <w:rPr>
                <w:rFonts w:ascii="Arial" w:cs="Arial" w:eastAsia="Arial" w:hAnsi="Arial"/>
                <w:sz w:val="18"/>
                <w:szCs w:val="18"/>
                <w:color w:val="auto"/>
                <w:w w:val="88"/>
              </w:rPr>
              <w:t>President, CEO, Chairman</w:t>
            </w:r>
          </w:p>
        </w:tc>
        <w:tc>
          <w:tcPr>
            <w:tcW w:w="4960" w:type="dxa"/>
            <w:vAlign w:val="bottom"/>
          </w:tcPr>
          <w:p>
            <w:pPr>
              <w:spacing w:after="0"/>
              <w:rPr>
                <w:sz w:val="16"/>
                <w:szCs w:val="16"/>
                <w:color w:val="auto"/>
              </w:rPr>
            </w:pPr>
          </w:p>
        </w:tc>
      </w:tr>
      <w:tr>
        <w:trPr>
          <w:trHeight w:val="1021"/>
        </w:trPr>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9019"/>
          </w:cols>
          <w:pgMar w:left="1440" w:top="292"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662940</wp:posOffset>
            </wp:positionV>
            <wp:extent cx="731202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561340</wp:posOffset>
            </wp:positionV>
            <wp:extent cx="7335520" cy="50139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35520" cy="5013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5633085</wp:posOffset>
            </wp:positionV>
            <wp:extent cx="731202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561340</wp:posOffset>
            </wp:positionV>
            <wp:extent cx="7322820" cy="4577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32282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561340</wp:posOffset>
            </wp:positionV>
            <wp:extent cx="7335520" cy="4999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35520" cy="4999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561340</wp:posOffset>
            </wp:positionV>
            <wp:extent cx="7335520" cy="4999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35520" cy="4999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561340</wp:posOffset>
            </wp:positionV>
            <wp:extent cx="7335520" cy="50139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35520" cy="5013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561340</wp:posOffset>
            </wp:positionV>
            <wp:extent cx="7335520" cy="50139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35520" cy="5013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18"/>
          <w:szCs w:val="18"/>
          <w:b w:val="1"/>
          <w:bCs w:val="1"/>
          <w:color w:val="auto"/>
        </w:rPr>
        <w:t>EXHIBIT A-1</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LAB AND OFFICE ZONES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558800</wp:posOffset>
            </wp:positionV>
            <wp:extent cx="731202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839470</wp:posOffset>
            </wp:positionV>
            <wp:extent cx="7312025" cy="46736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12025" cy="467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839470</wp:posOffset>
            </wp:positionV>
            <wp:extent cx="7312025" cy="47917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1202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839470</wp:posOffset>
            </wp:positionV>
            <wp:extent cx="7312025" cy="47917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1202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839470</wp:posOffset>
            </wp:positionV>
            <wp:extent cx="7312025" cy="47917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1202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ind w:right="-20"/>
        <w:spacing w:after="0"/>
        <w:rPr>
          <w:sz w:val="20"/>
          <w:szCs w:val="20"/>
          <w:color w:val="auto"/>
        </w:rPr>
      </w:pPr>
      <w:r>
        <w:rPr>
          <w:rFonts w:ascii="Arial" w:cs="Arial" w:eastAsia="Arial" w:hAnsi="Arial"/>
          <w:sz w:val="18"/>
          <w:szCs w:val="18"/>
          <w:b w:val="1"/>
          <w:bCs w:val="1"/>
          <w:color w:val="auto"/>
        </w:rPr>
        <w:t>EXHIBIT A-2</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PHASING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558800</wp:posOffset>
            </wp:positionV>
            <wp:extent cx="731202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95885</wp:posOffset>
            </wp:positionV>
            <wp:extent cx="7312025" cy="57156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12025" cy="5715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95885</wp:posOffset>
            </wp:positionV>
            <wp:extent cx="7312025" cy="5562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12025" cy="5562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EXHIBIT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LETTER</w:t>
      </w:r>
    </w:p>
    <w:p>
      <w:pPr>
        <w:spacing w:after="0" w:line="171"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This Work Letter (this “</w:t>
      </w:r>
      <w:r>
        <w:rPr>
          <w:rFonts w:ascii="Arial" w:cs="Arial" w:eastAsia="Arial" w:hAnsi="Arial"/>
          <w:sz w:val="16"/>
          <w:szCs w:val="16"/>
          <w:u w:val="single" w:color="auto"/>
          <w:color w:val="auto"/>
        </w:rPr>
        <w:t>Work Letter</w:t>
      </w:r>
      <w:r>
        <w:rPr>
          <w:rFonts w:ascii="Arial" w:cs="Arial" w:eastAsia="Arial" w:hAnsi="Arial"/>
          <w:sz w:val="16"/>
          <w:szCs w:val="16"/>
          <w:color w:val="auto"/>
        </w:rPr>
        <w:t xml:space="preserve">”) is made and entered into as of the </w:t>
      </w:r>
      <w:r>
        <w:rPr>
          <w:rFonts w:ascii="Arial" w:cs="Arial" w:eastAsia="Arial" w:hAnsi="Arial"/>
          <w:sz w:val="16"/>
          <w:szCs w:val="16"/>
          <w:u w:val="single" w:color="auto"/>
          <w:color w:val="auto"/>
        </w:rPr>
        <w:t>11th</w:t>
      </w:r>
      <w:r>
        <w:rPr>
          <w:rFonts w:ascii="Arial" w:cs="Arial" w:eastAsia="Arial" w:hAnsi="Arial"/>
          <w:sz w:val="16"/>
          <w:szCs w:val="16"/>
          <w:color w:val="auto"/>
        </w:rPr>
        <w:t xml:space="preserve"> day of November, 2015, by and between BMR-SIDNEY RESEARCH CAMPUS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SERES 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and is attached to and made a part of that certain Lease dated as of November 11 , 2015 (as the same may be amended, amended and restated, supplemented or otherwise modified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Landlord and Tenant for the Premises located at 200 Sidney Street, Cambridge, Massachusetts. All capitalized terms used but not otherwise defined herein shall have the meanings given them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-288925</wp:posOffset>
            </wp:positionV>
            <wp:extent cx="20891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8915" cy="6985"/>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General Requirements</w:t>
      </w:r>
      <w:r>
        <w:rPr>
          <w:rFonts w:ascii="Arial" w:cs="Arial" w:eastAsia="Arial" w:hAnsi="Arial"/>
          <w:sz w:val="18"/>
          <w:szCs w:val="18"/>
          <w:color w:val="auto"/>
        </w:rPr>
        <w:t>.</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Authorized Representatives</w:t>
      </w:r>
      <w:r>
        <w:rPr>
          <w:rFonts w:ascii="Arial" w:cs="Arial" w:eastAsia="Arial" w:hAnsi="Arial"/>
          <w:sz w:val="18"/>
          <w:szCs w:val="18"/>
          <w:color w:val="auto"/>
        </w:rPr>
        <w:t>.</w:t>
      </w:r>
    </w:p>
    <w:p>
      <w:pPr>
        <w:spacing w:after="0" w:line="165" w:lineRule="exact"/>
        <w:rPr>
          <w:sz w:val="20"/>
          <w:szCs w:val="20"/>
          <w:color w:val="auto"/>
        </w:rPr>
      </w:pPr>
    </w:p>
    <w:p>
      <w:pPr>
        <w:jc w:val="both"/>
        <w:ind w:firstLine="1153"/>
        <w:spacing w:after="0" w:line="234" w:lineRule="auto"/>
        <w:tabs>
          <w:tab w:leader="none" w:pos="139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Landlord designates, as Landlord’s authorized representative (“</w:t>
      </w:r>
      <w:r>
        <w:rPr>
          <w:rFonts w:ascii="Arial" w:cs="Arial" w:eastAsia="Arial" w:hAnsi="Arial"/>
          <w:sz w:val="18"/>
          <w:szCs w:val="18"/>
          <w:u w:val="single" w:color="auto"/>
          <w:color w:val="auto"/>
        </w:rPr>
        <w:t>Landlord’s Authorized Representative</w:t>
      </w:r>
      <w:r>
        <w:rPr>
          <w:rFonts w:ascii="Arial" w:cs="Arial" w:eastAsia="Arial" w:hAnsi="Arial"/>
          <w:sz w:val="18"/>
          <w:szCs w:val="18"/>
          <w:color w:val="auto"/>
        </w:rPr>
        <w:t>”), (i) Edward McDonald as the person authorized to initial plans, drawings,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50" w:lineRule="exact"/>
        <w:rPr>
          <w:rFonts w:ascii="Arial" w:cs="Arial" w:eastAsia="Arial" w:hAnsi="Arial"/>
          <w:sz w:val="18"/>
          <w:szCs w:val="18"/>
          <w:color w:val="auto"/>
        </w:rPr>
      </w:pPr>
    </w:p>
    <w:p>
      <w:pPr>
        <w:jc w:val="both"/>
        <w:ind w:firstLine="1153"/>
        <w:spacing w:after="0" w:line="235" w:lineRule="auto"/>
        <w:tabs>
          <w:tab w:leader="none" w:pos="14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Tenant designates Candace B. Martin (“</w:t>
      </w:r>
      <w:r>
        <w:rPr>
          <w:rFonts w:ascii="Arial" w:cs="Arial" w:eastAsia="Arial" w:hAnsi="Arial"/>
          <w:sz w:val="18"/>
          <w:szCs w:val="18"/>
          <w:u w:val="single" w:color="auto"/>
          <w:color w:val="auto"/>
        </w:rPr>
        <w:t>Tenant’s Authorized Representative</w:t>
      </w:r>
      <w:r>
        <w:rPr>
          <w:rFonts w:ascii="Arial" w:cs="Arial" w:eastAsia="Arial" w:hAnsi="Arial"/>
          <w:sz w:val="18"/>
          <w:szCs w:val="18"/>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52"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Schedule</w:t>
      </w:r>
      <w:r>
        <w:rPr>
          <w:rFonts w:ascii="Arial" w:cs="Arial" w:eastAsia="Arial" w:hAnsi="Arial"/>
          <w:sz w:val="16"/>
          <w:szCs w:val="16"/>
          <w:color w:val="auto"/>
        </w:rPr>
        <w:t>. The schedule for design and development of the Phase 1A Improvements and Phase 1B Improvements (collectively, the “</w:t>
      </w:r>
      <w:r>
        <w:rPr>
          <w:rFonts w:ascii="Arial" w:cs="Arial" w:eastAsia="Arial" w:hAnsi="Arial"/>
          <w:sz w:val="16"/>
          <w:szCs w:val="16"/>
          <w:u w:val="single" w:color="auto"/>
          <w:color w:val="auto"/>
        </w:rPr>
        <w:t>Phase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Improvements</w:t>
      </w:r>
      <w:r>
        <w:rPr>
          <w:rFonts w:ascii="Arial" w:cs="Arial" w:eastAsia="Arial" w:hAnsi="Arial"/>
          <w:sz w:val="16"/>
          <w:szCs w:val="16"/>
          <w:color w:val="auto"/>
        </w:rPr>
        <w:t xml:space="preserve">”), including the time periods for preparation and review of construction documents, approvals and performance, shall be in accordance with the schedule prepared by Landlord and attached hereto as </w:t>
      </w:r>
      <w:r>
        <w:rPr>
          <w:rFonts w:ascii="Arial" w:cs="Arial" w:eastAsia="Arial" w:hAnsi="Arial"/>
          <w:sz w:val="16"/>
          <w:szCs w:val="16"/>
          <w:u w:val="single" w:color="auto"/>
          <w:color w:val="auto"/>
        </w:rPr>
        <w:t>Exhibit B-4-a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Phase 1 Schedule</w:t>
      </w:r>
      <w:r>
        <w:rPr>
          <w:rFonts w:ascii="Arial" w:cs="Arial" w:eastAsia="Arial" w:hAnsi="Arial"/>
          <w:sz w:val="16"/>
          <w:szCs w:val="16"/>
          <w:color w:val="auto"/>
        </w:rPr>
        <w:t xml:space="preserve">”). The Phase 1 Schedule shall be subject to adjustment as mutually agreed upon in writing by the parties, or as otherwise provided in this Work Letter. The schedule for design and development of the Phase 2 Improvements, including the time periods for preparation and review of construction documents, approvals and performance, shall be in accordance with the schedule prepared by Landlord and attached hereto as </w:t>
      </w:r>
      <w:r>
        <w:rPr>
          <w:rFonts w:ascii="Arial" w:cs="Arial" w:eastAsia="Arial" w:hAnsi="Arial"/>
          <w:sz w:val="16"/>
          <w:szCs w:val="16"/>
          <w:u w:val="single" w:color="auto"/>
          <w:color w:val="auto"/>
        </w:rPr>
        <w:t>Exhibit B-4-b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Phase 2 Schedule</w:t>
      </w:r>
      <w:r>
        <w:rPr>
          <w:rFonts w:ascii="Arial" w:cs="Arial" w:eastAsia="Arial" w:hAnsi="Arial"/>
          <w:sz w:val="16"/>
          <w:szCs w:val="16"/>
          <w:color w:val="auto"/>
        </w:rPr>
        <w:t>”). The Phase 2 Schedule is a preliminary schedule based upon the current design specified in the Draft Manufacturing Area Schematic Plans and is the schedule upon which the Estimated Phase 2 Delivery Date is based. The final Phase 2 Schedule, based upon finalizing the Manufacturing Area Approved Plans and Approved Manufacturing Area Budget (as both such terms are hereinafter defined) in accordance with the terms of this Work Letter, shall be prepared by Landlord. Once prepared by Landlord, changes to such final Phase 2 Schedule shall be subject to adjustment as mutually agreed upon in writing by the parties, or as otherwise provided in this Work Letter.</w:t>
      </w:r>
    </w:p>
    <w:p>
      <w:pPr>
        <w:spacing w:after="0" w:line="136"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Landlord’s Architects, Contractors and Consultants</w:t>
      </w:r>
      <w:r>
        <w:rPr>
          <w:rFonts w:ascii="Arial" w:cs="Arial" w:eastAsia="Arial" w:hAnsi="Arial"/>
          <w:sz w:val="16"/>
          <w:szCs w:val="16"/>
          <w:color w:val="auto"/>
        </w:rPr>
        <w:t>. The architect, engineering consultants, design team, construction manager, general contractor and subcontractors responsible for the construction of the Tenant Improvements shall be selected by Landlord; provided, however, that Tenant shall have the right to reasonably approve the architect, MEP engineer, and construction manager. Landlord and Tenant hereby approve The Richmond Group (construction manager), Dineen Architects and Planners (architect), and AHA Engineering (MEP engineers).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8" w:right="219" w:bottom="1440" w:gutter="0" w:footer="0" w:header="0"/>
        </w:sectPr>
      </w:pPr>
    </w:p>
    <w:bookmarkStart w:id="196" w:name="page197"/>
    <w:bookmarkEnd w:id="196"/>
    <w:p>
      <w:pPr>
        <w:jc w:val="both"/>
        <w:ind w:firstLine="764"/>
        <w:spacing w:after="0" w:line="27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Construction Meetings</w:t>
      </w:r>
      <w:r>
        <w:rPr>
          <w:rFonts w:ascii="Arial" w:cs="Arial" w:eastAsia="Arial" w:hAnsi="Arial"/>
          <w:sz w:val="16"/>
          <w:szCs w:val="16"/>
          <w:color w:val="auto"/>
        </w:rPr>
        <w:t>. Landlord, its general contractor and Tenant shall reasonably cooperate to schedule and conduct regular construction meetings (approximately once per week, except as otherwise agreed to by the parties) regarding the progress of the Tenant Improvements and Landlord’s Work. During such meetings, Landlord shall use commercially reasonable efforts to notify Tenant of any potential delays in construction. Tenant’s representative shall have the right to attend such meetings via conference call or other reasonably agreed means.</w:t>
      </w:r>
    </w:p>
    <w:p>
      <w:pPr>
        <w:spacing w:after="0" w:line="125"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All Tenant Improvements shall be performed by Landlord’s contractor, at Tenant’s sole cost and expense (subject to Landlord’s obligations with respect to the TI Allowance) and in substantial accordance with the Approved Plans (as defined below), the Lease and this Work Letter. To the extent that the total projected cost of the Tenant Improvements (as projected by Landlord) exceeds the TI Allowance (such excess, the “</w:t>
      </w:r>
      <w:r>
        <w:rPr>
          <w:rFonts w:ascii="Arial" w:cs="Arial" w:eastAsia="Arial" w:hAnsi="Arial"/>
          <w:sz w:val="16"/>
          <w:szCs w:val="16"/>
          <w:u w:val="single" w:color="auto"/>
          <w:color w:val="auto"/>
        </w:rPr>
        <w:t>Excess TI</w:t>
      </w:r>
      <w:r>
        <w:rPr>
          <w:rFonts w:ascii="Arial" w:cs="Arial" w:eastAsia="Arial" w:hAnsi="Arial"/>
          <w:sz w:val="16"/>
          <w:szCs w:val="16"/>
          <w:color w:val="auto"/>
        </w:rPr>
        <w:t xml:space="preserve"> </w:t>
      </w:r>
      <w:r>
        <w:rPr>
          <w:rFonts w:ascii="Arial" w:cs="Arial" w:eastAsia="Arial" w:hAnsi="Arial"/>
          <w:sz w:val="16"/>
          <w:szCs w:val="16"/>
          <w:u w:val="single" w:color="auto"/>
          <w:color w:val="auto"/>
        </w:rPr>
        <w:t>Costs</w:t>
      </w:r>
      <w:r>
        <w:rPr>
          <w:rFonts w:ascii="Arial" w:cs="Arial" w:eastAsia="Arial" w:hAnsi="Arial"/>
          <w:sz w:val="16"/>
          <w:szCs w:val="16"/>
          <w:color w:val="auto"/>
        </w:rPr>
        <w:t>”), Tenant shall pay the costs of the Tenant Improvements on a pari passu basis with Landlord as such costs become due, in the proportion of Excess TI Costs payable by Tenant to the TI Allowance payable by Landlord. If the cost of the Tenant Improvements (as projected by Landlord) increases over Landlord’s initial projection, then Landlord may notify Tenant and Tenant shall pay any additional Excess TI Costs in the same way that Tenant pays such initial Excess TI Costs. If Tenant fails to pay, or is late in paying, any sum due to Landlord under this Work Letter, then Landlord shall have all of the rights and remedies set forth in the Lease for nonpayment of Rent (including the right to interest and the right to assess a late charge), and for purposes of any litigation instituted with regard to such amounts the same shall be considered Rent. All material and equipment furnished by Landlord or its contractors as the Tenant Improvements shall be new or “like new,” and the Tenant Improvements shall be performed in a first-class, workmanlike manner.</w:t>
      </w:r>
    </w:p>
    <w:p>
      <w:pPr>
        <w:spacing w:after="0" w:line="136" w:lineRule="exact"/>
        <w:rPr>
          <w:sz w:val="20"/>
          <w:szCs w:val="20"/>
          <w:color w:val="auto"/>
        </w:rPr>
      </w:pPr>
    </w:p>
    <w:p>
      <w:pPr>
        <w:jc w:val="both"/>
        <w:ind w:firstLine="764"/>
        <w:spacing w:after="0" w:line="273"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Landlord’s Work</w:t>
      </w:r>
      <w:r>
        <w:rPr>
          <w:rFonts w:ascii="Arial" w:cs="Arial" w:eastAsia="Arial" w:hAnsi="Arial"/>
          <w:sz w:val="16"/>
          <w:szCs w:val="16"/>
          <w:color w:val="auto"/>
        </w:rPr>
        <w:t xml:space="preserve">. Landlord shall perform Landlord’s Work at Landlord’s sole cost and expense, which cost will not be reimbursable from the TI Allowance. Any work to the Common Areas required by Applicable Laws as a result of Landlord’s Work shall be considered Landlord’s Work and shall be undertaken at Landlord’s sole cost and expense. Any work to the Common Areas required by Applicable Laws as a result of the Tenant Improvements shall be considered Tenant Improvements and shall be undertaken by Landlord and shall be paid for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Lease and this Work Letter.</w:t>
      </w:r>
    </w:p>
    <w:p>
      <w:pPr>
        <w:spacing w:after="0" w:line="125"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Plans for Tenant Improvements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6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Plans for Lab/Office Improvements</w:t>
      </w:r>
      <w:r>
        <w:rPr>
          <w:rFonts w:ascii="Arial" w:cs="Arial" w:eastAsia="Arial" w:hAnsi="Arial"/>
          <w:sz w:val="16"/>
          <w:szCs w:val="16"/>
          <w:color w:val="auto"/>
        </w:rPr>
        <w:t>. Landlord shall prepare final plans and specifications for the Phase 1 Improvements and the Phase 2 Improvements (excluding the Manufacturing Area and the Quality Control Lab) (collectively, the “</w:t>
      </w:r>
      <w:r>
        <w:rPr>
          <w:rFonts w:ascii="Arial" w:cs="Arial" w:eastAsia="Arial" w:hAnsi="Arial"/>
          <w:sz w:val="16"/>
          <w:szCs w:val="16"/>
          <w:u w:val="single" w:color="auto"/>
          <w:color w:val="auto"/>
        </w:rPr>
        <w:t>Lab/Office Improvements</w:t>
      </w:r>
      <w:r>
        <w:rPr>
          <w:rFonts w:ascii="Arial" w:cs="Arial" w:eastAsia="Arial" w:hAnsi="Arial"/>
          <w:sz w:val="16"/>
          <w:szCs w:val="16"/>
          <w:color w:val="auto"/>
        </w:rPr>
        <w:t xml:space="preserve">”) that are consistent with and are logical evolutions of the plans attached hereto as </w:t>
      </w:r>
      <w:r>
        <w:rPr>
          <w:rFonts w:ascii="Arial" w:cs="Arial" w:eastAsia="Arial" w:hAnsi="Arial"/>
          <w:sz w:val="16"/>
          <w:szCs w:val="16"/>
          <w:u w:val="single" w:color="auto"/>
          <w:color w:val="auto"/>
        </w:rPr>
        <w:t>Exhibit B-1-a</w:t>
      </w:r>
      <w:r>
        <w:rPr>
          <w:rFonts w:ascii="Arial" w:cs="Arial" w:eastAsia="Arial" w:hAnsi="Arial"/>
          <w:sz w:val="16"/>
          <w:szCs w:val="16"/>
          <w:color w:val="auto"/>
        </w:rPr>
        <w:t>. As soon as such final plans and specifications for the Lab/Office Improvements (the “</w:t>
      </w:r>
      <w:r>
        <w:rPr>
          <w:rFonts w:ascii="Arial" w:cs="Arial" w:eastAsia="Arial" w:hAnsi="Arial"/>
          <w:sz w:val="16"/>
          <w:szCs w:val="16"/>
          <w:u w:val="single" w:color="auto"/>
          <w:color w:val="auto"/>
        </w:rPr>
        <w:t>Lab/Office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Construction Plans</w:t>
      </w:r>
      <w:r>
        <w:rPr>
          <w:rFonts w:ascii="Arial" w:cs="Arial" w:eastAsia="Arial" w:hAnsi="Arial"/>
          <w:sz w:val="16"/>
          <w:szCs w:val="16"/>
          <w:color w:val="auto"/>
        </w:rPr>
        <w:t>”) are completed, Landlord shall deliver the same to Tenant for Tenant’s approval, which approval shall not be unreasonably withheld, conditioned or delayed. In a commercially reasonable manner after the execution of the Lease, Landlord shall consult with Tenant and Landlord shall finalize the Lab/Office Construction Plans. If the Lab/Office Construction Plans are disapproved by Tenant, then Tenant shall notify Landlord in writing of its reasonable objections to such Lab/Office Construction Plans, and the parties shall confer and negotiate in good faith to reach agreement on the Lab/Office Construction Plans. Promptly after the Lab/Office Construction Plans are finalized, two (2) copies of the Lab/Office Construction Plans shall be initialed and dated by Landlord and Tenant, and Landlord shall promptly submit such Lab/Office Construction Plans to all appropriate Governmental Authorities for approval. The Lab/Office Construction Plans so approved, and all change orders specifically permitted by this Work Letter, are referred to herein as the “</w:t>
      </w:r>
      <w:r>
        <w:rPr>
          <w:rFonts w:ascii="Arial" w:cs="Arial" w:eastAsia="Arial" w:hAnsi="Arial"/>
          <w:sz w:val="16"/>
          <w:szCs w:val="16"/>
          <w:u w:val="single" w:color="auto"/>
          <w:color w:val="auto"/>
        </w:rPr>
        <w:t>Lab/Office Approved Plans</w:t>
      </w:r>
      <w:r>
        <w:rPr>
          <w:rFonts w:ascii="Arial" w:cs="Arial" w:eastAsia="Arial" w:hAnsi="Arial"/>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197" w:name="page198"/>
    <w:bookmarkEnd w:id="197"/>
    <w:p>
      <w:pPr>
        <w:ind w:left="7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Plans for Manufacturing Area Improvements</w:t>
      </w:r>
      <w:r>
        <w:rPr>
          <w:rFonts w:ascii="Arial" w:cs="Arial" w:eastAsia="Arial" w:hAnsi="Arial"/>
          <w:sz w:val="18"/>
          <w:szCs w:val="18"/>
          <w:color w:val="auto"/>
        </w:rPr>
        <w:t>.</w:t>
      </w:r>
    </w:p>
    <w:p>
      <w:pPr>
        <w:spacing w:after="0" w:line="165" w:lineRule="exact"/>
        <w:rPr>
          <w:sz w:val="20"/>
          <w:szCs w:val="20"/>
          <w:color w:val="auto"/>
        </w:rPr>
      </w:pPr>
    </w:p>
    <w:p>
      <w:pPr>
        <w:jc w:val="both"/>
        <w:ind w:firstLine="1153"/>
        <w:spacing w:after="0" w:line="260" w:lineRule="auto"/>
        <w:tabs>
          <w:tab w:leader="none" w:pos="140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Landlord has prepared schematics covering the Phase 2 Improvements applicable to the Manufacturing Area and the Quality Control Lab (collectively, the “</w:t>
      </w:r>
      <w:r>
        <w:rPr>
          <w:rFonts w:ascii="Arial" w:cs="Arial" w:eastAsia="Arial" w:hAnsi="Arial"/>
          <w:sz w:val="16"/>
          <w:szCs w:val="16"/>
          <w:u w:val="single" w:color="auto"/>
          <w:color w:val="auto"/>
        </w:rPr>
        <w:t>Manufacturing Area Improvements</w:t>
      </w:r>
      <w:r>
        <w:rPr>
          <w:rFonts w:ascii="Arial" w:cs="Arial" w:eastAsia="Arial" w:hAnsi="Arial"/>
          <w:sz w:val="16"/>
          <w:szCs w:val="16"/>
          <w:color w:val="auto"/>
        </w:rPr>
        <w:t>”) in conformity with the applicable provisions of this Work Letter (the “</w:t>
      </w:r>
      <w:r>
        <w:rPr>
          <w:rFonts w:ascii="Arial" w:cs="Arial" w:eastAsia="Arial" w:hAnsi="Arial"/>
          <w:sz w:val="16"/>
          <w:szCs w:val="16"/>
          <w:u w:val="single" w:color="auto"/>
          <w:color w:val="auto"/>
        </w:rPr>
        <w:t>Draft Manufacturing Area</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Schematic Plans</w:t>
      </w:r>
      <w:r>
        <w:rPr>
          <w:rFonts w:ascii="Arial" w:cs="Arial" w:eastAsia="Arial" w:hAnsi="Arial"/>
          <w:sz w:val="16"/>
          <w:szCs w:val="16"/>
          <w:color w:val="auto"/>
        </w:rPr>
        <w:t xml:space="preserve">”) which are attached hereto as </w:t>
      </w:r>
      <w:r>
        <w:rPr>
          <w:rFonts w:ascii="Arial" w:cs="Arial" w:eastAsia="Arial" w:hAnsi="Arial"/>
          <w:sz w:val="16"/>
          <w:szCs w:val="16"/>
          <w:u w:val="single" w:color="auto"/>
          <w:color w:val="auto"/>
        </w:rPr>
        <w:t>Exhibit B-1-c</w:t>
      </w:r>
      <w:r>
        <w:rPr>
          <w:rFonts w:ascii="Arial" w:cs="Arial" w:eastAsia="Arial" w:hAnsi="Arial"/>
          <w:sz w:val="16"/>
          <w:szCs w:val="16"/>
          <w:color w:val="auto"/>
        </w:rPr>
        <w:t>. The Draft Manufacturing Area Schematic Plans contain sufficient information and detail to accurately describe the proposed design to Tenant. Tenant shall notify Landlord in writing within five (5) business days after receipt of the Draft Manufacturing Area Schematic Plans whether Tenant approves or objects to the Draft Manufacturing Area Schematic Plans and of the manner, if any, in which the Draft Manufacturing Area Schematic Plans are unacceptable. Tenant’s failure to respond within such five (5) business day period shall be deemed approval by Tenant. If Tenant reasonably objects to the Draft Manufacturing Area Schematic Plans, then Landlord shall revise the Draft Manufacturing Area Schematic Plans and cause Tenant’s objections to be remedied in the revised Draft Manufacturing Area Schematic Plans. Landlord shall then resubmit the revised Draft Manufacturing Area Schematic Plans to Tenant for approval, such approval not to be unreasonably withheld, conditioned or delayed. Tenant’s approval of or objection to revised Draft Manufacturing Area Schematic Plans and Landlord’s correction of the same shall be in accordance with this Section until Tenant has approved the Draft Manufacturing Area Schematic Plans in writing or been deemed to have approved them. The iteration of the Draft Manufacturing Area Schematic Plans that is approved or deemed approved by Tenant without objection shall be referred to herein as the “</w:t>
      </w:r>
      <w:r>
        <w:rPr>
          <w:rFonts w:ascii="Arial" w:cs="Arial" w:eastAsia="Arial" w:hAnsi="Arial"/>
          <w:sz w:val="16"/>
          <w:szCs w:val="16"/>
          <w:u w:val="single" w:color="auto"/>
          <w:color w:val="auto"/>
        </w:rPr>
        <w:t>Approved Manufacturing Area Schematic Plans</w:t>
      </w:r>
      <w:r>
        <w:rPr>
          <w:rFonts w:ascii="Arial" w:cs="Arial" w:eastAsia="Arial" w:hAnsi="Arial"/>
          <w:sz w:val="16"/>
          <w:szCs w:val="16"/>
          <w:color w:val="auto"/>
        </w:rPr>
        <w:t>.” For each day after the Execution Date that Tenant has not finally approved the Draft Manufacturing Schematic Plans in writing, and notwithstanding anything in this Lease or Work Letter to the contrary, then in addition to any additional delays in Substantial Completion of the Phase 2 Improvements caused by Tenant, it shall be a day-for-day delay by Tenant of the Estimated Phase 2 Delivery Date (i.</w:t>
      </w:r>
      <w:r>
        <w:rPr>
          <w:rFonts w:ascii="Arial" w:cs="Arial" w:eastAsia="Arial" w:hAnsi="Arial"/>
          <w:sz w:val="16"/>
          <w:szCs w:val="16"/>
          <w:i w:val="1"/>
          <w:iCs w:val="1"/>
          <w:color w:val="auto"/>
        </w:rPr>
        <w:t>e.</w:t>
      </w:r>
      <w:r>
        <w:rPr>
          <w:rFonts w:ascii="Arial" w:cs="Arial" w:eastAsia="Arial" w:hAnsi="Arial"/>
          <w:sz w:val="16"/>
          <w:szCs w:val="16"/>
          <w:color w:val="auto"/>
        </w:rPr>
        <w:t>, the date Substantial Completion of the Phase 2 Improvements would have occurred but for such delay by Tenant).</w:t>
      </w:r>
    </w:p>
    <w:p>
      <w:pPr>
        <w:spacing w:after="0" w:line="335" w:lineRule="exact"/>
        <w:rPr>
          <w:rFonts w:ascii="Arial" w:cs="Arial" w:eastAsia="Arial" w:hAnsi="Arial"/>
          <w:sz w:val="16"/>
          <w:szCs w:val="16"/>
          <w:color w:val="auto"/>
        </w:rPr>
      </w:pPr>
    </w:p>
    <w:p>
      <w:pPr>
        <w:jc w:val="both"/>
        <w:ind w:firstLine="1153"/>
        <w:spacing w:after="0" w:line="261" w:lineRule="auto"/>
        <w:tabs>
          <w:tab w:leader="none" w:pos="141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Landlord shall prepare final plans and specifications for the Manufacturing Area Improvements that (a) are consistent with and are logical evolutions of the Approved Manufacturing Area Schematic Plans and (b) incorporate any other Tenant-requested (and Landlord-approved) Changes (as defined below). As soon as such final plans and specifications for the Manufacturing Area Improvements (the “</w:t>
      </w:r>
      <w:r>
        <w:rPr>
          <w:rFonts w:ascii="Arial" w:cs="Arial" w:eastAsia="Arial" w:hAnsi="Arial"/>
          <w:sz w:val="16"/>
          <w:szCs w:val="16"/>
          <w:u w:val="single" w:color="auto"/>
          <w:color w:val="auto"/>
        </w:rPr>
        <w:t>Manufacturing Area Construction Plans</w:t>
      </w:r>
      <w:r>
        <w:rPr>
          <w:rFonts w:ascii="Arial" w:cs="Arial" w:eastAsia="Arial" w:hAnsi="Arial"/>
          <w:sz w:val="16"/>
          <w:szCs w:val="16"/>
          <w:color w:val="auto"/>
        </w:rPr>
        <w:t>”) are completed, Landlord shall deliver the same to Tenant for Tenant’s approval, which approval shall not be unreasonably withheld, conditioned or delayed. If the Manufacturing Area Construction Plans are disapproved by Tenant, then Tenant shall notify Landlord in writing of its reasonable objections to such Manufacturing Area Construction Plans, and the parties shall confer and negotiate in good faith to reach agreement on the Manufacturing Area Construction Plans. Promptly after the Manufacturing Area Construction Plans are finalized, two (2) copies of the Manufacturing Area Construction Plans shall be initialed and dated by Landlord and Tenant, and Landlord shall promptly submit such Manufacturing Area Construction Plans to all appropriate Governmental Authorities for approval. The Manufacturing Area Construction Plans so approved, and all change orders specifically permitted by this Work Letter, are referred to herein as the “</w:t>
      </w:r>
      <w:r>
        <w:rPr>
          <w:rFonts w:ascii="Arial" w:cs="Arial" w:eastAsia="Arial" w:hAnsi="Arial"/>
          <w:sz w:val="16"/>
          <w:szCs w:val="16"/>
          <w:u w:val="single" w:color="auto"/>
          <w:color w:val="auto"/>
        </w:rPr>
        <w:t>Manufacturing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Area Approved Plans</w:t>
      </w:r>
      <w:r>
        <w:rPr>
          <w:rFonts w:ascii="Arial" w:cs="Arial" w:eastAsia="Arial" w:hAnsi="Arial"/>
          <w:sz w:val="16"/>
          <w:szCs w:val="16"/>
          <w:color w:val="auto"/>
        </w:rPr>
        <w:t>”. As used in this Work Letter, the term “</w:t>
      </w:r>
      <w:r>
        <w:rPr>
          <w:rFonts w:ascii="Arial" w:cs="Arial" w:eastAsia="Arial" w:hAnsi="Arial"/>
          <w:sz w:val="16"/>
          <w:szCs w:val="16"/>
          <w:u w:val="single" w:color="auto"/>
          <w:color w:val="auto"/>
        </w:rPr>
        <w:t>Approved Plans</w:t>
      </w:r>
      <w:r>
        <w:rPr>
          <w:rFonts w:ascii="Arial" w:cs="Arial" w:eastAsia="Arial" w:hAnsi="Arial"/>
          <w:sz w:val="16"/>
          <w:szCs w:val="16"/>
          <w:color w:val="auto"/>
        </w:rPr>
        <w:t>” shall mean either the Lab/Office Approved Plans or the Manufacturing Area Approved Plans, as the context requires.</w:t>
      </w:r>
    </w:p>
    <w:p>
      <w:pPr>
        <w:spacing w:after="0" w:line="140"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2.3. Notwithstanding anything in the Lease or this Work Letter to the contrary, Landlord shall only be responsible for constructing the Tenant Improvements in accordance with the Approved Plans and shall not in any way be responsible for ensuring that the Tenant Improvements satisfy the requirements of Governmental Authorities (including, without limitation, the Food and Drug Administration) regarding use of the Premises or any portion thereof as a “clean room” in accordance with good manufacturing practices or for obtaining validation or licensing from any such Governmental Authorities, the responsibility for which shall be borne exclusively by Tenant.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198" w:name="page199"/>
    <w:bookmarkEnd w:id="198"/>
    <w:p>
      <w:pPr>
        <w:jc w:val="both"/>
        <w:ind w:firstLine="764"/>
        <w:spacing w:after="0" w:line="26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Changes to Plans</w:t>
      </w:r>
      <w:r>
        <w:rPr>
          <w:rFonts w:ascii="Arial" w:cs="Arial" w:eastAsia="Arial" w:hAnsi="Arial"/>
          <w:sz w:val="16"/>
          <w:szCs w:val="16"/>
          <w:color w:val="auto"/>
        </w:rPr>
        <w:t>. Any changes to the Lab/Office Construction Plans, the Lab/Office Approved Plans, the Basis of Design, the URS, the Draft Manufacturing Area Schematic Plans, the Approved Manufacturing Area Schematic Plans, the Manufacturing Area Construction Plans or the Manufacturing Area Approved Plans (each, a “</w:t>
      </w:r>
      <w:r>
        <w:rPr>
          <w:rFonts w:ascii="Arial" w:cs="Arial" w:eastAsia="Arial" w:hAnsi="Arial"/>
          <w:sz w:val="16"/>
          <w:szCs w:val="16"/>
          <w:u w:val="single" w:color="auto"/>
          <w:color w:val="auto"/>
        </w:rPr>
        <w:t>Plan</w:t>
      </w:r>
      <w:r>
        <w:rPr>
          <w:rFonts w:ascii="Arial" w:cs="Arial" w:eastAsia="Arial" w:hAnsi="Arial"/>
          <w:sz w:val="16"/>
          <w:szCs w:val="16"/>
          <w:color w:val="auto"/>
        </w:rPr>
        <w:t>”) by Tenant (each, a “</w:t>
      </w:r>
      <w:r>
        <w:rPr>
          <w:rFonts w:ascii="Arial" w:cs="Arial" w:eastAsia="Arial" w:hAnsi="Arial"/>
          <w:sz w:val="16"/>
          <w:szCs w:val="16"/>
          <w:u w:val="single" w:color="auto"/>
          <w:color w:val="auto"/>
        </w:rPr>
        <w:t>Tenant Change</w:t>
      </w:r>
      <w:r>
        <w:rPr>
          <w:rFonts w:ascii="Arial" w:cs="Arial" w:eastAsia="Arial" w:hAnsi="Arial"/>
          <w:sz w:val="16"/>
          <w:szCs w:val="16"/>
          <w:color w:val="auto"/>
        </w:rPr>
        <w:t>”), and any changes to the Approved Plans by Landlord (each, a “</w:t>
      </w:r>
      <w:r>
        <w:rPr>
          <w:rFonts w:ascii="Arial" w:cs="Arial" w:eastAsia="Arial" w:hAnsi="Arial"/>
          <w:sz w:val="16"/>
          <w:szCs w:val="16"/>
          <w:u w:val="single" w:color="auto"/>
          <w:color w:val="auto"/>
        </w:rPr>
        <w:t>Landlord Change</w:t>
      </w:r>
      <w:r>
        <w:rPr>
          <w:rFonts w:ascii="Arial" w:cs="Arial" w:eastAsia="Arial" w:hAnsi="Arial"/>
          <w:sz w:val="16"/>
          <w:szCs w:val="16"/>
          <w:color w:val="auto"/>
        </w:rPr>
        <w:t xml:space="preserve">”), shall be requested and instituted in accordance with the provisions of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and shall be subject to the written approval of the non-requesting party in accordance with this Work Letter. For purposes of clarity, any modification or change to the Basis of Design, the URS, the Draft Manufacturing Area Schematic Plans, the Approved Manufacturing Area Schematic Plans or the Manufacturing Area Construction Plans initiated or requested by Landlord is expressly not a Landlord Change and is not subject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further, in connection with any such modifications or changes, Landlord, in its reasonable discretion, may extend the Estimated Phase 2 Delivery Date without liability to Tenant. For purposes of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below, the term “</w:t>
      </w:r>
      <w:r>
        <w:rPr>
          <w:rFonts w:ascii="Arial" w:cs="Arial" w:eastAsia="Arial" w:hAnsi="Arial"/>
          <w:sz w:val="16"/>
          <w:szCs w:val="16"/>
          <w:u w:val="single" w:color="auto"/>
          <w:color w:val="auto"/>
        </w:rPr>
        <w:t>Change</w:t>
      </w:r>
      <w:r>
        <w:rPr>
          <w:rFonts w:ascii="Arial" w:cs="Arial" w:eastAsia="Arial" w:hAnsi="Arial"/>
          <w:sz w:val="16"/>
          <w:szCs w:val="16"/>
          <w:color w:val="auto"/>
        </w:rPr>
        <w:t>” shall mean either a Tenant Change or Landlord Change depending upon the party requesting the Change.</w:t>
      </w:r>
    </w:p>
    <w:p>
      <w:pPr>
        <w:spacing w:after="0" w:line="133" w:lineRule="exact"/>
        <w:rPr>
          <w:sz w:val="20"/>
          <w:szCs w:val="20"/>
          <w:color w:val="auto"/>
        </w:rPr>
      </w:pPr>
    </w:p>
    <w:p>
      <w:pPr>
        <w:jc w:val="both"/>
        <w:ind w:firstLine="1153"/>
        <w:spacing w:after="0" w:line="261" w:lineRule="auto"/>
        <w:tabs>
          <w:tab w:leader="none" w:pos="1383"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Change Request</w:t>
      </w:r>
      <w:r>
        <w:rPr>
          <w:rFonts w:ascii="Arial" w:cs="Arial" w:eastAsia="Arial" w:hAnsi="Arial"/>
          <w:sz w:val="16"/>
          <w:szCs w:val="16"/>
          <w:color w:val="auto"/>
        </w:rPr>
        <w:t>. Either Landlord or Tenant may request Changes by notifying the other party thereof in writing in substantially the same form as the AIA standard change order form (or, with respect to Tenant Changes to Plans that are not Approved Plans, in any other form as Landlord may reasonably accept) (a “</w:t>
      </w:r>
      <w:r>
        <w:rPr>
          <w:rFonts w:ascii="Arial" w:cs="Arial" w:eastAsia="Arial" w:hAnsi="Arial"/>
          <w:sz w:val="16"/>
          <w:szCs w:val="16"/>
          <w:u w:val="single" w:color="auto"/>
          <w:color w:val="auto"/>
        </w:rPr>
        <w:t>Change Request</w:t>
      </w:r>
      <w:r>
        <w:rPr>
          <w:rFonts w:ascii="Arial" w:cs="Arial" w:eastAsia="Arial" w:hAnsi="Arial"/>
          <w:sz w:val="16"/>
          <w:szCs w:val="16"/>
          <w:color w:val="auto"/>
        </w:rPr>
        <w:t xml:space="preserve">”), which Change Request shall detail the nature and extent of any requested Changes, including (a) the Change, (b) the party required to perform the Change and (c) any modification of the applicable Plan necessitated by the Change. The party requesting the Change shall be solely responsible for the cost and expense of any necessary revisions to the applicable Plan and any increases in the cost of the Tenant Improvements as a result of such Change. If the requesting party is the Tenant, and if the Change results in a delay of the Substantial Completion of either the Phase 1 Improvements or the Phase 2 Improvements after the Estimated Term Commencement Date, the Estimated Phase 1B Delivery Date or the Estimated Phase 2 Delivery Date, as the case may be, and as determined by Landlord, then,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Lease, the Term Commencement Date (with respect to Phase 1A), or the date of Substantial Completion of the Phase 1B Improvements or the date of Substantial Completion of the Phase 2 Improvements, as the case may be, shall be the date that such dates would have occurred but for such delay, and Landlord shall have no obligation to perform overtime work or take any other extraordinary measures in order reduce or otherwise mitigate such delay. Change Requests shall be signed by the requesting party’s Authorized Representative.</w:t>
      </w:r>
    </w:p>
    <w:p>
      <w:pPr>
        <w:spacing w:after="0" w:line="139" w:lineRule="exact"/>
        <w:rPr>
          <w:rFonts w:ascii="Arial" w:cs="Arial" w:eastAsia="Arial" w:hAnsi="Arial"/>
          <w:sz w:val="16"/>
          <w:szCs w:val="16"/>
          <w:color w:val="auto"/>
        </w:rPr>
      </w:pPr>
    </w:p>
    <w:p>
      <w:pPr>
        <w:jc w:val="both"/>
        <w:ind w:firstLine="1153"/>
        <w:spacing w:after="0" w:line="235" w:lineRule="auto"/>
        <w:tabs>
          <w:tab w:leader="none" w:pos="139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If any Change requested by Tenant increases the cost of the Tenant Improvements in excess of the costs reflected on the Approved Lab/Office Budget or Approved Manufacturing Area Budget (as both terms are hereinafter defined), then Tenant may apply any remaining TI Allowance to pay the cost of such Change, but Tenant shall not have the right (and Landlord shall not be obligated) to apply any of the Additional Amount to pay the cost of such Change. Change Requests shall be signed by the requesting party’s Authorized Representative.</w:t>
      </w:r>
    </w:p>
    <w:p>
      <w:pPr>
        <w:spacing w:after="0" w:line="151" w:lineRule="exact"/>
        <w:rPr>
          <w:rFonts w:ascii="Arial" w:cs="Arial" w:eastAsia="Arial" w:hAnsi="Arial"/>
          <w:sz w:val="18"/>
          <w:szCs w:val="18"/>
          <w:color w:val="auto"/>
        </w:rPr>
      </w:pPr>
    </w:p>
    <w:p>
      <w:pPr>
        <w:jc w:val="both"/>
        <w:ind w:firstLine="1153"/>
        <w:spacing w:after="0" w:line="235" w:lineRule="auto"/>
        <w:tabs>
          <w:tab w:leader="none" w:pos="1427"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Approval of Changes</w:t>
      </w:r>
      <w:r>
        <w:rPr>
          <w:rFonts w:ascii="Arial" w:cs="Arial" w:eastAsia="Arial" w:hAnsi="Arial"/>
          <w:sz w:val="18"/>
          <w:szCs w:val="18"/>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 approve or object to the Change Request. The non-requesting party’s failure to respond within such five (5) business day period shall be deemed approval by the non-requesting party.</w:t>
      </w:r>
    </w:p>
    <w:p>
      <w:pPr>
        <w:spacing w:after="0" w:line="151" w:lineRule="exact"/>
        <w:rPr>
          <w:rFonts w:ascii="Arial" w:cs="Arial" w:eastAsia="Arial" w:hAnsi="Arial"/>
          <w:sz w:val="18"/>
          <w:szCs w:val="18"/>
          <w:color w:val="auto"/>
        </w:rPr>
      </w:pPr>
    </w:p>
    <w:p>
      <w:pPr>
        <w:jc w:val="both"/>
        <w:ind w:firstLine="8"/>
        <w:spacing w:after="0" w:line="237" w:lineRule="auto"/>
        <w:tabs>
          <w:tab w:leader="none" w:pos="18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Requests for Consent</w:t>
      </w:r>
      <w:r>
        <w:rPr>
          <w:rFonts w:ascii="Arial" w:cs="Arial" w:eastAsia="Arial" w:hAnsi="Arial"/>
          <w:sz w:val="18"/>
          <w:szCs w:val="18"/>
          <w:color w:val="auto"/>
        </w:rPr>
        <w:t>. Except as otherwise provided in this Work Letter, Tenant shall respond to all requests for consents, approvals or directions made by Landlord pursuant to this Work Letter within five (5) days following Tenant’s receipt of such request. Tenant’s failure to respond within such five (5) day period shall be deemed approval by Tenant.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199" w:name="page200"/>
    <w:bookmarkEnd w:id="199"/>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TI Allowance</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8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Application of TI Allowance</w:t>
      </w:r>
      <w:r>
        <w:rPr>
          <w:rFonts w:ascii="Arial" w:cs="Arial" w:eastAsia="Arial" w:hAnsi="Arial"/>
          <w:sz w:val="16"/>
          <w:szCs w:val="16"/>
          <w:color w:val="auto"/>
        </w:rPr>
        <w:t>. If the entire TI Allowance is not applied toward or reserved for the costs of the Tenant Improvements, then Tenant shall not be entitled to a credit of such unused portion of the TI Allowance. If the entire Excess TI Costs advanced by Tenant to Landlord are not applied toward the costs of the Tenant Improvements, then Landlord shall promptly return such excess to Tenant following completion of the Tenant Improvements.</w:t>
      </w:r>
    </w:p>
    <w:p>
      <w:pPr>
        <w:spacing w:after="0" w:line="119" w:lineRule="exact"/>
        <w:rPr>
          <w:sz w:val="20"/>
          <w:szCs w:val="20"/>
          <w:color w:val="auto"/>
        </w:rPr>
      </w:pPr>
    </w:p>
    <w:p>
      <w:pPr>
        <w:ind w:left="180" w:hanging="172"/>
        <w:spacing w:after="0"/>
        <w:tabs>
          <w:tab w:leader="none" w:pos="1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Approval of Budgets for the Tenant Improvements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 xml:space="preserve">5.1. Landlord and Tenant agree that the project budget for the Lab/Office Improvements attached hereto as </w:t>
      </w:r>
      <w:r>
        <w:rPr>
          <w:rFonts w:ascii="Arial" w:cs="Arial" w:eastAsia="Arial" w:hAnsi="Arial"/>
          <w:sz w:val="18"/>
          <w:szCs w:val="18"/>
          <w:u w:val="single" w:color="auto"/>
          <w:color w:val="auto"/>
        </w:rPr>
        <w:t>Exhibit B-3-a</w:t>
      </w:r>
      <w:r>
        <w:rPr>
          <w:rFonts w:ascii="Arial" w:cs="Arial" w:eastAsia="Arial" w:hAnsi="Arial"/>
          <w:sz w:val="18"/>
          <w:szCs w:val="18"/>
          <w:color w:val="auto"/>
        </w:rPr>
        <w:t>, which budget shall include a fee for Landlord’s role in managing and reviewing the Tenant Improvements (the “</w:t>
      </w:r>
      <w:r>
        <w:rPr>
          <w:rFonts w:ascii="Arial" w:cs="Arial" w:eastAsia="Arial" w:hAnsi="Arial"/>
          <w:sz w:val="18"/>
          <w:szCs w:val="18"/>
          <w:u w:val="single" w:color="auto"/>
          <w:color w:val="auto"/>
        </w:rPr>
        <w:t>Approved Lab/Office Budget</w:t>
      </w:r>
      <w:r>
        <w:rPr>
          <w:rFonts w:ascii="Arial" w:cs="Arial" w:eastAsia="Arial" w:hAnsi="Arial"/>
          <w:sz w:val="18"/>
          <w:szCs w:val="18"/>
          <w:color w:val="auto"/>
        </w:rPr>
        <w:t>”), depicts the parties’ understanding of the estimated cost to complete the Lab/Office Improvements.</w:t>
      </w:r>
    </w:p>
    <w:p>
      <w:pPr>
        <w:spacing w:after="0" w:line="153" w:lineRule="exact"/>
        <w:rPr>
          <w:sz w:val="20"/>
          <w:szCs w:val="20"/>
          <w:color w:val="auto"/>
        </w:rPr>
      </w:pPr>
    </w:p>
    <w:p>
      <w:pPr>
        <w:jc w:val="both"/>
        <w:ind w:firstLine="764"/>
        <w:spacing w:after="0" w:line="265" w:lineRule="auto"/>
        <w:rPr>
          <w:sz w:val="20"/>
          <w:szCs w:val="20"/>
          <w:color w:val="auto"/>
        </w:rPr>
      </w:pPr>
      <w:r>
        <w:rPr>
          <w:rFonts w:ascii="Arial" w:cs="Arial" w:eastAsia="Arial" w:hAnsi="Arial"/>
          <w:sz w:val="16"/>
          <w:szCs w:val="16"/>
          <w:color w:val="auto"/>
        </w:rPr>
        <w:t xml:space="preserve">5.2. Landlord and Tenant agree that the project budget with respect to the Manufacturing Area Improvements attached hereto as </w:t>
      </w:r>
      <w:r>
        <w:rPr>
          <w:rFonts w:ascii="Arial" w:cs="Arial" w:eastAsia="Arial" w:hAnsi="Arial"/>
          <w:sz w:val="16"/>
          <w:szCs w:val="16"/>
          <w:u w:val="single" w:color="auto"/>
          <w:color w:val="auto"/>
        </w:rPr>
        <w:t>Exhibit B-3-b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Preliminary Manufacturing Area Budget</w:t>
      </w:r>
      <w:r>
        <w:rPr>
          <w:rFonts w:ascii="Arial" w:cs="Arial" w:eastAsia="Arial" w:hAnsi="Arial"/>
          <w:sz w:val="16"/>
          <w:szCs w:val="16"/>
          <w:color w:val="auto"/>
        </w:rPr>
        <w:t>”) is a preliminary budget for the estimated cost of the Manufacturing Area Improvements based on the Basis of Design and URS, which such Basis of Design and URS shall be superseded by the Manufacturing Area Approved Plans. Upon the parties’ agreement of the Manufacturing Area Approved Plans, the Preliminary Manufacturing Area Budget will be revised accordingly, and upon the parties’ written agreement thereof, such revised Preliminary Budget shall be the final approved budget (the “</w:t>
      </w:r>
      <w:r>
        <w:rPr>
          <w:rFonts w:ascii="Arial" w:cs="Arial" w:eastAsia="Arial" w:hAnsi="Arial"/>
          <w:sz w:val="16"/>
          <w:szCs w:val="16"/>
          <w:u w:val="single" w:color="auto"/>
          <w:color w:val="auto"/>
        </w:rPr>
        <w:t>Approved Manufacturing Area Budget</w:t>
      </w:r>
      <w:r>
        <w:rPr>
          <w:rFonts w:ascii="Arial" w:cs="Arial" w:eastAsia="Arial" w:hAnsi="Arial"/>
          <w:sz w:val="16"/>
          <w:szCs w:val="16"/>
          <w:color w:val="auto"/>
        </w:rPr>
        <w:t>”) for the cost of the Manufacturing Area Improvements. Notwithstanding anything to the contrary set forth elsewhere in this Work Letter or the Lease, Landlord shall not have any obligation to expend any portion of the TI Allowance until Landlord and Tenant shall have approved in writing the Approved Manufacturing Area Budget.</w:t>
      </w:r>
    </w:p>
    <w:p>
      <w:pPr>
        <w:spacing w:after="0" w:line="131" w:lineRule="exact"/>
        <w:rPr>
          <w:sz w:val="20"/>
          <w:szCs w:val="20"/>
          <w:color w:val="auto"/>
        </w:rPr>
      </w:pPr>
    </w:p>
    <w:p>
      <w:pPr>
        <w:ind w:left="180" w:hanging="172"/>
        <w:spacing w:after="0"/>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65" w:lineRule="exact"/>
        <w:rPr>
          <w:sz w:val="20"/>
          <w:szCs w:val="20"/>
          <w:color w:val="auto"/>
        </w:rPr>
      </w:pPr>
    </w:p>
    <w:p>
      <w:pPr>
        <w:jc w:val="both"/>
        <w:ind w:firstLine="764"/>
        <w:spacing w:after="0" w:line="24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Incorporation of Lease Provisions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40.6</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40.19</w:t>
      </w:r>
      <w:r>
        <w:rPr>
          <w:rFonts w:ascii="Arial" w:cs="Arial" w:eastAsia="Arial" w:hAnsi="Arial"/>
          <w:sz w:val="18"/>
          <w:szCs w:val="18"/>
          <w:color w:val="auto"/>
        </w:rPr>
        <w:t xml:space="preserve"> of the Lease are incorporated into this Work Letter by reference, and shall apply to this Work Letter in the same way that they apply to the Lease.</w:t>
      </w:r>
    </w:p>
    <w:p>
      <w:pPr>
        <w:spacing w:after="0" w:line="146" w:lineRule="exact"/>
        <w:rPr>
          <w:sz w:val="20"/>
          <w:szCs w:val="20"/>
          <w:color w:val="auto"/>
        </w:rPr>
      </w:pPr>
    </w:p>
    <w:p>
      <w:pPr>
        <w:jc w:val="both"/>
        <w:ind w:firstLine="764"/>
        <w:spacing w:after="0" w:line="23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set forth in the Lease or this Work Letter, this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50" w:lineRule="exact"/>
        <w:rPr>
          <w:sz w:val="20"/>
          <w:szCs w:val="20"/>
          <w:color w:val="auto"/>
        </w:rPr>
      </w:pPr>
    </w:p>
    <w:p>
      <w:pPr>
        <w:jc w:val="both"/>
        <w:ind w:firstLine="764"/>
        <w:spacing w:after="0" w:line="26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Punch list</w:t>
      </w:r>
      <w:r>
        <w:rPr>
          <w:rFonts w:ascii="Arial" w:cs="Arial" w:eastAsia="Arial" w:hAnsi="Arial"/>
          <w:sz w:val="16"/>
          <w:szCs w:val="16"/>
          <w:color w:val="auto"/>
        </w:rPr>
        <w:t>. Within ten (10) days after the date of Substantial Completion of the Tenant Improvements, Landlord's Authorized Representative and Tenant's Authorized Representative shall inspect the Premises and identify “punch list” items of the Tenant Improvements (i.e., minor defects or conditions in the Tenant Improvements that do not materially and adversely interfere with Tenant's use and occupancy of the Premises for the permitted use set forth in the Lease) and jointly prepare a written list of such "punch list" items. Landlord shall use commercially reasonable efforts to complete all "punch list" items within thirty (30) days after such inspection, subject to Force Majeure or any delay caused by the action or omission of Tenant, its employees, contractors or representatives.</w:t>
      </w:r>
    </w:p>
    <w:p>
      <w:pPr>
        <w:spacing w:after="0" w:line="128" w:lineRule="exact"/>
        <w:rPr>
          <w:sz w:val="20"/>
          <w:szCs w:val="20"/>
          <w:color w:val="auto"/>
        </w:rPr>
      </w:pPr>
    </w:p>
    <w:p>
      <w:pPr>
        <w:jc w:val="both"/>
        <w:ind w:firstLine="764"/>
        <w:spacing w:after="0" w:line="23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Warranties</w:t>
      </w:r>
      <w:r>
        <w:rPr>
          <w:rFonts w:ascii="Arial" w:cs="Arial" w:eastAsia="Arial" w:hAnsi="Arial"/>
          <w:sz w:val="18"/>
          <w:szCs w:val="18"/>
          <w:color w:val="auto"/>
        </w:rPr>
        <w:t xml:space="preserve">. To the extent assignable, Landlord will assign all warranties obtained by Landlord in connection with the Tenant Improvements, including, without limitation, any equipment for the Premises installed by Landlord;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notwithstanding any such assignment, Landlord shall also retain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200" w:name="page201"/>
    <w:bookmarkEnd w:id="200"/>
    <w:p>
      <w:pPr>
        <w:jc w:val="both"/>
        <w:spacing w:after="0" w:line="234" w:lineRule="auto"/>
        <w:rPr>
          <w:sz w:val="20"/>
          <w:szCs w:val="20"/>
          <w:color w:val="auto"/>
        </w:rPr>
      </w:pPr>
      <w:r>
        <w:rPr>
          <w:rFonts w:ascii="Arial" w:cs="Arial" w:eastAsia="Arial" w:hAnsi="Arial"/>
          <w:sz w:val="18"/>
          <w:szCs w:val="18"/>
          <w:color w:val="auto"/>
        </w:rPr>
        <w:t>the right to enforce such warranties against the applicable contractor, at Landlord’s sole option, and further provided that if any such warranties are not assignable, then Landlord, upon written notice from Tenant, shall use commercially reasonable efforts to enforce such non-assignable warranties. With respect to those warranties that have been assigned to Tenant, upon Tenant’s written request of Landlord and at Tenant’s sole cost and expense, Landlord shall reasonably cooperate with Tenant in enforcing such warranties; provided, however, that Landlord shall no have obligations under this sentence in connection with any litigation between Tenant and the provider of such warranty.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201" w:name="page202"/>
    <w:bookmarkEnd w:id="201"/>
    <w:p>
      <w:pPr>
        <w:ind w:firstLine="764"/>
        <w:spacing w:after="0" w:line="245" w:lineRule="auto"/>
        <w:rPr>
          <w:sz w:val="20"/>
          <w:szCs w:val="20"/>
          <w:color w:val="auto"/>
        </w:rPr>
      </w:pPr>
      <w:r>
        <w:rPr>
          <w:rFonts w:ascii="Arial" w:cs="Arial" w:eastAsia="Arial" w:hAnsi="Arial"/>
          <w:sz w:val="18"/>
          <w:szCs w:val="18"/>
          <w:color w:val="auto"/>
        </w:rPr>
        <w:t>IN WITNESS WHEREOF, Landlord and Tenant have executed this Work Letter as a sealed Massachusetts instrument to be effective on the date first above written.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BMR-SIDNEY RESEARCH CAMPUS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gridSpan w:val="2"/>
          </w:tcPr>
          <w:p>
            <w:pPr>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Kane</w:t>
            </w: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Name:</w:t>
            </w:r>
          </w:p>
        </w:tc>
        <w:tc>
          <w:tcPr>
            <w:tcW w:w="56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8"/>
                <w:szCs w:val="18"/>
                <w:color w:val="auto"/>
                <w:w w:val="93"/>
              </w:rPr>
              <w:t>William Kane</w:t>
            </w: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Title:</w:t>
            </w:r>
          </w:p>
        </w:tc>
        <w:tc>
          <w:tcPr>
            <w:tcW w:w="56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8"/>
                <w:szCs w:val="18"/>
                <w:color w:val="auto"/>
                <w:w w:val="88"/>
              </w:rPr>
              <w:t>Senior Vice President, Boston Market Lead</w:t>
            </w:r>
          </w:p>
        </w:tc>
      </w:tr>
      <w:tr>
        <w:trPr>
          <w:trHeight w:val="352"/>
        </w:trPr>
        <w:tc>
          <w:tcPr>
            <w:tcW w:w="920" w:type="dxa"/>
            <w:vAlign w:val="bottom"/>
            <w:gridSpan w:val="2"/>
          </w:tcPr>
          <w:p>
            <w:pPr>
              <w:spacing w:after="0"/>
              <w:rPr>
                <w:sz w:val="20"/>
                <w:szCs w:val="20"/>
                <w:color w:val="auto"/>
              </w:rPr>
            </w:pPr>
            <w:r>
              <w:rPr>
                <w:rFonts w:ascii="Arial" w:cs="Arial" w:eastAsia="Arial" w:hAnsi="Arial"/>
                <w:sz w:val="18"/>
                <w:szCs w:val="18"/>
                <w:color w:val="auto"/>
              </w:rPr>
              <w:t>TENANT:</w:t>
            </w:r>
          </w:p>
        </w:tc>
        <w:tc>
          <w:tcPr>
            <w:tcW w:w="560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SERES THERAPEUTICS,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4445</wp:posOffset>
            </wp:positionV>
            <wp:extent cx="356362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02" w:name="page203"/>
    <w:bookmarkEnd w:id="202"/>
    <w:p>
      <w:pPr>
        <w:ind w:firstLine="764"/>
        <w:spacing w:after="0" w:line="245" w:lineRule="auto"/>
        <w:rPr>
          <w:sz w:val="20"/>
          <w:szCs w:val="20"/>
          <w:color w:val="auto"/>
        </w:rPr>
      </w:pPr>
      <w:r>
        <w:rPr>
          <w:rFonts w:ascii="Arial" w:cs="Arial" w:eastAsia="Arial" w:hAnsi="Arial"/>
          <w:sz w:val="18"/>
          <w:szCs w:val="18"/>
          <w:color w:val="auto"/>
        </w:rPr>
        <w:t>IN WITNESS WHEREOF, Landlord and Tenant have executed this Work Letter as a sealed Massachusetts instrument to be effective on the date first above written.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BMR-SIDNEY RESEARCH CAMPUS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4445</wp:posOffset>
            </wp:positionV>
            <wp:extent cx="356362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356362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tcPr>
          <w:p>
            <w:pPr>
              <w:spacing w:after="0"/>
              <w:rPr>
                <w:sz w:val="20"/>
                <w:szCs w:val="20"/>
                <w:color w:val="auto"/>
              </w:rPr>
            </w:pPr>
            <w:r>
              <w:rPr>
                <w:rFonts w:ascii="Arial" w:cs="Arial" w:eastAsia="Arial" w:hAnsi="Arial"/>
                <w:sz w:val="18"/>
                <w:szCs w:val="18"/>
                <w:color w:val="auto"/>
              </w:rPr>
              <w:t>TENANT:</w:t>
            </w:r>
          </w:p>
        </w:tc>
        <w:tc>
          <w:tcPr>
            <w:tcW w:w="396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368"/>
        </w:trPr>
        <w:tc>
          <w:tcPr>
            <w:tcW w:w="2560" w:type="dxa"/>
            <w:vAlign w:val="bottom"/>
            <w:gridSpan w:val="3"/>
          </w:tcPr>
          <w:p>
            <w:pPr>
              <w:spacing w:after="0"/>
              <w:rPr>
                <w:sz w:val="20"/>
                <w:szCs w:val="20"/>
                <w:color w:val="auto"/>
              </w:rPr>
            </w:pPr>
            <w:r>
              <w:rPr>
                <w:rFonts w:ascii="Arial" w:cs="Arial" w:eastAsia="Arial" w:hAnsi="Arial"/>
                <w:sz w:val="18"/>
                <w:szCs w:val="18"/>
                <w:color w:val="auto"/>
                <w:w w:val="99"/>
              </w:rPr>
              <w:t>SERES THERAPEUTICS, INC.,</w:t>
            </w:r>
          </w:p>
        </w:tc>
        <w:tc>
          <w:tcPr>
            <w:tcW w:w="3960" w:type="dxa"/>
            <w:vAlign w:val="bottom"/>
          </w:tcPr>
          <w:p>
            <w:pPr>
              <w:spacing w:after="0"/>
              <w:rPr>
                <w:sz w:val="24"/>
                <w:szCs w:val="24"/>
                <w:color w:val="auto"/>
              </w:rPr>
            </w:pPr>
          </w:p>
        </w:tc>
      </w:tr>
      <w:tr>
        <w:trPr>
          <w:trHeight w:val="222"/>
        </w:trPr>
        <w:tc>
          <w:tcPr>
            <w:tcW w:w="2560" w:type="dxa"/>
            <w:vAlign w:val="bottom"/>
            <w:gridSpan w:val="3"/>
          </w:tcPr>
          <w:p>
            <w:pPr>
              <w:spacing w:after="0"/>
              <w:rPr>
                <w:sz w:val="20"/>
                <w:szCs w:val="20"/>
                <w:color w:val="auto"/>
              </w:rPr>
            </w:pPr>
            <w:r>
              <w:rPr>
                <w:rFonts w:ascii="Arial" w:cs="Arial" w:eastAsia="Arial" w:hAnsi="Arial"/>
                <w:sz w:val="18"/>
                <w:szCs w:val="18"/>
                <w:color w:val="auto"/>
              </w:rPr>
              <w:t>a Delaware corporation</w:t>
            </w:r>
          </w:p>
        </w:tc>
        <w:tc>
          <w:tcPr>
            <w:tcW w:w="3960" w:type="dxa"/>
            <w:vAlign w:val="bottom"/>
          </w:tcPr>
          <w:p>
            <w:pPr>
              <w:spacing w:after="0"/>
              <w:rPr>
                <w:sz w:val="19"/>
                <w:szCs w:val="19"/>
                <w:color w:val="auto"/>
              </w:rPr>
            </w:pPr>
          </w:p>
        </w:tc>
      </w:tr>
      <w:tr>
        <w:trPr>
          <w:trHeight w:val="386"/>
        </w:trPr>
        <w:tc>
          <w:tcPr>
            <w:tcW w:w="2560" w:type="dxa"/>
            <w:vAlign w:val="bottom"/>
            <w:gridSpan w:val="3"/>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center"/>
              <w:ind w:right="1552"/>
              <w:spacing w:after="0"/>
              <w:rPr>
                <w:sz w:val="20"/>
                <w:szCs w:val="20"/>
                <w:color w:val="auto"/>
              </w:rPr>
            </w:pPr>
            <w:r>
              <w:rPr>
                <w:rFonts w:ascii="Arial" w:cs="Arial" w:eastAsia="Arial" w:hAnsi="Arial"/>
                <w:sz w:val="18"/>
                <w:szCs w:val="18"/>
                <w:color w:val="auto"/>
                <w:w w:val="87"/>
              </w:rPr>
              <w:t>/s/ Roger Pomerantz</w:t>
            </w: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Name:</w:t>
            </w:r>
          </w:p>
        </w:tc>
        <w:tc>
          <w:tcPr>
            <w:tcW w:w="1640" w:type="dxa"/>
            <w:vAlign w:val="bottom"/>
            <w:tcBorders>
              <w:top w:val="single" w:sz="8" w:color="auto"/>
              <w:bottom w:val="single" w:sz="8" w:color="auto"/>
            </w:tcBorders>
          </w:tcPr>
          <w:p>
            <w:pPr>
              <w:spacing w:after="0"/>
              <w:rPr>
                <w:sz w:val="16"/>
                <w:szCs w:val="16"/>
                <w:color w:val="auto"/>
              </w:rPr>
            </w:pPr>
          </w:p>
        </w:tc>
        <w:tc>
          <w:tcPr>
            <w:tcW w:w="3960" w:type="dxa"/>
            <w:vAlign w:val="bottom"/>
            <w:tcBorders>
              <w:top w:val="single" w:sz="8" w:color="auto"/>
              <w:bottom w:val="single" w:sz="8" w:color="auto"/>
            </w:tcBorders>
          </w:tcPr>
          <w:p>
            <w:pPr>
              <w:jc w:val="center"/>
              <w:ind w:right="1532"/>
              <w:spacing w:after="0" w:line="188" w:lineRule="exact"/>
              <w:rPr>
                <w:sz w:val="20"/>
                <w:szCs w:val="20"/>
                <w:color w:val="auto"/>
              </w:rPr>
            </w:pPr>
            <w:r>
              <w:rPr>
                <w:rFonts w:ascii="Arial" w:cs="Arial" w:eastAsia="Arial" w:hAnsi="Arial"/>
                <w:sz w:val="18"/>
                <w:szCs w:val="18"/>
                <w:color w:val="auto"/>
                <w:w w:val="86"/>
              </w:rPr>
              <w:t>Roger Pomerantz</w:t>
            </w:r>
          </w:p>
        </w:tc>
      </w:tr>
      <w:tr>
        <w:trPr>
          <w:trHeight w:val="188"/>
        </w:trPr>
        <w:tc>
          <w:tcPr>
            <w:tcW w:w="920" w:type="dxa"/>
            <w:vAlign w:val="bottom"/>
            <w:gridSpan w:val="2"/>
          </w:tcPr>
          <w:p>
            <w:pPr>
              <w:spacing w:after="0" w:line="188" w:lineRule="exact"/>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jc w:val="center"/>
              <w:ind w:right="1552"/>
              <w:spacing w:after="0" w:line="188" w:lineRule="exact"/>
              <w:rPr>
                <w:sz w:val="20"/>
                <w:szCs w:val="20"/>
                <w:color w:val="auto"/>
              </w:rPr>
            </w:pPr>
            <w:r>
              <w:rPr>
                <w:rFonts w:ascii="Arial" w:cs="Arial" w:eastAsia="Arial" w:hAnsi="Arial"/>
                <w:sz w:val="18"/>
                <w:szCs w:val="18"/>
                <w:color w:val="auto"/>
                <w:w w:val="88"/>
              </w:rPr>
              <w:t>President, CEO, Chairman</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03" w:name="page204"/>
    <w:bookmarkEnd w:id="203"/>
    <w:p>
      <w:pPr>
        <w:jc w:val="center"/>
        <w:ind w:right="-20"/>
        <w:spacing w:after="0"/>
        <w:rPr>
          <w:sz w:val="20"/>
          <w:szCs w:val="20"/>
          <w:color w:val="auto"/>
        </w:rPr>
      </w:pPr>
      <w:r>
        <w:rPr>
          <w:rFonts w:ascii="Arial" w:cs="Arial" w:eastAsia="Arial" w:hAnsi="Arial"/>
          <w:sz w:val="18"/>
          <w:szCs w:val="18"/>
          <w:b w:val="1"/>
          <w:bCs w:val="1"/>
          <w:color w:val="auto"/>
        </w:rPr>
        <w:t>EXHIBIT B-1-a</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TENANT IMPROVEMENT PLANS FOR LAB/OFFICE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498475</wp:posOffset>
            </wp:positionV>
            <wp:extent cx="731202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04" w:name="page205"/>
    <w:bookmarkEnd w:id="204"/>
    <w:p>
      <w:pPr>
        <w:jc w:val="center"/>
        <w:ind w:right="-20"/>
        <w:spacing w:after="0"/>
        <w:rPr>
          <w:sz w:val="20"/>
          <w:szCs w:val="20"/>
          <w:color w:val="auto"/>
        </w:rPr>
      </w:pPr>
      <w:r>
        <w:rPr>
          <w:rFonts w:ascii="Arial" w:cs="Arial" w:eastAsia="Arial" w:hAnsi="Arial"/>
          <w:sz w:val="23"/>
          <w:szCs w:val="23"/>
          <w:b w:val="1"/>
          <w:bCs w:val="1"/>
          <w:color w:val="auto"/>
        </w:rPr>
        <w:t>ARCHITECTURAL BASIS OF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261620</wp:posOffset>
            </wp:positionV>
            <wp:extent cx="1548765" cy="3613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48765" cy="361315"/>
                    </a:xfrm>
                    <a:prstGeom prst="rect">
                      <a:avLst/>
                    </a:prstGeom>
                    <a:noFill/>
                  </pic:spPr>
                </pic:pic>
              </a:graphicData>
            </a:graphic>
          </wp:anchor>
        </w:drawing>
      </w:r>
    </w:p>
    <w:p>
      <w:pPr>
        <w:sectPr>
          <w:pgSz w:w="11900" w:h="16838" w:orient="portrait"/>
          <w:cols w:equalWidth="0" w:num="1">
            <w:col w:w="9019"/>
          </w:cols>
          <w:pgMar w:left="1440" w:top="1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Seres Therapeutics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 Sidney Street</w:t>
      </w:r>
    </w:p>
    <w:p>
      <w:pPr>
        <w:jc w:val="center"/>
        <w:spacing w:after="0"/>
        <w:rPr>
          <w:sz w:val="20"/>
          <w:szCs w:val="20"/>
          <w:color w:val="auto"/>
        </w:rPr>
      </w:pPr>
      <w:r>
        <w:rPr>
          <w:rFonts w:ascii="Arial" w:cs="Arial" w:eastAsia="Arial" w:hAnsi="Arial"/>
          <w:sz w:val="18"/>
          <w:szCs w:val="18"/>
          <w:b w:val="1"/>
          <w:bCs w:val="1"/>
          <w:color w:val="auto"/>
        </w:rPr>
        <w:t>Cambridge,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-2540</wp:posOffset>
            </wp:positionV>
            <wp:extent cx="1729740" cy="7016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29740" cy="70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9A9A9A"/>
        </w:rPr>
        <w:t>R.E. Dinneen Architects &amp; Planners,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9A9A9A"/>
        </w:rPr>
        <w:t>22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491490</wp:posOffset>
            </wp:positionV>
            <wp:extent cx="731202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289" w:right="1440" w:bottom="1440" w:gutter="0" w:footer="0" w:header="0"/>
          <w:type w:val="continuous"/>
        </w:sectPr>
      </w:pPr>
    </w:p>
    <w:bookmarkStart w:id="205" w:name="page206"/>
    <w:bookmarkEnd w:id="205"/>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18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Office Areas</w:t>
      </w:r>
    </w:p>
    <w:p>
      <w:pPr>
        <w:spacing w:after="0" w:line="8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Floors 1, 2 &amp; 4</w:t>
      </w:r>
    </w:p>
    <w:p>
      <w:pPr>
        <w:sectPr>
          <w:pgSz w:w="11900" w:h="16838" w:orient="portrait"/>
          <w:cols w:equalWidth="0" w:num="1">
            <w:col w:w="11460"/>
          </w:cols>
          <w:pgMar w:left="220" w:top="1440" w:right="21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Research Laboratories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Floors 1 &amp; 2</w:t>
      </w:r>
    </w:p>
    <w:p>
      <w:pPr>
        <w:spacing w:after="0" w:line="145" w:lineRule="exact"/>
        <w:rPr>
          <w:sz w:val="20"/>
          <w:szCs w:val="20"/>
          <w:color w:val="auto"/>
        </w:rPr>
      </w:pPr>
    </w:p>
    <w:p>
      <w:pPr>
        <w:sectPr>
          <w:pgSz w:w="11900" w:h="16838" w:orient="portrait"/>
          <w:cols w:equalWidth="0" w:num="2">
            <w:col w:w="1220" w:space="720"/>
            <w:col w:w="9520"/>
          </w:cols>
          <w:pgMar w:left="220" w:top="1440"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Tissue Culture Suite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Floor 2</w:t>
      </w:r>
    </w:p>
    <w:p>
      <w:pPr>
        <w:spacing w:after="0" w:line="159" w:lineRule="exact"/>
        <w:rPr>
          <w:sz w:val="20"/>
          <w:szCs w:val="20"/>
          <w:color w:val="auto"/>
        </w:rPr>
      </w:pPr>
    </w:p>
    <w:p>
      <w:pPr>
        <w:sectPr>
          <w:pgSz w:w="11900" w:h="16838" w:orient="portrait"/>
          <w:cols w:equalWidth="0" w:num="2">
            <w:col w:w="1220" w:space="720"/>
            <w:col w:w="9520"/>
          </w:cols>
          <w:pgMar w:left="220" w:top="1440"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Animal Care Facility (Phase 2)</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Floor 1</w:t>
      </w:r>
    </w:p>
    <w:p>
      <w:pPr>
        <w:spacing w:after="0" w:line="159" w:lineRule="exact"/>
        <w:rPr>
          <w:sz w:val="20"/>
          <w:szCs w:val="20"/>
          <w:color w:val="auto"/>
        </w:rPr>
      </w:pPr>
    </w:p>
    <w:p>
      <w:pPr>
        <w:sectPr>
          <w:pgSz w:w="11900" w:h="16838" w:orient="portrait"/>
          <w:cols w:equalWidth="0" w:num="2">
            <w:col w:w="1220" w:space="720"/>
            <w:col w:w="9520"/>
          </w:cols>
          <w:pgMar w:left="220" w:top="1440"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Pilot Lab (Phase 2)</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Floor 1</w:t>
      </w:r>
    </w:p>
    <w:p>
      <w:pPr>
        <w:spacing w:after="0" w:line="159" w:lineRule="exact"/>
        <w:rPr>
          <w:sz w:val="20"/>
          <w:szCs w:val="20"/>
          <w:color w:val="auto"/>
        </w:rPr>
      </w:pPr>
    </w:p>
    <w:p>
      <w:pPr>
        <w:sectPr>
          <w:pgSz w:w="11900" w:h="16838" w:orient="portrait"/>
          <w:cols w:equalWidth="0" w:num="2">
            <w:col w:w="1220" w:space="720"/>
            <w:col w:w="9520"/>
          </w:cols>
          <w:pgMar w:left="220" w:top="1440"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Lab Support Spaces</w:t>
      </w:r>
    </w:p>
    <w:p>
      <w:pPr>
        <w:spacing w:after="0" w:line="193" w:lineRule="exact"/>
        <w:rPr>
          <w:sz w:val="20"/>
          <w:szCs w:val="20"/>
          <w:color w:val="auto"/>
        </w:rPr>
      </w:pPr>
    </w:p>
    <w:p>
      <w:pPr>
        <w:sectPr>
          <w:pgSz w:w="11900" w:h="16838" w:orient="portrait"/>
          <w:cols w:equalWidth="0" w:num="2">
            <w:col w:w="1220" w:space="720"/>
            <w:col w:w="9520"/>
          </w:cols>
          <w:pgMar w:left="220" w:top="1440"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Basement Storage Areas</w:t>
      </w:r>
    </w:p>
    <w:p>
      <w:pPr>
        <w:spacing w:after="0" w:line="205" w:lineRule="exact"/>
        <w:rPr>
          <w:sz w:val="20"/>
          <w:szCs w:val="20"/>
          <w:color w:val="auto"/>
        </w:rPr>
      </w:pPr>
    </w:p>
    <w:p>
      <w:pPr>
        <w:sectPr>
          <w:pgSz w:w="11900" w:h="16838" w:orient="portrait"/>
          <w:cols w:equalWidth="0" w:num="2">
            <w:col w:w="1220" w:space="720"/>
            <w:col w:w="9520"/>
          </w:cols>
          <w:pgMar w:left="220" w:top="1440" w:right="21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31202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20"/>
                <w:szCs w:val="20"/>
                <w:color w:val="auto"/>
              </w:rPr>
            </w:pPr>
            <w:r>
              <w:rPr>
                <w:rFonts w:ascii="Arial" w:cs="Arial" w:eastAsia="Arial" w:hAnsi="Arial"/>
                <w:sz w:val="15"/>
                <w:szCs w:val="15"/>
                <w:color w:val="auto"/>
              </w:rPr>
              <w:t>Seres Therapeutics</w:t>
            </w:r>
          </w:p>
        </w:tc>
        <w:tc>
          <w:tcPr>
            <w:tcW w:w="820" w:type="dxa"/>
            <w:vAlign w:val="bottom"/>
          </w:tcPr>
          <w:p>
            <w:pPr>
              <w:spacing w:after="0"/>
              <w:rPr>
                <w:sz w:val="15"/>
                <w:szCs w:val="15"/>
                <w:color w:val="auto"/>
              </w:rPr>
            </w:pPr>
          </w:p>
        </w:tc>
        <w:tc>
          <w:tcPr>
            <w:tcW w:w="7200" w:type="dxa"/>
            <w:vAlign w:val="bottom"/>
          </w:tcPr>
          <w:p>
            <w:pPr>
              <w:jc w:val="right"/>
              <w:spacing w:after="0"/>
              <w:rPr>
                <w:sz w:val="20"/>
                <w:szCs w:val="20"/>
                <w:color w:val="auto"/>
              </w:rPr>
            </w:pPr>
            <w:r>
              <w:rPr>
                <w:rFonts w:ascii="Arial" w:cs="Arial" w:eastAsia="Arial" w:hAnsi="Arial"/>
                <w:sz w:val="15"/>
                <w:szCs w:val="15"/>
                <w:color w:val="auto"/>
              </w:rPr>
              <w:t>Architectural Basis Of Design</w:t>
            </w:r>
          </w:p>
        </w:tc>
      </w:tr>
      <w:tr>
        <w:trPr>
          <w:trHeight w:val="186"/>
        </w:trPr>
        <w:tc>
          <w:tcPr>
            <w:tcW w:w="3460" w:type="dxa"/>
            <w:vAlign w:val="bottom"/>
          </w:tcPr>
          <w:p>
            <w:pPr>
              <w:spacing w:after="0"/>
              <w:rPr>
                <w:sz w:val="20"/>
                <w:szCs w:val="20"/>
                <w:color w:val="auto"/>
              </w:rPr>
            </w:pPr>
            <w:r>
              <w:rPr>
                <w:rFonts w:ascii="Arial" w:cs="Arial" w:eastAsia="Arial" w:hAnsi="Arial"/>
                <w:sz w:val="15"/>
                <w:szCs w:val="15"/>
                <w:color w:val="auto"/>
              </w:rPr>
              <w:t>200 Sidney Street, Cambridge</w:t>
            </w:r>
          </w:p>
        </w:tc>
        <w:tc>
          <w:tcPr>
            <w:tcW w:w="820" w:type="dxa"/>
            <w:vAlign w:val="bottom"/>
          </w:tcPr>
          <w:p>
            <w:pPr>
              <w:spacing w:after="0"/>
              <w:rPr>
                <w:sz w:val="16"/>
                <w:szCs w:val="16"/>
                <w:color w:val="auto"/>
              </w:rPr>
            </w:pPr>
          </w:p>
        </w:tc>
        <w:tc>
          <w:tcPr>
            <w:tcW w:w="7200" w:type="dxa"/>
            <w:vAlign w:val="bottom"/>
          </w:tcPr>
          <w:p>
            <w:pPr>
              <w:jc w:val="right"/>
              <w:spacing w:after="0"/>
              <w:rPr>
                <w:sz w:val="20"/>
                <w:szCs w:val="20"/>
                <w:color w:val="auto"/>
              </w:rPr>
            </w:pPr>
            <w:r>
              <w:rPr>
                <w:rFonts w:ascii="Arial" w:cs="Arial" w:eastAsia="Arial" w:hAnsi="Arial"/>
                <w:sz w:val="15"/>
                <w:szCs w:val="15"/>
                <w:color w:val="auto"/>
              </w:rPr>
              <w:t>REDAP Project No.15176.11</w:t>
            </w:r>
          </w:p>
        </w:tc>
      </w:tr>
      <w:tr>
        <w:trPr>
          <w:trHeight w:val="350"/>
        </w:trPr>
        <w:tc>
          <w:tcPr>
            <w:tcW w:w="3460" w:type="dxa"/>
            <w:vAlign w:val="bottom"/>
          </w:tcPr>
          <w:p>
            <w:pPr>
              <w:spacing w:after="0"/>
              <w:rPr>
                <w:sz w:val="20"/>
                <w:szCs w:val="20"/>
                <w:color w:val="auto"/>
              </w:rPr>
            </w:pPr>
            <w:r>
              <w:rPr>
                <w:rFonts w:ascii="Arial" w:cs="Arial" w:eastAsia="Arial" w:hAnsi="Arial"/>
                <w:sz w:val="15"/>
                <w:szCs w:val="15"/>
                <w:b w:val="1"/>
                <w:bCs w:val="1"/>
                <w:color w:val="auto"/>
              </w:rPr>
              <w:t>SECTION 1:</w:t>
            </w:r>
          </w:p>
        </w:tc>
        <w:tc>
          <w:tcPr>
            <w:tcW w:w="8020" w:type="dxa"/>
            <w:vAlign w:val="bottom"/>
            <w:gridSpan w:val="2"/>
          </w:tcPr>
          <w:p>
            <w:pPr>
              <w:spacing w:after="0"/>
              <w:rPr>
                <w:sz w:val="20"/>
                <w:szCs w:val="20"/>
                <w:color w:val="auto"/>
              </w:rPr>
            </w:pPr>
            <w:r>
              <w:rPr>
                <w:rFonts w:ascii="Arial" w:cs="Arial" w:eastAsia="Arial" w:hAnsi="Arial"/>
                <w:sz w:val="15"/>
                <w:szCs w:val="15"/>
                <w:b w:val="1"/>
                <w:bCs w:val="1"/>
                <w:color w:val="auto"/>
              </w:rPr>
              <w:t>Office Areas</w:t>
            </w:r>
          </w:p>
        </w:tc>
      </w:tr>
      <w:tr>
        <w:trPr>
          <w:trHeight w:val="339"/>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1"/>
              </w:rPr>
              <w:t>Reception Areas, Open Office Areas, Executive Offices, Private and Shared Offices, Conference Rooms, Telephone Rooms, Break</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Room, Coffee Bars, and Copy Areas.</w:t>
            </w:r>
          </w:p>
        </w:tc>
      </w:tr>
      <w:tr>
        <w:trPr>
          <w:trHeight w:val="350"/>
        </w:trPr>
        <w:tc>
          <w:tcPr>
            <w:tcW w:w="3460" w:type="dxa"/>
            <w:vAlign w:val="bottom"/>
          </w:tcPr>
          <w:p>
            <w:pPr>
              <w:spacing w:after="0"/>
              <w:rPr>
                <w:sz w:val="20"/>
                <w:szCs w:val="20"/>
                <w:color w:val="auto"/>
              </w:rPr>
            </w:pPr>
            <w:r>
              <w:rPr>
                <w:rFonts w:ascii="Arial" w:cs="Arial" w:eastAsia="Arial" w:hAnsi="Arial"/>
                <w:sz w:val="15"/>
                <w:szCs w:val="15"/>
                <w:b w:val="1"/>
                <w:bCs w:val="1"/>
                <w:color w:val="auto"/>
              </w:rPr>
              <w:t>FUNCTION:</w:t>
            </w:r>
          </w:p>
        </w:tc>
        <w:tc>
          <w:tcPr>
            <w:tcW w:w="8020" w:type="dxa"/>
            <w:vAlign w:val="bottom"/>
            <w:gridSpan w:val="2"/>
          </w:tcPr>
          <w:p>
            <w:pPr>
              <w:spacing w:after="0"/>
              <w:rPr>
                <w:sz w:val="20"/>
                <w:szCs w:val="20"/>
                <w:color w:val="auto"/>
              </w:rPr>
            </w:pPr>
            <w:r>
              <w:rPr>
                <w:rFonts w:ascii="Arial" w:cs="Arial" w:eastAsia="Arial" w:hAnsi="Arial"/>
                <w:sz w:val="15"/>
                <w:szCs w:val="15"/>
                <w:color w:val="auto"/>
              </w:rPr>
              <w:t>Office Space.</w:t>
            </w:r>
          </w:p>
        </w:tc>
      </w:tr>
      <w:tr>
        <w:trPr>
          <w:trHeight w:val="350"/>
        </w:trPr>
        <w:tc>
          <w:tcPr>
            <w:tcW w:w="3460" w:type="dxa"/>
            <w:vAlign w:val="bottom"/>
          </w:tcPr>
          <w:p>
            <w:pPr>
              <w:spacing w:after="0"/>
              <w:rPr>
                <w:sz w:val="20"/>
                <w:szCs w:val="20"/>
                <w:color w:val="auto"/>
              </w:rPr>
            </w:pPr>
            <w:r>
              <w:rPr>
                <w:rFonts w:ascii="Arial" w:cs="Arial" w:eastAsia="Arial" w:hAnsi="Arial"/>
                <w:sz w:val="15"/>
                <w:szCs w:val="15"/>
                <w:b w:val="1"/>
                <w:bCs w:val="1"/>
                <w:color w:val="auto"/>
              </w:rPr>
              <w:t>ARCHITECTURAL:</w:t>
            </w:r>
          </w:p>
        </w:tc>
        <w:tc>
          <w:tcPr>
            <w:tcW w:w="8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339"/>
        </w:trPr>
        <w:tc>
          <w:tcPr>
            <w:tcW w:w="3460" w:type="dxa"/>
            <w:vAlign w:val="bottom"/>
          </w:tcPr>
          <w:p>
            <w:pPr>
              <w:ind w:left="280"/>
              <w:spacing w:after="0"/>
              <w:rPr>
                <w:sz w:val="20"/>
                <w:szCs w:val="20"/>
                <w:color w:val="auto"/>
              </w:rPr>
            </w:pPr>
            <w:r>
              <w:rPr>
                <w:rFonts w:ascii="Arial" w:cs="Arial" w:eastAsia="Arial" w:hAnsi="Arial"/>
                <w:sz w:val="15"/>
                <w:szCs w:val="15"/>
                <w:color w:val="auto"/>
              </w:rPr>
              <w:t>Flooring:</w:t>
            </w:r>
          </w:p>
        </w:tc>
        <w:tc>
          <w:tcPr>
            <w:tcW w:w="8020" w:type="dxa"/>
            <w:vAlign w:val="bottom"/>
            <w:gridSpan w:val="2"/>
          </w:tcPr>
          <w:p>
            <w:pPr>
              <w:spacing w:after="0"/>
              <w:rPr>
                <w:sz w:val="20"/>
                <w:szCs w:val="20"/>
                <w:color w:val="auto"/>
              </w:rPr>
            </w:pPr>
            <w:r>
              <w:rPr>
                <w:rFonts w:ascii="Arial" w:cs="Arial" w:eastAsia="Arial" w:hAnsi="Arial"/>
                <w:sz w:val="15"/>
                <w:szCs w:val="15"/>
                <w:color w:val="auto"/>
                <w:w w:val="89"/>
              </w:rPr>
              <w:t>Carpet tile for direct-glue installation; installed budget at $40.00 SY at 4</w:t>
            </w:r>
            <w:r>
              <w:rPr>
                <w:rFonts w:ascii="Arial" w:cs="Arial" w:eastAsia="Arial" w:hAnsi="Arial"/>
                <w:sz w:val="12"/>
                <w:szCs w:val="12"/>
                <w:color w:val="auto"/>
                <w:w w:val="89"/>
              </w:rPr>
              <w:t>th</w:t>
            </w:r>
            <w:r>
              <w:rPr>
                <w:rFonts w:ascii="Arial" w:cs="Arial" w:eastAsia="Arial" w:hAnsi="Arial"/>
                <w:sz w:val="15"/>
                <w:szCs w:val="15"/>
                <w:color w:val="auto"/>
                <w:w w:val="89"/>
              </w:rPr>
              <w:t xml:space="preserve"> floor only; installed budget at $35.00 SY at the balance of the</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spaces. Porcelain tile, by Landlord, at 4</w:t>
            </w:r>
            <w:r>
              <w:rPr>
                <w:rFonts w:ascii="Arial" w:cs="Arial" w:eastAsia="Arial" w:hAnsi="Arial"/>
                <w:sz w:val="12"/>
                <w:szCs w:val="12"/>
                <w:color w:val="auto"/>
              </w:rPr>
              <w:t>th</w:t>
            </w:r>
            <w:r>
              <w:rPr>
                <w:rFonts w:ascii="Arial" w:cs="Arial" w:eastAsia="Arial" w:hAnsi="Arial"/>
                <w:sz w:val="15"/>
                <w:szCs w:val="15"/>
                <w:color w:val="auto"/>
              </w:rPr>
              <w:t xml:space="preserve"> Floor Elevator Lobby.</w:t>
            </w:r>
          </w:p>
        </w:tc>
      </w:tr>
      <w:tr>
        <w:trPr>
          <w:trHeight w:val="350"/>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Solid Vinyl Wood Plank at Break Room and Coffee Bars.</w:t>
            </w:r>
          </w:p>
        </w:tc>
      </w:tr>
      <w:tr>
        <w:trPr>
          <w:trHeight w:val="372"/>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Wall Base to be 4” high straight at carpet areas, cove at vinyl plank.</w:t>
            </w:r>
          </w:p>
        </w:tc>
      </w:tr>
      <w:tr>
        <w:trPr>
          <w:trHeight w:val="372"/>
        </w:trPr>
        <w:tc>
          <w:tcPr>
            <w:tcW w:w="3460" w:type="dxa"/>
            <w:vAlign w:val="bottom"/>
          </w:tcPr>
          <w:p>
            <w:pPr>
              <w:ind w:left="280"/>
              <w:spacing w:after="0"/>
              <w:rPr>
                <w:sz w:val="20"/>
                <w:szCs w:val="20"/>
                <w:color w:val="auto"/>
              </w:rPr>
            </w:pPr>
            <w:r>
              <w:rPr>
                <w:rFonts w:ascii="Arial" w:cs="Arial" w:eastAsia="Arial" w:hAnsi="Arial"/>
                <w:sz w:val="15"/>
                <w:szCs w:val="15"/>
                <w:color w:val="auto"/>
              </w:rPr>
              <w:t>Wall Finish:</w:t>
            </w:r>
          </w:p>
        </w:tc>
        <w:tc>
          <w:tcPr>
            <w:tcW w:w="8020" w:type="dxa"/>
            <w:vAlign w:val="bottom"/>
            <w:gridSpan w:val="2"/>
          </w:tcPr>
          <w:p>
            <w:pPr>
              <w:spacing w:after="0"/>
              <w:rPr>
                <w:sz w:val="20"/>
                <w:szCs w:val="20"/>
                <w:color w:val="auto"/>
              </w:rPr>
            </w:pPr>
            <w:r>
              <w:rPr>
                <w:rFonts w:ascii="Arial" w:cs="Arial" w:eastAsia="Arial" w:hAnsi="Arial"/>
                <w:sz w:val="15"/>
                <w:szCs w:val="15"/>
                <w:color w:val="auto"/>
              </w:rPr>
              <w:t>Tenant Standard eggshell finish, latex paint – Benjamin Moore base wall paint plus 6 accent colors.</w:t>
            </w:r>
          </w:p>
        </w:tc>
      </w:tr>
      <w:tr>
        <w:trPr>
          <w:trHeight w:val="339"/>
        </w:trPr>
        <w:tc>
          <w:tcPr>
            <w:tcW w:w="3460" w:type="dxa"/>
            <w:vAlign w:val="bottom"/>
          </w:tcPr>
          <w:p>
            <w:pPr>
              <w:ind w:left="280"/>
              <w:spacing w:after="0"/>
              <w:rPr>
                <w:sz w:val="20"/>
                <w:szCs w:val="20"/>
                <w:color w:val="auto"/>
              </w:rPr>
            </w:pPr>
            <w:r>
              <w:rPr>
                <w:rFonts w:ascii="Arial" w:cs="Arial" w:eastAsia="Arial" w:hAnsi="Arial"/>
                <w:sz w:val="15"/>
                <w:szCs w:val="15"/>
                <w:color w:val="auto"/>
              </w:rPr>
              <w:t>Ceiling Height/Finish:</w:t>
            </w:r>
          </w:p>
        </w:tc>
        <w:tc>
          <w:tcPr>
            <w:tcW w:w="8020" w:type="dxa"/>
            <w:vAlign w:val="bottom"/>
            <w:gridSpan w:val="2"/>
          </w:tcPr>
          <w:p>
            <w:pPr>
              <w:spacing w:after="0"/>
              <w:rPr>
                <w:sz w:val="20"/>
                <w:szCs w:val="20"/>
                <w:color w:val="auto"/>
              </w:rPr>
            </w:pPr>
            <w:r>
              <w:rPr>
                <w:rFonts w:ascii="Arial" w:cs="Arial" w:eastAsia="Arial" w:hAnsi="Arial"/>
                <w:sz w:val="15"/>
                <w:szCs w:val="15"/>
                <w:color w:val="auto"/>
                <w:w w:val="95"/>
              </w:rPr>
              <w:t>9’-6” AFF @ Floors 1 &amp; 2; 8’-6” @ Floor 4 (coordinate with existing mechanicals); 2’x2’ tegular acoustical tile (white) Armstrong</w:t>
            </w:r>
          </w:p>
        </w:tc>
      </w:tr>
      <w:tr>
        <w:trPr>
          <w:trHeight w:val="175"/>
        </w:trPr>
        <w:tc>
          <w:tcPr>
            <w:tcW w:w="3460" w:type="dxa"/>
            <w:vAlign w:val="bottom"/>
          </w:tcPr>
          <w:p>
            <w:pPr>
              <w:spacing w:after="0"/>
              <w:rPr>
                <w:sz w:val="15"/>
                <w:szCs w:val="15"/>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5"/>
              </w:rPr>
              <w:t>‘Ultima’ 1912 with 1/8” reveal Silhouette 9/16” Slot-bolt grid (white or clear anodized); GWB ceiling soffits with smooth finish on</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metal stud system at various heights.</w:t>
            </w:r>
          </w:p>
        </w:tc>
      </w:tr>
      <w:tr>
        <w:trPr>
          <w:trHeight w:val="339"/>
        </w:trPr>
        <w:tc>
          <w:tcPr>
            <w:tcW w:w="3460" w:type="dxa"/>
            <w:vAlign w:val="bottom"/>
          </w:tcPr>
          <w:p>
            <w:pPr>
              <w:ind w:left="280"/>
              <w:spacing w:after="0"/>
              <w:rPr>
                <w:sz w:val="20"/>
                <w:szCs w:val="20"/>
                <w:color w:val="auto"/>
              </w:rPr>
            </w:pPr>
            <w:r>
              <w:rPr>
                <w:rFonts w:ascii="Arial" w:cs="Arial" w:eastAsia="Arial" w:hAnsi="Arial"/>
                <w:sz w:val="15"/>
                <w:szCs w:val="15"/>
                <w:color w:val="auto"/>
              </w:rPr>
              <w:t>Door/Frame/Hardware:</w:t>
            </w:r>
          </w:p>
        </w:tc>
        <w:tc>
          <w:tcPr>
            <w:tcW w:w="8020" w:type="dxa"/>
            <w:vAlign w:val="bottom"/>
            <w:gridSpan w:val="2"/>
          </w:tcPr>
          <w:p>
            <w:pPr>
              <w:spacing w:after="0"/>
              <w:rPr>
                <w:sz w:val="20"/>
                <w:szCs w:val="20"/>
                <w:color w:val="auto"/>
              </w:rPr>
            </w:pPr>
            <w:r>
              <w:rPr>
                <w:rFonts w:ascii="Arial" w:cs="Arial" w:eastAsia="Arial" w:hAnsi="Arial"/>
                <w:sz w:val="15"/>
                <w:szCs w:val="15"/>
                <w:color w:val="auto"/>
                <w:w w:val="88"/>
              </w:rPr>
              <w:t>Glass entrance doors and sidelights shall match building standard: 7’-8” high frameless glass, full height sidelights, and single glass door</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hardware, with mag locks and motion sensor release.</w:t>
            </w:r>
          </w:p>
        </w:tc>
      </w:tr>
      <w:tr>
        <w:trPr>
          <w:trHeight w:val="339"/>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0"/>
              </w:rPr>
              <w:t>Fourth floor Seminar Room and Board Room shall be 7’-0” high tempered glass doors with 18” transom, recessed closer, pivot hinges</w:t>
            </w:r>
          </w:p>
        </w:tc>
      </w:tr>
      <w:tr>
        <w:trPr>
          <w:trHeight w:val="175"/>
        </w:trPr>
        <w:tc>
          <w:tcPr>
            <w:tcW w:w="3460" w:type="dxa"/>
            <w:vAlign w:val="bottom"/>
          </w:tcPr>
          <w:p>
            <w:pPr>
              <w:spacing w:after="0"/>
              <w:rPr>
                <w:sz w:val="15"/>
                <w:szCs w:val="15"/>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1"/>
              </w:rPr>
              <w:t>and 8’-6” frameless glass sidelites. Break Room doors shall be 7’-0” high tempered glass doors with 18” transom, and Dorma sliding</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door hardware, with 8’-6” frameless glass sidelites.</w:t>
            </w:r>
          </w:p>
        </w:tc>
      </w:tr>
      <w:tr>
        <w:trPr>
          <w:trHeight w:val="317"/>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1"/>
              </w:rPr>
              <w:t>Add Alternate: DIRTT aluminum framed glazing system, 8’-6” tall, with 36” acoustically sealed swing doors at the Seminar and Board</w:t>
            </w:r>
          </w:p>
        </w:tc>
      </w:tr>
      <w:tr>
        <w:trPr>
          <w:trHeight w:val="20"/>
        </w:trPr>
        <w:tc>
          <w:tcPr>
            <w:tcW w:w="3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88"/>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Rooms and acoustically sealed sliding doors at the Break Room.</w:t>
            </w:r>
          </w:p>
        </w:tc>
      </w:tr>
      <w:tr>
        <w:trPr>
          <w:trHeight w:val="339"/>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0"/>
              </w:rPr>
              <w:t>All Small Conference Room, Private and Shared Office and Telephone Room doors shall be 8’-0” solid core wood with hickory stained</w:t>
            </w:r>
          </w:p>
        </w:tc>
      </w:tr>
      <w:tr>
        <w:trPr>
          <w:trHeight w:val="175"/>
        </w:trPr>
        <w:tc>
          <w:tcPr>
            <w:tcW w:w="3460" w:type="dxa"/>
            <w:vAlign w:val="bottom"/>
          </w:tcPr>
          <w:p>
            <w:pPr>
              <w:spacing w:after="0"/>
              <w:rPr>
                <w:sz w:val="15"/>
                <w:szCs w:val="15"/>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w w:val="92"/>
              </w:rPr>
              <w:t>oak veneer, full-glass lite and hollow metal frames. Butt-glazed sidelites at Medium (and above) Conference Rooms and Executive</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offices.</w:t>
            </w:r>
          </w:p>
        </w:tc>
      </w:tr>
      <w:tr>
        <w:trPr>
          <w:trHeight w:val="350"/>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Film Allowance Required for full height glazing sidelites and glass doors.</w:t>
            </w:r>
          </w:p>
        </w:tc>
      </w:tr>
      <w:tr>
        <w:trPr>
          <w:trHeight w:val="361"/>
        </w:trPr>
        <w:tc>
          <w:tcPr>
            <w:tcW w:w="3460" w:type="dxa"/>
            <w:vAlign w:val="bottom"/>
          </w:tcPr>
          <w:p>
            <w:pPr>
              <w:ind w:left="1060"/>
              <w:spacing w:after="0"/>
              <w:rPr>
                <w:sz w:val="20"/>
                <w:szCs w:val="20"/>
                <w:color w:val="auto"/>
              </w:rPr>
            </w:pPr>
            <w:r>
              <w:rPr>
                <w:rFonts w:ascii="Arial" w:cs="Arial" w:eastAsia="Arial" w:hAnsi="Arial"/>
                <w:sz w:val="15"/>
                <w:szCs w:val="15"/>
                <w:color w:val="auto"/>
              </w:rPr>
              <w:t>Millwork:</w:t>
            </w:r>
          </w:p>
        </w:tc>
        <w:tc>
          <w:tcPr>
            <w:tcW w:w="8020" w:type="dxa"/>
            <w:vAlign w:val="bottom"/>
            <w:gridSpan w:val="2"/>
          </w:tcPr>
          <w:p>
            <w:pPr>
              <w:spacing w:after="0"/>
              <w:rPr>
                <w:sz w:val="20"/>
                <w:szCs w:val="20"/>
                <w:color w:val="auto"/>
              </w:rPr>
            </w:pPr>
            <w:r>
              <w:rPr>
                <w:rFonts w:ascii="Arial" w:cs="Arial" w:eastAsia="Arial" w:hAnsi="Arial"/>
                <w:sz w:val="15"/>
                <w:szCs w:val="15"/>
                <w:color w:val="auto"/>
                <w:w w:val="89"/>
              </w:rPr>
              <w:t>Fourth Floor Elevator Lobby reception workstation shall be solid surface counter and wood veneer plywood, and stainless steel column</w:t>
            </w:r>
          </w:p>
        </w:tc>
      </w:tr>
      <w:tr>
        <w:trPr>
          <w:trHeight w:val="186"/>
        </w:trPr>
        <w:tc>
          <w:tcPr>
            <w:tcW w:w="346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enclosure</w:t>
            </w:r>
          </w:p>
        </w:tc>
      </w:tr>
      <w:tr>
        <w:trPr>
          <w:trHeight w:val="350"/>
        </w:trPr>
        <w:tc>
          <w:tcPr>
            <w:tcW w:w="34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5"/>
                <w:szCs w:val="15"/>
                <w:color w:val="auto"/>
              </w:rPr>
              <w:t>Copy Room cabinets to be premium plastic laminate base and wall units with laminate countertop.</w:t>
            </w:r>
          </w:p>
        </w:tc>
      </w:tr>
      <w:tr>
        <w:trPr>
          <w:trHeight w:val="689"/>
        </w:trPr>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0" w:type="dxa"/>
            <w:vAlign w:val="bottom"/>
          </w:tcPr>
          <w:p>
            <w:pPr>
              <w:jc w:val="right"/>
              <w:spacing w:after="0"/>
              <w:rPr>
                <w:sz w:val="20"/>
                <w:szCs w:val="20"/>
                <w:color w:val="auto"/>
              </w:rPr>
            </w:pPr>
            <w:r>
              <w:rPr>
                <w:rFonts w:ascii="Arial" w:cs="Arial" w:eastAsia="Arial" w:hAnsi="Arial"/>
                <w:sz w:val="15"/>
                <w:szCs w:val="15"/>
                <w:color w:val="auto"/>
              </w:rPr>
              <w:t>Page 3 of 11</w:t>
            </w:r>
          </w:p>
        </w:tc>
      </w:tr>
      <w:tr>
        <w:trPr>
          <w:trHeight w:val="89"/>
        </w:trPr>
        <w:tc>
          <w:tcPr>
            <w:tcW w:w="34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Seres Therapeutics</w:t>
            </w:r>
          </w:p>
        </w:tc>
        <w:tc>
          <w:tcPr>
            <w:tcW w:w="8880" w:type="dxa"/>
            <w:vAlign w:val="bottom"/>
          </w:tcPr>
          <w:p>
            <w:pPr>
              <w:jc w:val="right"/>
              <w:spacing w:after="0"/>
              <w:rPr>
                <w:sz w:val="20"/>
                <w:szCs w:val="20"/>
                <w:color w:val="auto"/>
              </w:rPr>
            </w:pPr>
            <w:r>
              <w:rPr>
                <w:rFonts w:ascii="Arial" w:cs="Arial" w:eastAsia="Arial" w:hAnsi="Arial"/>
                <w:sz w:val="15"/>
                <w:szCs w:val="15"/>
                <w:color w:val="auto"/>
              </w:rPr>
              <w:t>Architectural Basis Of Design</w:t>
            </w: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200 Sidney Street, Cambridge</w:t>
            </w:r>
          </w:p>
        </w:tc>
        <w:tc>
          <w:tcPr>
            <w:tcW w:w="8880" w:type="dxa"/>
            <w:vAlign w:val="bottom"/>
          </w:tcPr>
          <w:p>
            <w:pPr>
              <w:jc w:val="right"/>
              <w:spacing w:after="0"/>
              <w:rPr>
                <w:sz w:val="20"/>
                <w:szCs w:val="20"/>
                <w:color w:val="auto"/>
              </w:rPr>
            </w:pPr>
            <w:r>
              <w:rPr>
                <w:rFonts w:ascii="Arial" w:cs="Arial" w:eastAsia="Arial" w:hAnsi="Arial"/>
                <w:sz w:val="15"/>
                <w:szCs w:val="15"/>
                <w:color w:val="auto"/>
              </w:rPr>
              <w:t>REDAP Project No.15176.11</w:t>
            </w:r>
          </w:p>
        </w:tc>
      </w:tr>
      <w:tr>
        <w:trPr>
          <w:trHeight w:val="514"/>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89"/>
              </w:rPr>
              <w:t>Coffee Bar cabinets to be premium plastic laminate base and wall units with 26” tall plastic laminate backsplash; Break Room cabinets</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to be premium plastic laminate base and wall units with solid surface countertops and glass tile backsplash.</w:t>
            </w:r>
          </w:p>
        </w:tc>
      </w:tr>
      <w:tr>
        <w:trPr>
          <w:trHeight w:val="350"/>
        </w:trPr>
        <w:tc>
          <w:tcPr>
            <w:tcW w:w="2600" w:type="dxa"/>
            <w:vAlign w:val="bottom"/>
          </w:tcPr>
          <w:p>
            <w:pPr>
              <w:ind w:left="980"/>
              <w:spacing w:after="0"/>
              <w:rPr>
                <w:sz w:val="20"/>
                <w:szCs w:val="20"/>
                <w:color w:val="auto"/>
              </w:rPr>
            </w:pPr>
            <w:r>
              <w:rPr>
                <w:rFonts w:ascii="Arial" w:cs="Arial" w:eastAsia="Arial" w:hAnsi="Arial"/>
                <w:sz w:val="15"/>
                <w:szCs w:val="15"/>
                <w:color w:val="auto"/>
              </w:rPr>
              <w:t>Equipment:</w:t>
            </w:r>
          </w:p>
        </w:tc>
        <w:tc>
          <w:tcPr>
            <w:tcW w:w="8880" w:type="dxa"/>
            <w:vAlign w:val="bottom"/>
          </w:tcPr>
          <w:p>
            <w:pPr>
              <w:ind w:left="860"/>
              <w:spacing w:after="0"/>
              <w:rPr>
                <w:sz w:val="20"/>
                <w:szCs w:val="20"/>
                <w:color w:val="auto"/>
              </w:rPr>
            </w:pPr>
            <w:r>
              <w:rPr>
                <w:rFonts w:ascii="Arial" w:cs="Arial" w:eastAsia="Arial" w:hAnsi="Arial"/>
                <w:sz w:val="15"/>
                <w:szCs w:val="15"/>
                <w:color w:val="auto"/>
                <w:w w:val="97"/>
              </w:rPr>
              <w:t>Operable partition by Hufcor with marker board and end glass panels. STC panel rating shall be 50; glass rating shall be 45.</w:t>
            </w:r>
          </w:p>
        </w:tc>
      </w:tr>
      <w:tr>
        <w:trPr>
          <w:trHeight w:val="339"/>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90"/>
              </w:rPr>
              <w:t>4’ x 6’ glass marker boards at Conference Rooms; (2) 4 x 4 glass marker boards at Board Room; 4 x 4 Porcelain enamel steel marker</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boards at Private Offices</w:t>
            </w:r>
          </w:p>
        </w:tc>
      </w:tr>
      <w:tr>
        <w:trPr>
          <w:trHeight w:val="339"/>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89"/>
              </w:rPr>
              <w:t>Tenant furnished / contractor installed appliances: two (2) french door refrigerators, two (2) built-in microwave ovens and dishwasher at</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Break Room; one (1) french door refrigerator and one (1) built-in microwave at Coffee Bars.</w:t>
            </w:r>
          </w:p>
        </w:tc>
      </w:tr>
      <w:tr>
        <w:trPr>
          <w:trHeight w:val="350"/>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98"/>
              </w:rPr>
              <w:t>Flat screen TVs (in Boardroom, Seminar Room and Medium Conference Rooms, and A/V components shall be by Tenant.</w:t>
            </w:r>
          </w:p>
        </w:tc>
      </w:tr>
      <w:tr>
        <w:trPr>
          <w:trHeight w:val="361"/>
        </w:trPr>
        <w:tc>
          <w:tcPr>
            <w:tcW w:w="2600" w:type="dxa"/>
            <w:vAlign w:val="bottom"/>
          </w:tcPr>
          <w:p>
            <w:pPr>
              <w:ind w:left="440"/>
              <w:spacing w:after="0"/>
              <w:rPr>
                <w:sz w:val="20"/>
                <w:szCs w:val="20"/>
                <w:color w:val="auto"/>
              </w:rPr>
            </w:pPr>
            <w:r>
              <w:rPr>
                <w:rFonts w:ascii="Arial" w:cs="Arial" w:eastAsia="Arial" w:hAnsi="Arial"/>
                <w:sz w:val="15"/>
                <w:szCs w:val="15"/>
                <w:color w:val="auto"/>
              </w:rPr>
              <w:t>Window Treatment:</w:t>
            </w:r>
          </w:p>
        </w:tc>
        <w:tc>
          <w:tcPr>
            <w:tcW w:w="8880" w:type="dxa"/>
            <w:vAlign w:val="bottom"/>
          </w:tcPr>
          <w:p>
            <w:pPr>
              <w:ind w:left="860"/>
              <w:spacing w:after="0"/>
              <w:rPr>
                <w:sz w:val="20"/>
                <w:szCs w:val="20"/>
                <w:color w:val="auto"/>
              </w:rPr>
            </w:pPr>
            <w:r>
              <w:rPr>
                <w:rFonts w:ascii="Arial" w:cs="Arial" w:eastAsia="Arial" w:hAnsi="Arial"/>
                <w:sz w:val="15"/>
                <w:szCs w:val="15"/>
                <w:color w:val="auto"/>
                <w:w w:val="92"/>
              </w:rPr>
              <w:t>Building Standard window treatment, consisting of horizontal mini-blinds, are to be installed at all perimeter windows. Supplemental</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window treatment for room darkening or aesthetic value are to be provided by Tenant for installation by contractor.</w:t>
            </w:r>
          </w:p>
        </w:tc>
      </w:tr>
      <w:tr>
        <w:trPr>
          <w:trHeight w:val="645"/>
        </w:trPr>
        <w:tc>
          <w:tcPr>
            <w:tcW w:w="260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15"/>
                <w:szCs w:val="15"/>
                <w:color w:val="auto"/>
              </w:rPr>
              <w:t>Page 4 of 11</w:t>
            </w:r>
          </w:p>
        </w:tc>
      </w:tr>
      <w:tr>
        <w:trPr>
          <w:trHeight w:val="89"/>
        </w:trPr>
        <w:tc>
          <w:tcPr>
            <w:tcW w:w="26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Seres Therapeutics</w:t>
            </w:r>
          </w:p>
        </w:tc>
        <w:tc>
          <w:tcPr>
            <w:tcW w:w="8880" w:type="dxa"/>
            <w:vAlign w:val="bottom"/>
          </w:tcPr>
          <w:p>
            <w:pPr>
              <w:jc w:val="right"/>
              <w:spacing w:after="0"/>
              <w:rPr>
                <w:sz w:val="20"/>
                <w:szCs w:val="20"/>
                <w:color w:val="auto"/>
              </w:rPr>
            </w:pPr>
            <w:r>
              <w:rPr>
                <w:rFonts w:ascii="Arial" w:cs="Arial" w:eastAsia="Arial" w:hAnsi="Arial"/>
                <w:sz w:val="15"/>
                <w:szCs w:val="15"/>
                <w:color w:val="auto"/>
              </w:rPr>
              <w:t>Architectural Basis Of Design</w:t>
            </w: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200 Sidney Street, Cambridge</w:t>
            </w:r>
          </w:p>
        </w:tc>
        <w:tc>
          <w:tcPr>
            <w:tcW w:w="8880" w:type="dxa"/>
            <w:vAlign w:val="bottom"/>
          </w:tcPr>
          <w:p>
            <w:pPr>
              <w:jc w:val="right"/>
              <w:spacing w:after="0"/>
              <w:rPr>
                <w:sz w:val="20"/>
                <w:szCs w:val="20"/>
                <w:color w:val="auto"/>
              </w:rPr>
            </w:pPr>
            <w:r>
              <w:rPr>
                <w:rFonts w:ascii="Arial" w:cs="Arial" w:eastAsia="Arial" w:hAnsi="Arial"/>
                <w:sz w:val="15"/>
                <w:szCs w:val="15"/>
                <w:color w:val="auto"/>
              </w:rPr>
              <w:t>REDAP Project No.15176.11</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SECTION 2</w:t>
            </w:r>
          </w:p>
        </w:tc>
        <w:tc>
          <w:tcPr>
            <w:tcW w:w="8880" w:type="dxa"/>
            <w:vAlign w:val="bottom"/>
          </w:tcPr>
          <w:p>
            <w:pPr>
              <w:ind w:left="860"/>
              <w:spacing w:after="0"/>
              <w:rPr>
                <w:sz w:val="20"/>
                <w:szCs w:val="20"/>
                <w:color w:val="auto"/>
              </w:rPr>
            </w:pPr>
            <w:r>
              <w:rPr>
                <w:rFonts w:ascii="Arial" w:cs="Arial" w:eastAsia="Arial" w:hAnsi="Arial"/>
                <w:sz w:val="15"/>
                <w:szCs w:val="15"/>
                <w:b w:val="1"/>
                <w:bCs w:val="1"/>
                <w:color w:val="auto"/>
              </w:rPr>
              <w:t>Research Laboratories</w:t>
            </w:r>
          </w:p>
        </w:tc>
      </w:tr>
      <w:tr>
        <w:trPr>
          <w:trHeight w:val="350"/>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95"/>
              </w:rPr>
              <w:t>R &amp; D Lab, Bioprocessing-Fermentation Lab, Pathogen Lab, Molecular Technologies Suites, and Bioprocessing Formulations.</w:t>
            </w:r>
          </w:p>
        </w:tc>
      </w:tr>
      <w:tr>
        <w:trPr>
          <w:trHeight w:val="372"/>
        </w:trPr>
        <w:tc>
          <w:tcPr>
            <w:tcW w:w="2600" w:type="dxa"/>
            <w:vAlign w:val="bottom"/>
          </w:tcPr>
          <w:p>
            <w:pPr>
              <w:spacing w:after="0"/>
              <w:rPr>
                <w:sz w:val="20"/>
                <w:szCs w:val="20"/>
                <w:color w:val="auto"/>
              </w:rPr>
            </w:pPr>
            <w:r>
              <w:rPr>
                <w:rFonts w:ascii="Arial" w:cs="Arial" w:eastAsia="Arial" w:hAnsi="Arial"/>
                <w:sz w:val="15"/>
                <w:szCs w:val="15"/>
                <w:b w:val="1"/>
                <w:bCs w:val="1"/>
                <w:color w:val="auto"/>
              </w:rPr>
              <w:t>FUNCTION:</w:t>
            </w:r>
          </w:p>
        </w:tc>
        <w:tc>
          <w:tcPr>
            <w:tcW w:w="8880" w:type="dxa"/>
            <w:vAlign w:val="bottom"/>
          </w:tcPr>
          <w:p>
            <w:pPr>
              <w:ind w:left="860"/>
              <w:spacing w:after="0"/>
              <w:rPr>
                <w:sz w:val="20"/>
                <w:szCs w:val="20"/>
                <w:color w:val="auto"/>
              </w:rPr>
            </w:pPr>
            <w:r>
              <w:rPr>
                <w:rFonts w:ascii="Arial" w:cs="Arial" w:eastAsia="Arial" w:hAnsi="Arial"/>
                <w:sz w:val="15"/>
                <w:szCs w:val="15"/>
                <w:color w:val="auto"/>
              </w:rPr>
              <w:t>General laboratory environment.</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ARCHITECTURAL:</w:t>
            </w:r>
          </w:p>
        </w:tc>
        <w:tc>
          <w:tcPr>
            <w:tcW w:w="8880" w:type="dxa"/>
            <w:vAlign w:val="bottom"/>
          </w:tcPr>
          <w:p>
            <w:pPr>
              <w:spacing w:after="0"/>
              <w:rPr>
                <w:sz w:val="24"/>
                <w:szCs w:val="24"/>
                <w:color w:val="auto"/>
              </w:rPr>
            </w:pPr>
          </w:p>
        </w:tc>
      </w:tr>
      <w:tr>
        <w:trPr>
          <w:trHeight w:val="372"/>
        </w:trPr>
        <w:tc>
          <w:tcPr>
            <w:tcW w:w="2600" w:type="dxa"/>
            <w:vAlign w:val="bottom"/>
          </w:tcPr>
          <w:p>
            <w:pPr>
              <w:ind w:left="280"/>
              <w:spacing w:after="0"/>
              <w:rPr>
                <w:sz w:val="20"/>
                <w:szCs w:val="20"/>
                <w:color w:val="auto"/>
              </w:rPr>
            </w:pPr>
            <w:r>
              <w:rPr>
                <w:rFonts w:ascii="Arial" w:cs="Arial" w:eastAsia="Arial" w:hAnsi="Arial"/>
                <w:sz w:val="15"/>
                <w:szCs w:val="15"/>
                <w:color w:val="auto"/>
              </w:rPr>
              <w:t>Flooring:</w:t>
            </w:r>
          </w:p>
        </w:tc>
        <w:tc>
          <w:tcPr>
            <w:tcW w:w="8880" w:type="dxa"/>
            <w:vAlign w:val="bottom"/>
          </w:tcPr>
          <w:p>
            <w:pPr>
              <w:ind w:left="860"/>
              <w:spacing w:after="0"/>
              <w:rPr>
                <w:sz w:val="20"/>
                <w:szCs w:val="20"/>
                <w:color w:val="auto"/>
              </w:rPr>
            </w:pPr>
            <w:r>
              <w:rPr>
                <w:rFonts w:ascii="Arial" w:cs="Arial" w:eastAsia="Arial" w:hAnsi="Arial"/>
                <w:sz w:val="15"/>
                <w:szCs w:val="15"/>
                <w:color w:val="auto"/>
                <w:w w:val="97"/>
              </w:rPr>
              <w:t>Vinyl Composition Tile (VCT) shall be Mannington Commercial “Progressions”, in a 4-color pattern; with 4” coved Wall Base.</w:t>
            </w:r>
          </w:p>
        </w:tc>
      </w:tr>
      <w:tr>
        <w:trPr>
          <w:trHeight w:val="350"/>
        </w:trPr>
        <w:tc>
          <w:tcPr>
            <w:tcW w:w="2600" w:type="dxa"/>
            <w:vAlign w:val="bottom"/>
          </w:tcPr>
          <w:p>
            <w:pPr>
              <w:ind w:left="280"/>
              <w:spacing w:after="0"/>
              <w:rPr>
                <w:sz w:val="20"/>
                <w:szCs w:val="20"/>
                <w:color w:val="auto"/>
              </w:rPr>
            </w:pPr>
            <w:r>
              <w:rPr>
                <w:rFonts w:ascii="Arial" w:cs="Arial" w:eastAsia="Arial" w:hAnsi="Arial"/>
                <w:sz w:val="15"/>
                <w:szCs w:val="15"/>
                <w:color w:val="auto"/>
              </w:rPr>
              <w:t>Wall Finish:</w:t>
            </w:r>
          </w:p>
        </w:tc>
        <w:tc>
          <w:tcPr>
            <w:tcW w:w="8880" w:type="dxa"/>
            <w:vAlign w:val="bottom"/>
          </w:tcPr>
          <w:p>
            <w:pPr>
              <w:ind w:left="860"/>
              <w:spacing w:after="0"/>
              <w:rPr>
                <w:sz w:val="20"/>
                <w:szCs w:val="20"/>
                <w:color w:val="auto"/>
              </w:rPr>
            </w:pPr>
            <w:r>
              <w:rPr>
                <w:rFonts w:ascii="Arial" w:cs="Arial" w:eastAsia="Arial" w:hAnsi="Arial"/>
                <w:sz w:val="15"/>
                <w:szCs w:val="15"/>
                <w:color w:val="auto"/>
              </w:rPr>
              <w:t>Tenant Standard eggshell finish, latex paint – Benjamin Moore base wall paint plus 1 accent color.</w:t>
            </w:r>
          </w:p>
        </w:tc>
      </w:tr>
      <w:tr>
        <w:trPr>
          <w:trHeight w:val="339"/>
        </w:trPr>
        <w:tc>
          <w:tcPr>
            <w:tcW w:w="2600" w:type="dxa"/>
            <w:vAlign w:val="bottom"/>
          </w:tcPr>
          <w:p>
            <w:pPr>
              <w:ind w:left="280"/>
              <w:spacing w:after="0"/>
              <w:rPr>
                <w:sz w:val="20"/>
                <w:szCs w:val="20"/>
                <w:color w:val="auto"/>
              </w:rPr>
            </w:pPr>
            <w:r>
              <w:rPr>
                <w:rFonts w:ascii="Arial" w:cs="Arial" w:eastAsia="Arial" w:hAnsi="Arial"/>
                <w:sz w:val="15"/>
                <w:szCs w:val="15"/>
                <w:color w:val="auto"/>
              </w:rPr>
              <w:t>Ceiling Height/Finish:</w:t>
            </w:r>
          </w:p>
        </w:tc>
        <w:tc>
          <w:tcPr>
            <w:tcW w:w="8880" w:type="dxa"/>
            <w:vAlign w:val="bottom"/>
          </w:tcPr>
          <w:p>
            <w:pPr>
              <w:ind w:left="860"/>
              <w:spacing w:after="0"/>
              <w:rPr>
                <w:sz w:val="20"/>
                <w:szCs w:val="20"/>
                <w:color w:val="auto"/>
              </w:rPr>
            </w:pPr>
            <w:r>
              <w:rPr>
                <w:rFonts w:ascii="Arial" w:cs="Arial" w:eastAsia="Arial" w:hAnsi="Arial"/>
                <w:sz w:val="15"/>
                <w:szCs w:val="15"/>
                <w:color w:val="auto"/>
                <w:w w:val="91"/>
              </w:rPr>
              <w:t xml:space="preserve">9’-6” AFF (coordinate with existing mechanicals); 2’-0” x 4’-0” x </w:t>
            </w:r>
            <w:r>
              <w:rPr>
                <w:rFonts w:ascii="Arial" w:cs="Arial" w:eastAsia="Arial" w:hAnsi="Arial"/>
                <w:sz w:val="12"/>
                <w:szCs w:val="12"/>
                <w:color w:val="auto"/>
                <w:w w:val="91"/>
              </w:rPr>
              <w:t>3</w:t>
            </w:r>
            <w:r>
              <w:rPr>
                <w:rFonts w:ascii="Arial" w:cs="Arial" w:eastAsia="Arial" w:hAnsi="Arial"/>
                <w:sz w:val="15"/>
                <w:szCs w:val="15"/>
                <w:color w:val="auto"/>
                <w:w w:val="91"/>
              </w:rPr>
              <w:t>/</w:t>
            </w:r>
            <w:r>
              <w:rPr>
                <w:rFonts w:ascii="Arial" w:cs="Arial" w:eastAsia="Arial" w:hAnsi="Arial"/>
                <w:sz w:val="12"/>
                <w:szCs w:val="12"/>
                <w:color w:val="auto"/>
                <w:w w:val="91"/>
              </w:rPr>
              <w:t>4</w:t>
            </w:r>
            <w:r>
              <w:rPr>
                <w:rFonts w:ascii="Arial" w:cs="Arial" w:eastAsia="Arial" w:hAnsi="Arial"/>
                <w:sz w:val="15"/>
                <w:szCs w:val="15"/>
                <w:color w:val="auto"/>
                <w:w w:val="91"/>
              </w:rPr>
              <w:t>” mineral fiber, square edged, Armstrong Ultima 1913; and 15/16”</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Armstrong Prelude XL.</w:t>
            </w:r>
          </w:p>
        </w:tc>
      </w:tr>
      <w:tr>
        <w:trPr>
          <w:trHeight w:val="339"/>
        </w:trPr>
        <w:tc>
          <w:tcPr>
            <w:tcW w:w="2600" w:type="dxa"/>
            <w:vAlign w:val="bottom"/>
          </w:tcPr>
          <w:p>
            <w:pPr>
              <w:ind w:left="280"/>
              <w:spacing w:after="0"/>
              <w:rPr>
                <w:sz w:val="20"/>
                <w:szCs w:val="20"/>
                <w:color w:val="auto"/>
              </w:rPr>
            </w:pPr>
            <w:r>
              <w:rPr>
                <w:rFonts w:ascii="Arial" w:cs="Arial" w:eastAsia="Arial" w:hAnsi="Arial"/>
                <w:sz w:val="15"/>
                <w:szCs w:val="15"/>
                <w:color w:val="auto"/>
              </w:rPr>
              <w:t>Door/Frame/Hardware:</w:t>
            </w:r>
          </w:p>
        </w:tc>
        <w:tc>
          <w:tcPr>
            <w:tcW w:w="8880" w:type="dxa"/>
            <w:vAlign w:val="bottom"/>
          </w:tcPr>
          <w:p>
            <w:pPr>
              <w:ind w:left="860"/>
              <w:spacing w:after="0"/>
              <w:rPr>
                <w:sz w:val="20"/>
                <w:szCs w:val="20"/>
                <w:color w:val="auto"/>
              </w:rPr>
            </w:pPr>
            <w:r>
              <w:rPr>
                <w:rFonts w:ascii="Arial" w:cs="Arial" w:eastAsia="Arial" w:hAnsi="Arial"/>
                <w:sz w:val="15"/>
                <w:szCs w:val="15"/>
                <w:color w:val="auto"/>
              </w:rPr>
              <w:t>Doors – painted metal; building standard paint grade doors at common corridor:</w:t>
            </w:r>
          </w:p>
        </w:tc>
      </w:tr>
      <w:tr>
        <w:trPr>
          <w:trHeight w:val="175"/>
        </w:trPr>
        <w:tc>
          <w:tcPr>
            <w:tcW w:w="2600" w:type="dxa"/>
            <w:vAlign w:val="bottom"/>
          </w:tcPr>
          <w:p>
            <w:pPr>
              <w:spacing w:after="0"/>
              <w:rPr>
                <w:sz w:val="15"/>
                <w:szCs w:val="15"/>
                <w:color w:val="auto"/>
              </w:rPr>
            </w:pPr>
          </w:p>
        </w:tc>
        <w:tc>
          <w:tcPr>
            <w:tcW w:w="8880" w:type="dxa"/>
            <w:vAlign w:val="bottom"/>
          </w:tcPr>
          <w:p>
            <w:pPr>
              <w:ind w:left="1060"/>
              <w:spacing w:after="0"/>
              <w:rPr>
                <w:sz w:val="20"/>
                <w:szCs w:val="20"/>
                <w:color w:val="auto"/>
              </w:rPr>
            </w:pPr>
            <w:r>
              <w:rPr>
                <w:rFonts w:ascii="Arial" w:cs="Arial" w:eastAsia="Arial" w:hAnsi="Arial"/>
                <w:sz w:val="15"/>
                <w:szCs w:val="15"/>
                <w:color w:val="auto"/>
              </w:rPr>
              <w:t>3’-0” x 7’-0” no-lite (Scope Rooms);</w:t>
            </w:r>
          </w:p>
        </w:tc>
      </w:tr>
      <w:tr>
        <w:trPr>
          <w:trHeight w:val="186"/>
        </w:trPr>
        <w:tc>
          <w:tcPr>
            <w:tcW w:w="2600" w:type="dxa"/>
            <w:vAlign w:val="bottom"/>
          </w:tcPr>
          <w:p>
            <w:pPr>
              <w:spacing w:after="0"/>
              <w:rPr>
                <w:sz w:val="16"/>
                <w:szCs w:val="16"/>
                <w:color w:val="auto"/>
              </w:rPr>
            </w:pPr>
          </w:p>
        </w:tc>
        <w:tc>
          <w:tcPr>
            <w:tcW w:w="8880" w:type="dxa"/>
            <w:vAlign w:val="bottom"/>
          </w:tcPr>
          <w:p>
            <w:pPr>
              <w:ind w:left="1060"/>
              <w:spacing w:after="0"/>
              <w:rPr>
                <w:sz w:val="20"/>
                <w:szCs w:val="20"/>
                <w:color w:val="auto"/>
              </w:rPr>
            </w:pPr>
            <w:r>
              <w:rPr>
                <w:rFonts w:ascii="Arial" w:cs="Arial" w:eastAsia="Arial" w:hAnsi="Arial"/>
                <w:sz w:val="15"/>
                <w:szCs w:val="15"/>
                <w:color w:val="auto"/>
                <w:w w:val="92"/>
              </w:rPr>
              <w:t>3’-0” x 7’-0”, half-lite (2</w:t>
            </w:r>
            <w:r>
              <w:rPr>
                <w:rFonts w:ascii="Arial" w:cs="Arial" w:eastAsia="Arial" w:hAnsi="Arial"/>
                <w:sz w:val="12"/>
                <w:szCs w:val="12"/>
                <w:color w:val="auto"/>
                <w:w w:val="92"/>
              </w:rPr>
              <w:t>nd</w:t>
            </w:r>
            <w:r>
              <w:rPr>
                <w:rFonts w:ascii="Arial" w:cs="Arial" w:eastAsia="Arial" w:hAnsi="Arial"/>
                <w:sz w:val="15"/>
                <w:szCs w:val="15"/>
                <w:color w:val="auto"/>
                <w:w w:val="92"/>
              </w:rPr>
              <w:t xml:space="preserve"> Floor Shared Equipment, &amp; secondary doors at Molecular Technology Suite and Tissue Culture Suite);</w:t>
            </w:r>
          </w:p>
        </w:tc>
      </w:tr>
      <w:tr>
        <w:trPr>
          <w:trHeight w:val="328"/>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Pair Doors: 3’-0” x 7’-0” &amp; 1’-0” x 7’-0”, no lite (all common corridor Lab doors);</w:t>
            </w:r>
          </w:p>
        </w:tc>
      </w:tr>
      <w:tr>
        <w:trPr>
          <w:trHeight w:val="197"/>
        </w:trPr>
        <w:tc>
          <w:tcPr>
            <w:tcW w:w="2600" w:type="dxa"/>
            <w:vAlign w:val="bottom"/>
          </w:tcPr>
          <w:p>
            <w:pPr>
              <w:spacing w:after="0"/>
              <w:rPr>
                <w:sz w:val="17"/>
                <w:szCs w:val="17"/>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Pair Doors: 3’-0” x 7’-0” &amp; 1’-0” x 7’-0”, half-lite in active leaf (balance of Lab doors).</w:t>
            </w:r>
          </w:p>
        </w:tc>
      </w:tr>
      <w:tr>
        <w:trPr>
          <w:trHeight w:val="514"/>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Frames – Hollow metal, alkyd enamel paint finish.</w:t>
            </w:r>
          </w:p>
        </w:tc>
      </w:tr>
      <w:tr>
        <w:trPr>
          <w:trHeight w:val="361"/>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94"/>
              </w:rPr>
              <w:t>Hardware – Sargent 10 Line Cylindrical Lockset, B Lever Design with L Rose Design, both in finish 626 “satin chromium plated”;</w:t>
            </w:r>
          </w:p>
        </w:tc>
      </w:tr>
      <w:tr>
        <w:trPr>
          <w:trHeight w:val="175"/>
        </w:trPr>
        <w:tc>
          <w:tcPr>
            <w:tcW w:w="2600" w:type="dxa"/>
            <w:vAlign w:val="bottom"/>
          </w:tcPr>
          <w:p>
            <w:pPr>
              <w:spacing w:after="0"/>
              <w:rPr>
                <w:sz w:val="15"/>
                <w:szCs w:val="15"/>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96"/>
              </w:rPr>
              <w:t>Hinge – Stanley standard weight ball bearing FBB179 ANSI A8112, 4-1/2” x 4-1/2” steel; Floor/Wall stop – Rockwood in satin</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441/406-8 chrome finish. Closers, flush bolts, armor plate, silencers.</w:t>
            </w:r>
          </w:p>
        </w:tc>
      </w:tr>
      <w:tr>
        <w:trPr>
          <w:trHeight w:val="481"/>
        </w:trPr>
        <w:tc>
          <w:tcPr>
            <w:tcW w:w="2600" w:type="dxa"/>
            <w:vAlign w:val="bottom"/>
          </w:tcPr>
          <w:p>
            <w:pPr>
              <w:ind w:left="280"/>
              <w:spacing w:after="0"/>
              <w:rPr>
                <w:sz w:val="20"/>
                <w:szCs w:val="20"/>
                <w:color w:val="auto"/>
              </w:rPr>
            </w:pPr>
            <w:r>
              <w:rPr>
                <w:rFonts w:ascii="Arial" w:cs="Arial" w:eastAsia="Arial" w:hAnsi="Arial"/>
                <w:sz w:val="15"/>
                <w:szCs w:val="15"/>
                <w:color w:val="auto"/>
              </w:rPr>
              <w:t>Casework:</w:t>
            </w:r>
          </w:p>
        </w:tc>
        <w:tc>
          <w:tcPr>
            <w:tcW w:w="8880" w:type="dxa"/>
            <w:vAlign w:val="bottom"/>
          </w:tcPr>
          <w:p>
            <w:pPr>
              <w:ind w:left="860"/>
              <w:spacing w:after="0"/>
              <w:rPr>
                <w:sz w:val="20"/>
                <w:szCs w:val="20"/>
                <w:color w:val="auto"/>
              </w:rPr>
            </w:pPr>
            <w:r>
              <w:rPr>
                <w:rFonts w:ascii="Arial" w:cs="Arial" w:eastAsia="Arial" w:hAnsi="Arial"/>
                <w:sz w:val="15"/>
                <w:szCs w:val="15"/>
                <w:color w:val="auto"/>
                <w:w w:val="92"/>
              </w:rPr>
              <w:t>Fixed Casework at all sink units: metal case with metal cabinet/drawer fronts and 1” epoxy tops; metal utility chase with removable</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panel.</w:t>
            </w:r>
          </w:p>
        </w:tc>
      </w:tr>
      <w:tr>
        <w:trPr>
          <w:trHeight w:val="339"/>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92"/>
              </w:rPr>
              <w:t>Modular Table Benches shall be painted, welded steel frame, with tubular steel uprights supporting phenolic re-agent shelving and</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electrical plug strip, suspended metal cabinet or drawer units (1 p/table, 50% distribution), and 1” thick epoxy top.</w:t>
            </w:r>
          </w:p>
        </w:tc>
      </w:tr>
      <w:tr>
        <w:trPr>
          <w:trHeight w:val="492"/>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Wall shelving shall be phenolic on painted metal brackets and standards.</w:t>
            </w:r>
          </w:p>
        </w:tc>
      </w:tr>
      <w:tr>
        <w:trPr>
          <w:trHeight w:val="372"/>
        </w:trPr>
        <w:tc>
          <w:tcPr>
            <w:tcW w:w="2600" w:type="dxa"/>
            <w:vAlign w:val="bottom"/>
          </w:tcPr>
          <w:p>
            <w:pPr>
              <w:spacing w:after="0"/>
              <w:rPr>
                <w:sz w:val="20"/>
                <w:szCs w:val="20"/>
                <w:color w:val="auto"/>
              </w:rPr>
            </w:pPr>
            <w:r>
              <w:rPr>
                <w:rFonts w:ascii="Arial" w:cs="Arial" w:eastAsia="Arial" w:hAnsi="Arial"/>
                <w:sz w:val="15"/>
                <w:szCs w:val="15"/>
                <w:b w:val="1"/>
                <w:bCs w:val="1"/>
                <w:color w:val="auto"/>
              </w:rPr>
              <w:t>EQUIPMENT:</w:t>
            </w:r>
          </w:p>
        </w:tc>
        <w:tc>
          <w:tcPr>
            <w:tcW w:w="8880" w:type="dxa"/>
            <w:vAlign w:val="bottom"/>
          </w:tcPr>
          <w:p>
            <w:pPr>
              <w:spacing w:after="0"/>
              <w:rPr>
                <w:sz w:val="24"/>
                <w:szCs w:val="24"/>
                <w:color w:val="auto"/>
              </w:rPr>
            </w:pPr>
          </w:p>
        </w:tc>
      </w:tr>
      <w:tr>
        <w:trPr>
          <w:trHeight w:val="372"/>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Lab equipment, floor and bench mounted, per Equipment Matrix, by Tenant;</w:t>
            </w:r>
          </w:p>
        </w:tc>
      </w:tr>
      <w:tr>
        <w:trPr>
          <w:trHeight w:val="361"/>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w w:val="89"/>
              </w:rPr>
              <w:t>Two existing fume hoods shall be repaired, electrostatically painted, and re-used on Floor 1. One existing fume hood shall be repaired,</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electrostatically painted, and relocated on Floor 2.</w:t>
            </w:r>
          </w:p>
        </w:tc>
      </w:tr>
      <w:tr>
        <w:trPr>
          <w:trHeight w:val="788"/>
        </w:trPr>
        <w:tc>
          <w:tcPr>
            <w:tcW w:w="260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15"/>
                <w:szCs w:val="15"/>
                <w:color w:val="auto"/>
              </w:rPr>
              <w:t>Page 5 of 11</w:t>
            </w:r>
          </w:p>
        </w:tc>
      </w:tr>
      <w:tr>
        <w:trPr>
          <w:trHeight w:val="89"/>
        </w:trPr>
        <w:tc>
          <w:tcPr>
            <w:tcW w:w="26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Seres Therapeutics</w:t>
            </w:r>
          </w:p>
        </w:tc>
        <w:tc>
          <w:tcPr>
            <w:tcW w:w="8880" w:type="dxa"/>
            <w:vAlign w:val="bottom"/>
          </w:tcPr>
          <w:p>
            <w:pPr>
              <w:jc w:val="right"/>
              <w:spacing w:after="0"/>
              <w:rPr>
                <w:sz w:val="20"/>
                <w:szCs w:val="20"/>
                <w:color w:val="auto"/>
              </w:rPr>
            </w:pPr>
            <w:r>
              <w:rPr>
                <w:rFonts w:ascii="Arial" w:cs="Arial" w:eastAsia="Arial" w:hAnsi="Arial"/>
                <w:sz w:val="15"/>
                <w:szCs w:val="15"/>
                <w:color w:val="auto"/>
              </w:rPr>
              <w:t>Architectural Basis Of Design</w:t>
            </w: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200 Sidney Street, Cambridge</w:t>
            </w:r>
          </w:p>
        </w:tc>
        <w:tc>
          <w:tcPr>
            <w:tcW w:w="8880" w:type="dxa"/>
            <w:vAlign w:val="bottom"/>
          </w:tcPr>
          <w:p>
            <w:pPr>
              <w:jc w:val="right"/>
              <w:spacing w:after="0"/>
              <w:rPr>
                <w:sz w:val="20"/>
                <w:szCs w:val="20"/>
                <w:color w:val="auto"/>
              </w:rPr>
            </w:pPr>
            <w:r>
              <w:rPr>
                <w:rFonts w:ascii="Arial" w:cs="Arial" w:eastAsia="Arial" w:hAnsi="Arial"/>
                <w:sz w:val="15"/>
                <w:szCs w:val="15"/>
                <w:color w:val="auto"/>
              </w:rPr>
              <w:t>REDAP Project No.15176.11</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SECTION 3</w:t>
            </w:r>
          </w:p>
        </w:tc>
        <w:tc>
          <w:tcPr>
            <w:tcW w:w="8880" w:type="dxa"/>
            <w:vAlign w:val="bottom"/>
          </w:tcPr>
          <w:p>
            <w:pPr>
              <w:ind w:left="860"/>
              <w:spacing w:after="0"/>
              <w:rPr>
                <w:sz w:val="20"/>
                <w:szCs w:val="20"/>
                <w:color w:val="auto"/>
              </w:rPr>
            </w:pPr>
            <w:r>
              <w:rPr>
                <w:rFonts w:ascii="Arial" w:cs="Arial" w:eastAsia="Arial" w:hAnsi="Arial"/>
                <w:sz w:val="15"/>
                <w:szCs w:val="15"/>
                <w:b w:val="1"/>
                <w:bCs w:val="1"/>
                <w:color w:val="auto"/>
              </w:rPr>
              <w:t>Tissue Culture Suite</w:t>
            </w:r>
          </w:p>
        </w:tc>
      </w:tr>
      <w:tr>
        <w:trPr>
          <w:trHeight w:val="350"/>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Immunology Lab, Tissue Culture 1, Tissue Culture 2, Equipment Room</w:t>
            </w:r>
          </w:p>
        </w:tc>
      </w:tr>
      <w:tr>
        <w:trPr>
          <w:trHeight w:val="372"/>
        </w:trPr>
        <w:tc>
          <w:tcPr>
            <w:tcW w:w="2600" w:type="dxa"/>
            <w:vAlign w:val="bottom"/>
          </w:tcPr>
          <w:p>
            <w:pPr>
              <w:spacing w:after="0"/>
              <w:rPr>
                <w:sz w:val="20"/>
                <w:szCs w:val="20"/>
                <w:color w:val="auto"/>
              </w:rPr>
            </w:pPr>
            <w:r>
              <w:rPr>
                <w:rFonts w:ascii="Arial" w:cs="Arial" w:eastAsia="Arial" w:hAnsi="Arial"/>
                <w:sz w:val="15"/>
                <w:szCs w:val="15"/>
                <w:b w:val="1"/>
                <w:bCs w:val="1"/>
                <w:color w:val="auto"/>
              </w:rPr>
              <w:t>FUNCTION:</w:t>
            </w:r>
          </w:p>
        </w:tc>
        <w:tc>
          <w:tcPr>
            <w:tcW w:w="8880" w:type="dxa"/>
            <w:vAlign w:val="bottom"/>
          </w:tcPr>
          <w:p>
            <w:pPr>
              <w:ind w:left="860"/>
              <w:spacing w:after="0"/>
              <w:rPr>
                <w:sz w:val="20"/>
                <w:szCs w:val="20"/>
                <w:color w:val="auto"/>
              </w:rPr>
            </w:pPr>
            <w:r>
              <w:rPr>
                <w:rFonts w:ascii="Arial" w:cs="Arial" w:eastAsia="Arial" w:hAnsi="Arial"/>
                <w:sz w:val="15"/>
                <w:szCs w:val="15"/>
                <w:color w:val="auto"/>
              </w:rPr>
              <w:t>Tissue Culture laboratory environment.</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ARCHITECTURAL:</w:t>
            </w:r>
          </w:p>
        </w:tc>
        <w:tc>
          <w:tcPr>
            <w:tcW w:w="8880" w:type="dxa"/>
            <w:vAlign w:val="bottom"/>
          </w:tcPr>
          <w:p>
            <w:pPr>
              <w:spacing w:after="0"/>
              <w:rPr>
                <w:sz w:val="24"/>
                <w:szCs w:val="24"/>
                <w:color w:val="auto"/>
              </w:rPr>
            </w:pPr>
          </w:p>
        </w:tc>
      </w:tr>
      <w:tr>
        <w:trPr>
          <w:trHeight w:val="372"/>
        </w:trPr>
        <w:tc>
          <w:tcPr>
            <w:tcW w:w="2600" w:type="dxa"/>
            <w:vAlign w:val="bottom"/>
          </w:tcPr>
          <w:p>
            <w:pPr>
              <w:ind w:left="280"/>
              <w:spacing w:after="0"/>
              <w:rPr>
                <w:sz w:val="20"/>
                <w:szCs w:val="20"/>
                <w:color w:val="auto"/>
              </w:rPr>
            </w:pPr>
            <w:r>
              <w:rPr>
                <w:rFonts w:ascii="Arial" w:cs="Arial" w:eastAsia="Arial" w:hAnsi="Arial"/>
                <w:sz w:val="15"/>
                <w:szCs w:val="15"/>
                <w:color w:val="auto"/>
              </w:rPr>
              <w:t>Flooring:</w:t>
            </w:r>
          </w:p>
        </w:tc>
        <w:tc>
          <w:tcPr>
            <w:tcW w:w="8880" w:type="dxa"/>
            <w:vAlign w:val="bottom"/>
          </w:tcPr>
          <w:p>
            <w:pPr>
              <w:ind w:left="860"/>
              <w:spacing w:after="0"/>
              <w:rPr>
                <w:sz w:val="20"/>
                <w:szCs w:val="20"/>
                <w:color w:val="auto"/>
              </w:rPr>
            </w:pPr>
            <w:r>
              <w:rPr>
                <w:rFonts w:ascii="Arial" w:cs="Arial" w:eastAsia="Arial" w:hAnsi="Arial"/>
                <w:sz w:val="15"/>
                <w:szCs w:val="15"/>
                <w:color w:val="auto"/>
              </w:rPr>
              <w:t>Sheet vinyl flooring, welded seams, with integral flash cove base.</w:t>
            </w:r>
          </w:p>
        </w:tc>
      </w:tr>
      <w:tr>
        <w:trPr>
          <w:trHeight w:val="350"/>
        </w:trPr>
        <w:tc>
          <w:tcPr>
            <w:tcW w:w="2600" w:type="dxa"/>
            <w:vAlign w:val="bottom"/>
          </w:tcPr>
          <w:p>
            <w:pPr>
              <w:ind w:left="280"/>
              <w:spacing w:after="0"/>
              <w:rPr>
                <w:sz w:val="20"/>
                <w:szCs w:val="20"/>
                <w:color w:val="auto"/>
              </w:rPr>
            </w:pPr>
            <w:r>
              <w:rPr>
                <w:rFonts w:ascii="Arial" w:cs="Arial" w:eastAsia="Arial" w:hAnsi="Arial"/>
                <w:sz w:val="15"/>
                <w:szCs w:val="15"/>
                <w:color w:val="auto"/>
              </w:rPr>
              <w:t>Wall Finish:</w:t>
            </w:r>
          </w:p>
        </w:tc>
        <w:tc>
          <w:tcPr>
            <w:tcW w:w="8880" w:type="dxa"/>
            <w:vAlign w:val="bottom"/>
          </w:tcPr>
          <w:p>
            <w:pPr>
              <w:ind w:left="860"/>
              <w:spacing w:after="0"/>
              <w:rPr>
                <w:sz w:val="20"/>
                <w:szCs w:val="20"/>
                <w:color w:val="auto"/>
              </w:rPr>
            </w:pPr>
            <w:r>
              <w:rPr>
                <w:rFonts w:ascii="Arial" w:cs="Arial" w:eastAsia="Arial" w:hAnsi="Arial"/>
                <w:sz w:val="15"/>
                <w:szCs w:val="15"/>
                <w:color w:val="auto"/>
              </w:rPr>
              <w:t>Tenant Standard eggshell finish, latex paint – Benjamin Moore base wall paint.</w:t>
            </w:r>
          </w:p>
        </w:tc>
      </w:tr>
      <w:tr>
        <w:trPr>
          <w:trHeight w:val="361"/>
        </w:trPr>
        <w:tc>
          <w:tcPr>
            <w:tcW w:w="2600" w:type="dxa"/>
            <w:vAlign w:val="bottom"/>
          </w:tcPr>
          <w:p>
            <w:pPr>
              <w:ind w:left="280"/>
              <w:spacing w:after="0"/>
              <w:rPr>
                <w:sz w:val="20"/>
                <w:szCs w:val="20"/>
                <w:color w:val="auto"/>
              </w:rPr>
            </w:pPr>
            <w:r>
              <w:rPr>
                <w:rFonts w:ascii="Arial" w:cs="Arial" w:eastAsia="Arial" w:hAnsi="Arial"/>
                <w:sz w:val="15"/>
                <w:szCs w:val="15"/>
                <w:color w:val="auto"/>
              </w:rPr>
              <w:t>Ceiling Height/Finish:</w:t>
            </w:r>
          </w:p>
        </w:tc>
        <w:tc>
          <w:tcPr>
            <w:tcW w:w="8880" w:type="dxa"/>
            <w:vAlign w:val="bottom"/>
          </w:tcPr>
          <w:p>
            <w:pPr>
              <w:ind w:left="860"/>
              <w:spacing w:after="0"/>
              <w:rPr>
                <w:sz w:val="20"/>
                <w:szCs w:val="20"/>
                <w:color w:val="auto"/>
              </w:rPr>
            </w:pPr>
            <w:r>
              <w:rPr>
                <w:rFonts w:ascii="Arial" w:cs="Arial" w:eastAsia="Arial" w:hAnsi="Arial"/>
                <w:sz w:val="15"/>
                <w:szCs w:val="15"/>
                <w:color w:val="auto"/>
                <w:w w:val="93"/>
              </w:rPr>
              <w:t>Tenant Standard: 9’-6” AFF; 2’-0” x 4’-0” x 1/2” USG “ClimaPlus” vinyl faced sheetrock, square edged tile (white), and USG Donn</w:t>
            </w:r>
          </w:p>
        </w:tc>
      </w:tr>
      <w:tr>
        <w:trPr>
          <w:trHeight w:val="186"/>
        </w:trPr>
        <w:tc>
          <w:tcPr>
            <w:tcW w:w="2600" w:type="dxa"/>
            <w:vAlign w:val="bottom"/>
          </w:tcPr>
          <w:p>
            <w:pPr>
              <w:spacing w:after="0"/>
              <w:rPr>
                <w:sz w:val="16"/>
                <w:szCs w:val="16"/>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DXLA 15/16” aluminum capped exposed tee grid system (white).</w:t>
            </w:r>
          </w:p>
        </w:tc>
      </w:tr>
      <w:tr>
        <w:trPr>
          <w:trHeight w:val="405"/>
        </w:trPr>
        <w:tc>
          <w:tcPr>
            <w:tcW w:w="2600" w:type="dxa"/>
            <w:vAlign w:val="bottom"/>
          </w:tcPr>
          <w:p>
            <w:pPr>
              <w:ind w:left="280"/>
              <w:spacing w:after="0"/>
              <w:rPr>
                <w:sz w:val="20"/>
                <w:szCs w:val="20"/>
                <w:color w:val="auto"/>
              </w:rPr>
            </w:pPr>
            <w:r>
              <w:rPr>
                <w:rFonts w:ascii="Arial" w:cs="Arial" w:eastAsia="Arial" w:hAnsi="Arial"/>
                <w:sz w:val="15"/>
                <w:szCs w:val="15"/>
                <w:color w:val="auto"/>
              </w:rPr>
              <w:t>Door/Frame/Hardware:</w:t>
            </w:r>
          </w:p>
        </w:tc>
        <w:tc>
          <w:tcPr>
            <w:tcW w:w="8880" w:type="dxa"/>
            <w:vAlign w:val="bottom"/>
          </w:tcPr>
          <w:p>
            <w:pPr>
              <w:ind w:left="860"/>
              <w:spacing w:after="0"/>
              <w:rPr>
                <w:sz w:val="20"/>
                <w:szCs w:val="20"/>
                <w:color w:val="auto"/>
              </w:rPr>
            </w:pPr>
            <w:r>
              <w:rPr>
                <w:rFonts w:ascii="Arial" w:cs="Arial" w:eastAsia="Arial" w:hAnsi="Arial"/>
                <w:sz w:val="15"/>
                <w:szCs w:val="15"/>
                <w:color w:val="auto"/>
              </w:rPr>
              <w:t>See previous.</w:t>
            </w:r>
          </w:p>
        </w:tc>
      </w:tr>
      <w:tr>
        <w:trPr>
          <w:trHeight w:val="350"/>
        </w:trPr>
        <w:tc>
          <w:tcPr>
            <w:tcW w:w="2600" w:type="dxa"/>
            <w:vAlign w:val="bottom"/>
          </w:tcPr>
          <w:p>
            <w:pPr>
              <w:ind w:left="280"/>
              <w:spacing w:after="0"/>
              <w:rPr>
                <w:sz w:val="20"/>
                <w:szCs w:val="20"/>
                <w:color w:val="auto"/>
              </w:rPr>
            </w:pPr>
            <w:r>
              <w:rPr>
                <w:rFonts w:ascii="Arial" w:cs="Arial" w:eastAsia="Arial" w:hAnsi="Arial"/>
                <w:sz w:val="15"/>
                <w:szCs w:val="15"/>
                <w:color w:val="auto"/>
              </w:rPr>
              <w:t>Casework:</w:t>
            </w:r>
          </w:p>
        </w:tc>
        <w:tc>
          <w:tcPr>
            <w:tcW w:w="8880" w:type="dxa"/>
            <w:vAlign w:val="bottom"/>
          </w:tcPr>
          <w:p>
            <w:pPr>
              <w:ind w:left="860"/>
              <w:spacing w:after="0"/>
              <w:rPr>
                <w:sz w:val="20"/>
                <w:szCs w:val="20"/>
                <w:color w:val="auto"/>
              </w:rPr>
            </w:pPr>
            <w:r>
              <w:rPr>
                <w:rFonts w:ascii="Arial" w:cs="Arial" w:eastAsia="Arial" w:hAnsi="Arial"/>
                <w:sz w:val="15"/>
                <w:szCs w:val="15"/>
                <w:color w:val="auto"/>
              </w:rPr>
              <w:t>See previous.</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EQUIPMENT:</w:t>
            </w:r>
          </w:p>
        </w:tc>
        <w:tc>
          <w:tcPr>
            <w:tcW w:w="8880" w:type="dxa"/>
            <w:vAlign w:val="bottom"/>
          </w:tcPr>
          <w:p>
            <w:pPr>
              <w:ind w:left="860"/>
              <w:spacing w:after="0"/>
              <w:rPr>
                <w:sz w:val="20"/>
                <w:szCs w:val="20"/>
                <w:color w:val="auto"/>
              </w:rPr>
            </w:pPr>
            <w:r>
              <w:rPr>
                <w:rFonts w:ascii="Arial" w:cs="Arial" w:eastAsia="Arial" w:hAnsi="Arial"/>
                <w:sz w:val="15"/>
                <w:szCs w:val="15"/>
                <w:color w:val="auto"/>
              </w:rPr>
              <w:t>Emergency Eyewash/Shower units, per plan.</w:t>
            </w:r>
          </w:p>
        </w:tc>
      </w:tr>
      <w:tr>
        <w:trPr>
          <w:trHeight w:val="350"/>
        </w:trPr>
        <w:tc>
          <w:tcPr>
            <w:tcW w:w="260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5"/>
                <w:szCs w:val="15"/>
                <w:color w:val="auto"/>
              </w:rPr>
              <w:t>Lab equipment, floor and bench mounted per equipment matrix, by Tenant.</w:t>
            </w:r>
          </w:p>
        </w:tc>
      </w:tr>
      <w:tr>
        <w:trPr>
          <w:trHeight w:val="667"/>
        </w:trPr>
        <w:tc>
          <w:tcPr>
            <w:tcW w:w="260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15"/>
                <w:szCs w:val="15"/>
                <w:color w:val="auto"/>
              </w:rPr>
              <w:t>Page 6 of 11</w:t>
            </w:r>
          </w:p>
        </w:tc>
      </w:tr>
      <w:tr>
        <w:trPr>
          <w:trHeight w:val="89"/>
        </w:trPr>
        <w:tc>
          <w:tcPr>
            <w:tcW w:w="26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Seres Therapeutics</w:t>
            </w:r>
          </w:p>
        </w:tc>
        <w:tc>
          <w:tcPr>
            <w:tcW w:w="8880" w:type="dxa"/>
            <w:vAlign w:val="bottom"/>
          </w:tcPr>
          <w:p>
            <w:pPr>
              <w:jc w:val="right"/>
              <w:spacing w:after="0"/>
              <w:rPr>
                <w:sz w:val="20"/>
                <w:szCs w:val="20"/>
                <w:color w:val="auto"/>
              </w:rPr>
            </w:pPr>
            <w:r>
              <w:rPr>
                <w:rFonts w:ascii="Arial" w:cs="Arial" w:eastAsia="Arial" w:hAnsi="Arial"/>
                <w:sz w:val="15"/>
                <w:szCs w:val="15"/>
                <w:color w:val="auto"/>
              </w:rPr>
              <w:t>Architectural Basis Of Design</w:t>
            </w: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200 Sidney Street, Cambridge</w:t>
            </w:r>
          </w:p>
        </w:tc>
        <w:tc>
          <w:tcPr>
            <w:tcW w:w="8880" w:type="dxa"/>
            <w:vAlign w:val="bottom"/>
          </w:tcPr>
          <w:p>
            <w:pPr>
              <w:jc w:val="right"/>
              <w:spacing w:after="0"/>
              <w:rPr>
                <w:sz w:val="20"/>
                <w:szCs w:val="20"/>
                <w:color w:val="auto"/>
              </w:rPr>
            </w:pPr>
            <w:r>
              <w:rPr>
                <w:rFonts w:ascii="Arial" w:cs="Arial" w:eastAsia="Arial" w:hAnsi="Arial"/>
                <w:sz w:val="15"/>
                <w:szCs w:val="15"/>
                <w:color w:val="auto"/>
              </w:rPr>
              <w:t>REDAP Project No.15176.11</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SECTION 4</w:t>
            </w:r>
          </w:p>
        </w:tc>
        <w:tc>
          <w:tcPr>
            <w:tcW w:w="8880" w:type="dxa"/>
            <w:vAlign w:val="bottom"/>
          </w:tcPr>
          <w:p>
            <w:pPr>
              <w:jc w:val="right"/>
              <w:ind w:right="6647"/>
              <w:spacing w:after="0"/>
              <w:rPr>
                <w:sz w:val="20"/>
                <w:szCs w:val="20"/>
                <w:color w:val="auto"/>
              </w:rPr>
            </w:pPr>
            <w:r>
              <w:rPr>
                <w:rFonts w:ascii="Arial" w:cs="Arial" w:eastAsia="Arial" w:hAnsi="Arial"/>
                <w:sz w:val="15"/>
                <w:szCs w:val="15"/>
                <w:b w:val="1"/>
                <w:bCs w:val="1"/>
                <w:color w:val="auto"/>
              </w:rPr>
              <w:t>Animal Care Facility</w:t>
            </w:r>
          </w:p>
        </w:tc>
      </w:tr>
      <w:tr>
        <w:trPr>
          <w:trHeight w:val="645"/>
        </w:trPr>
        <w:tc>
          <w:tcPr>
            <w:tcW w:w="260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15"/>
                <w:szCs w:val="15"/>
                <w:color w:val="auto"/>
              </w:rPr>
              <w:t>Page 7 of 11</w:t>
            </w:r>
          </w:p>
        </w:tc>
      </w:tr>
      <w:tr>
        <w:trPr>
          <w:trHeight w:val="89"/>
        </w:trPr>
        <w:tc>
          <w:tcPr>
            <w:tcW w:w="26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Seres Therapeutics</w:t>
            </w:r>
          </w:p>
        </w:tc>
        <w:tc>
          <w:tcPr>
            <w:tcW w:w="8880" w:type="dxa"/>
            <w:vAlign w:val="bottom"/>
          </w:tcPr>
          <w:p>
            <w:pPr>
              <w:jc w:val="right"/>
              <w:spacing w:after="0"/>
              <w:rPr>
                <w:sz w:val="20"/>
                <w:szCs w:val="20"/>
                <w:color w:val="auto"/>
              </w:rPr>
            </w:pPr>
            <w:r>
              <w:rPr>
                <w:rFonts w:ascii="Arial" w:cs="Arial" w:eastAsia="Arial" w:hAnsi="Arial"/>
                <w:sz w:val="15"/>
                <w:szCs w:val="15"/>
                <w:color w:val="auto"/>
              </w:rPr>
              <w:t>Architectural Basis Of Design</w:t>
            </w: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200 Sidney Street, Cambridge</w:t>
            </w:r>
          </w:p>
        </w:tc>
        <w:tc>
          <w:tcPr>
            <w:tcW w:w="8880" w:type="dxa"/>
            <w:vAlign w:val="bottom"/>
          </w:tcPr>
          <w:p>
            <w:pPr>
              <w:jc w:val="right"/>
              <w:spacing w:after="0"/>
              <w:rPr>
                <w:sz w:val="20"/>
                <w:szCs w:val="20"/>
                <w:color w:val="auto"/>
              </w:rPr>
            </w:pPr>
            <w:r>
              <w:rPr>
                <w:rFonts w:ascii="Arial" w:cs="Arial" w:eastAsia="Arial" w:hAnsi="Arial"/>
                <w:sz w:val="15"/>
                <w:szCs w:val="15"/>
                <w:color w:val="auto"/>
              </w:rPr>
              <w:t>REDAP Project No.15176.11</w:t>
            </w:r>
          </w:p>
        </w:tc>
      </w:tr>
      <w:tr>
        <w:trPr>
          <w:trHeight w:val="350"/>
        </w:trPr>
        <w:tc>
          <w:tcPr>
            <w:tcW w:w="2600" w:type="dxa"/>
            <w:vAlign w:val="bottom"/>
          </w:tcPr>
          <w:p>
            <w:pPr>
              <w:spacing w:after="0"/>
              <w:rPr>
                <w:sz w:val="20"/>
                <w:szCs w:val="20"/>
                <w:color w:val="auto"/>
              </w:rPr>
            </w:pPr>
            <w:r>
              <w:rPr>
                <w:rFonts w:ascii="Arial" w:cs="Arial" w:eastAsia="Arial" w:hAnsi="Arial"/>
                <w:sz w:val="15"/>
                <w:szCs w:val="15"/>
                <w:b w:val="1"/>
                <w:bCs w:val="1"/>
                <w:color w:val="auto"/>
              </w:rPr>
              <w:t>SECTION 5</w:t>
            </w:r>
          </w:p>
        </w:tc>
        <w:tc>
          <w:tcPr>
            <w:tcW w:w="8880" w:type="dxa"/>
            <w:vAlign w:val="bottom"/>
          </w:tcPr>
          <w:p>
            <w:pPr>
              <w:jc w:val="right"/>
              <w:ind w:right="7287"/>
              <w:spacing w:after="0"/>
              <w:rPr>
                <w:sz w:val="20"/>
                <w:szCs w:val="20"/>
                <w:color w:val="auto"/>
              </w:rPr>
            </w:pPr>
            <w:r>
              <w:rPr>
                <w:rFonts w:ascii="Arial" w:cs="Arial" w:eastAsia="Arial" w:hAnsi="Arial"/>
                <w:sz w:val="15"/>
                <w:szCs w:val="15"/>
                <w:b w:val="1"/>
                <w:bCs w:val="1"/>
                <w:color w:val="auto"/>
              </w:rPr>
              <w:t>Pilot Plant</w:t>
            </w:r>
          </w:p>
        </w:tc>
      </w:tr>
      <w:tr>
        <w:trPr>
          <w:trHeight w:val="645"/>
        </w:trPr>
        <w:tc>
          <w:tcPr>
            <w:tcW w:w="260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Arial" w:cs="Arial" w:eastAsia="Arial" w:hAnsi="Arial"/>
                <w:sz w:val="15"/>
                <w:szCs w:val="15"/>
                <w:color w:val="auto"/>
              </w:rPr>
              <w:t>Page 8 of 11</w:t>
            </w:r>
          </w:p>
        </w:tc>
      </w:tr>
      <w:tr>
        <w:trPr>
          <w:trHeight w:val="89"/>
        </w:trPr>
        <w:tc>
          <w:tcPr>
            <w:tcW w:w="26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color w:val="auto"/>
        </w:rPr>
        <w:t>Seres Therapeutics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200 Sidney Street, Cambridge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Architectural Basis Of Design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REDAP Project No.15176.11</w:t>
      </w:r>
    </w:p>
    <w:p>
      <w:pPr>
        <w:spacing w:after="0" w:line="197" w:lineRule="exact"/>
        <w:rPr>
          <w:sz w:val="20"/>
          <w:szCs w:val="20"/>
          <w:color w:val="auto"/>
        </w:rPr>
      </w:pPr>
    </w:p>
    <w:p>
      <w:pPr>
        <w:sectPr>
          <w:pgSz w:w="11900" w:h="16838" w:orient="portrait"/>
          <w:cols w:equalWidth="0" w:num="2">
            <w:col w:w="8980" w:space="720"/>
            <w:col w:w="1760"/>
          </w:cols>
          <w:pgMar w:left="220" w:top="129" w:right="219" w:bottom="1440" w:gutter="0" w:footer="0" w:header="0"/>
        </w:sectPr>
      </w:pPr>
    </w:p>
    <w:p>
      <w:pPr>
        <w:spacing w:after="0"/>
        <w:rPr>
          <w:sz w:val="20"/>
          <w:szCs w:val="20"/>
          <w:color w:val="auto"/>
        </w:rPr>
      </w:pPr>
      <w:r>
        <w:rPr>
          <w:rFonts w:ascii="Arial" w:cs="Arial" w:eastAsia="Arial" w:hAnsi="Arial"/>
          <w:sz w:val="14"/>
          <w:szCs w:val="14"/>
          <w:b w:val="1"/>
          <w:bCs w:val="1"/>
          <w:color w:val="auto"/>
        </w:rPr>
        <w:t>SECTION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Lab Support Spaces</w:t>
      </w:r>
    </w:p>
    <w:p>
      <w:pPr>
        <w:spacing w:after="0" w:line="216"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ind w:left="3460" w:right="80"/>
        <w:spacing w:after="0" w:line="262" w:lineRule="auto"/>
        <w:rPr>
          <w:sz w:val="20"/>
          <w:szCs w:val="20"/>
          <w:color w:val="auto"/>
        </w:rPr>
      </w:pPr>
      <w:r>
        <w:rPr>
          <w:rFonts w:ascii="Arial" w:cs="Arial" w:eastAsia="Arial" w:hAnsi="Arial"/>
          <w:sz w:val="15"/>
          <w:szCs w:val="15"/>
          <w:color w:val="auto"/>
        </w:rPr>
        <w:t>Glass Wash Room, Cryo Storage Service Corridors, Janitor’s Closets, and Receiving Area (including Offices, Sampling, Shipping Prep, and Caged Storage Areas).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ARCHITECTURAL:</w:t>
      </w:r>
    </w:p>
    <w:p>
      <w:pPr>
        <w:sectPr>
          <w:pgSz w:w="11900" w:h="16838" w:orient="portrait"/>
          <w:cols w:equalWidth="0" w:num="1">
            <w:col w:w="11460"/>
          </w:cols>
          <w:pgMar w:left="220" w:top="129" w:right="219" w:bottom="1440" w:gutter="0" w:footer="0" w:header="0"/>
          <w:type w:val="continuous"/>
        </w:sect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Flooring:</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VCT Composition Tile (VCT) shall be Mannington Commercial “Progressions”, in a 4-color pattern with 4” coved Wall Base.</w:t>
      </w:r>
    </w:p>
    <w:p>
      <w:pPr>
        <w:spacing w:after="0" w:line="200"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line="34"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Epoxy Dur-A-Quartz flooring, abrasion resistant, with integral flash cove base at Glass Wash.</w:t>
      </w:r>
    </w:p>
    <w:p>
      <w:pPr>
        <w:sectPr>
          <w:pgSz w:w="11900" w:h="16838" w:orient="portrait"/>
          <w:cols w:equalWidth="0" w:num="1">
            <w:col w:w="11460"/>
          </w:cols>
          <w:pgMar w:left="220" w:top="129" w:right="219" w:bottom="1440" w:gutter="0" w:footer="0" w:header="0"/>
          <w:type w:val="continuous"/>
        </w:sectPr>
      </w:pPr>
    </w:p>
    <w:p>
      <w:pPr>
        <w:spacing w:after="0" w:line="21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Wall Finish:</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Tenant Standard eggshell finish, latex paint – Benjamin Moore base wall paint.</w:t>
      </w:r>
    </w:p>
    <w:p>
      <w:pPr>
        <w:spacing w:after="0" w:line="200"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line="12"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Acrylic epoxy paint on moisture and mildew resistant, insulated GWB construction. Perimeter demising walls to have moisture barrier.</w:t>
      </w:r>
    </w:p>
    <w:p>
      <w:pPr>
        <w:sectPr>
          <w:pgSz w:w="11900" w:h="16838" w:orient="portrait"/>
          <w:cols w:equalWidth="0" w:num="1">
            <w:col w:w="11460"/>
          </w:cols>
          <w:pgMar w:left="220" w:top="129" w:right="219" w:bottom="1440" w:gutter="0" w:footer="0" w:header="0"/>
          <w:type w:val="continuous"/>
        </w:sectPr>
      </w:pPr>
    </w:p>
    <w:p>
      <w:pPr>
        <w:spacing w:after="0" w:line="23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Ceiling Height/Finish: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360"/>
        <w:spacing w:after="0" w:line="262" w:lineRule="auto"/>
        <w:rPr>
          <w:sz w:val="20"/>
          <w:szCs w:val="20"/>
          <w:color w:val="auto"/>
        </w:rPr>
      </w:pPr>
      <w:r>
        <w:rPr>
          <w:rFonts w:ascii="Arial" w:cs="Arial" w:eastAsia="Arial" w:hAnsi="Arial"/>
          <w:sz w:val="15"/>
          <w:szCs w:val="15"/>
          <w:color w:val="auto"/>
        </w:rPr>
        <w:t xml:space="preserve">9’-6” AFF; 2’-0” x 4’-0” x </w:t>
      </w:r>
      <w:r>
        <w:rPr>
          <w:rFonts w:ascii="Arial" w:cs="Arial" w:eastAsia="Arial" w:hAnsi="Arial"/>
          <w:sz w:val="12"/>
          <w:szCs w:val="12"/>
          <w:color w:val="auto"/>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mineral fiber, square edged, Armstrong Ultima 1913; and 15/16” Armstrong Prelude XL; insert TC ceiling at Glass Wash.</w:t>
      </w:r>
    </w:p>
    <w:p>
      <w:pPr>
        <w:spacing w:after="0" w:line="149"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ind w:left="280"/>
        <w:spacing w:after="0"/>
        <w:rPr>
          <w:sz w:val="20"/>
          <w:szCs w:val="20"/>
          <w:color w:val="auto"/>
        </w:rPr>
      </w:pPr>
      <w:r>
        <w:rPr>
          <w:rFonts w:ascii="Arial" w:cs="Arial" w:eastAsia="Arial" w:hAnsi="Arial"/>
          <w:sz w:val="12"/>
          <w:szCs w:val="12"/>
          <w:color w:val="auto"/>
        </w:rPr>
        <w:t>Door/Frame/Hardware: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Doors – solid core wood with clear finish, maple face veneers;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3’0” x 7’-0”, no lite at Janitor’s closets;</w:t>
      </w:r>
    </w:p>
    <w:p>
      <w:pPr>
        <w:spacing w:after="0" w:line="14"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ind w:left="3460"/>
        <w:spacing w:after="0"/>
        <w:rPr>
          <w:sz w:val="20"/>
          <w:szCs w:val="20"/>
          <w:color w:val="auto"/>
        </w:rPr>
      </w:pPr>
      <w:r>
        <w:rPr>
          <w:rFonts w:ascii="Arial" w:cs="Arial" w:eastAsia="Arial" w:hAnsi="Arial"/>
          <w:sz w:val="14"/>
          <w:szCs w:val="14"/>
          <w:color w:val="auto"/>
        </w:rPr>
        <w:t>3’-0” x 7’-0”, with half-lite at Offices;</w:t>
      </w:r>
    </w:p>
    <w:p>
      <w:pPr>
        <w:sectPr>
          <w:pgSz w:w="11900" w:h="16838" w:orient="portrait"/>
          <w:cols w:equalWidth="0" w:num="1">
            <w:col w:w="11460"/>
          </w:cols>
          <w:pgMar w:left="220" w:top="129" w:right="219" w:bottom="1440" w:gutter="0" w:footer="0" w:header="0"/>
          <w:type w:val="continuous"/>
        </w:sectPr>
      </w:pPr>
    </w:p>
    <w:p>
      <w:pPr>
        <w:spacing w:after="0" w:line="36"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Pair Doors –</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80"/>
        <w:spacing w:after="0" w:line="292" w:lineRule="auto"/>
        <w:rPr>
          <w:sz w:val="20"/>
          <w:szCs w:val="20"/>
          <w:color w:val="auto"/>
        </w:rPr>
      </w:pPr>
      <w:r>
        <w:rPr>
          <w:rFonts w:ascii="Arial" w:cs="Arial" w:eastAsia="Arial" w:hAnsi="Arial"/>
          <w:sz w:val="15"/>
          <w:szCs w:val="15"/>
          <w:color w:val="auto"/>
        </w:rPr>
        <w:t>3’-0” x 7’-0” and 1’-0” x 7’-0” no lite, at common corridor; 3’-0” x 7’-0” and 1’-0” x 7’-0” with half-lite at Sampling, Shipping Prep and Glass Wash.</w:t>
      </w:r>
    </w:p>
    <w:p>
      <w:pPr>
        <w:spacing w:after="0" w:line="149" w:lineRule="exact"/>
        <w:rPr>
          <w:sz w:val="20"/>
          <w:szCs w:val="20"/>
          <w:color w:val="auto"/>
        </w:rPr>
      </w:pPr>
    </w:p>
    <w:p>
      <w:pPr>
        <w:sectPr>
          <w:pgSz w:w="11900" w:h="16838" w:orient="portrait"/>
          <w:cols w:equalWidth="0" w:num="2">
            <w:col w:w="4220" w:space="720"/>
            <w:col w:w="6520"/>
          </w:cols>
          <w:pgMar w:left="220" w:top="129" w:right="219" w:bottom="1440" w:gutter="0" w:footer="0" w:header="0"/>
          <w:type w:val="continuous"/>
        </w:sectPr>
      </w:pPr>
    </w:p>
    <w:p>
      <w:pPr>
        <w:ind w:left="3460"/>
        <w:spacing w:after="0"/>
        <w:rPr>
          <w:sz w:val="20"/>
          <w:szCs w:val="20"/>
          <w:color w:val="auto"/>
        </w:rPr>
      </w:pPr>
      <w:r>
        <w:rPr>
          <w:rFonts w:ascii="Arial" w:cs="Arial" w:eastAsia="Arial" w:hAnsi="Arial"/>
          <w:sz w:val="15"/>
          <w:szCs w:val="15"/>
          <w:color w:val="auto"/>
        </w:rPr>
        <w:t>Caging with 4’-0” sliding doors at Quarantine, Reject Material and General Storage.</w:t>
      </w:r>
    </w:p>
    <w:p>
      <w:pPr>
        <w:spacing w:after="0" w:line="199"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Frames – Hollow metal, alkyd enamel paint finish.</w:t>
      </w:r>
    </w:p>
    <w:p>
      <w:pPr>
        <w:spacing w:after="0" w:line="199" w:lineRule="exact"/>
        <w:rPr>
          <w:sz w:val="20"/>
          <w:szCs w:val="20"/>
          <w:color w:val="auto"/>
        </w:rPr>
      </w:pPr>
    </w:p>
    <w:p>
      <w:pPr>
        <w:ind w:left="3460" w:right="360"/>
        <w:spacing w:after="0" w:line="252" w:lineRule="auto"/>
        <w:rPr>
          <w:sz w:val="20"/>
          <w:szCs w:val="20"/>
          <w:color w:val="auto"/>
        </w:rPr>
      </w:pPr>
      <w:r>
        <w:rPr>
          <w:rFonts w:ascii="Arial" w:cs="Arial" w:eastAsia="Arial" w:hAnsi="Arial"/>
          <w:sz w:val="15"/>
          <w:szCs w:val="15"/>
          <w:color w:val="auto"/>
        </w:rPr>
        <w:t>Hardware – Sargent 10 Line Cylindrical Lockset, B Lever Design with L Rose Design, both in finish 626 “satin chromium plated”; Hinge – Stanley standard weight ball bearing FBB179 ANSI A8112, 4-1/2” x 4-1/2” steel; Floor/Wall stop – Rockwood in satin 441/406-8 chrome finish. Closers, flush bolts, armor plate, silencers.</w:t>
      </w:r>
    </w:p>
    <w:p>
      <w:pPr>
        <w:sectPr>
          <w:pgSz w:w="11900" w:h="16838" w:orient="portrait"/>
          <w:cols w:equalWidth="0" w:num="1">
            <w:col w:w="11460"/>
          </w:cols>
          <w:pgMar w:left="220" w:top="129" w:right="219" w:bottom="1440" w:gutter="0" w:footer="0" w:header="0"/>
          <w:type w:val="continuous"/>
        </w:sectPr>
      </w:pPr>
    </w:p>
    <w:p>
      <w:pPr>
        <w:spacing w:after="0" w:line="15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Casework:</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Stainless steel sink assembly at Glass Wash, Type 304; 1 5/8” diameter; tube legs with bullet leveling feet; 1” diameter support bars at rear and sides; 24” x 18” integral sink with marine edge; 6” integral backsplash.</w:t>
      </w:r>
    </w:p>
    <w:p>
      <w:pPr>
        <w:spacing w:after="0" w:line="148"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ind w:left="3460"/>
        <w:spacing w:after="0"/>
        <w:rPr>
          <w:sz w:val="20"/>
          <w:szCs w:val="20"/>
          <w:color w:val="auto"/>
        </w:rPr>
      </w:pPr>
      <w:r>
        <w:rPr>
          <w:rFonts w:ascii="Arial" w:cs="Arial" w:eastAsia="Arial" w:hAnsi="Arial"/>
          <w:sz w:val="12"/>
          <w:szCs w:val="12"/>
          <w:color w:val="auto"/>
        </w:rPr>
        <w:t>Modular Tables at Receiving/Shipping, per previous.</w:t>
      </w:r>
    </w:p>
    <w:p>
      <w:pPr>
        <w:sectPr>
          <w:pgSz w:w="11900" w:h="16838" w:orient="portrait"/>
          <w:cols w:equalWidth="0" w:num="1">
            <w:col w:w="11460"/>
          </w:cols>
          <w:pgMar w:left="220" w:top="129" w:right="21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EQUIPMENT: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Two (2) Steam Autoclaves, Full Height Glass Wash and undercounter Glass Wash at Glass Wash Room.</w:t>
      </w:r>
    </w:p>
    <w:p>
      <w:pPr>
        <w:spacing w:after="0" w:line="219"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31202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5"/>
          <w:szCs w:val="15"/>
          <w:color w:val="auto"/>
        </w:rPr>
        <w:t>Seres Therapeutics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200 Sidney Street, Cambridge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Architectural Basis Of Design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REDAP Project No.15176.11</w:t>
      </w:r>
    </w:p>
    <w:p>
      <w:pPr>
        <w:spacing w:after="0" w:line="197" w:lineRule="exact"/>
        <w:rPr>
          <w:sz w:val="20"/>
          <w:szCs w:val="20"/>
          <w:color w:val="auto"/>
        </w:rPr>
      </w:pPr>
    </w:p>
    <w:p>
      <w:pPr>
        <w:sectPr>
          <w:pgSz w:w="11900" w:h="16838" w:orient="portrait"/>
          <w:cols w:equalWidth="0" w:num="2">
            <w:col w:w="8980" w:space="720"/>
            <w:col w:w="1760"/>
          </w:cols>
          <w:pgMar w:left="220" w:top="129" w:right="219" w:bottom="1440" w:gutter="0" w:footer="0" w:header="0"/>
        </w:sectPr>
      </w:pPr>
    </w:p>
    <w:p>
      <w:pPr>
        <w:spacing w:after="0"/>
        <w:rPr>
          <w:sz w:val="20"/>
          <w:szCs w:val="20"/>
          <w:color w:val="auto"/>
        </w:rPr>
      </w:pPr>
      <w:r>
        <w:rPr>
          <w:rFonts w:ascii="Arial" w:cs="Arial" w:eastAsia="Arial" w:hAnsi="Arial"/>
          <w:sz w:val="14"/>
          <w:szCs w:val="14"/>
          <w:b w:val="1"/>
          <w:bCs w:val="1"/>
          <w:color w:val="auto"/>
        </w:rPr>
        <w:t>SECTION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Basement Storage Areas</w:t>
      </w:r>
    </w:p>
    <w:p>
      <w:pPr>
        <w:spacing w:after="0" w:line="212"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ARCHITECTURAL:</w:t>
      </w:r>
    </w:p>
    <w:p>
      <w:pPr>
        <w:sectPr>
          <w:pgSz w:w="11900" w:h="16838" w:orient="portrait"/>
          <w:cols w:equalWidth="0" w:num="1">
            <w:col w:w="11460"/>
          </w:cols>
          <w:pgMar w:left="220" w:top="129" w:right="219" w:bottom="1440" w:gutter="0" w:footer="0" w:header="0"/>
          <w:type w:val="continuous"/>
        </w:sectPr>
      </w:pPr>
    </w:p>
    <w:p>
      <w:pPr>
        <w:spacing w:after="0" w:line="20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Flooring:</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189"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ind w:left="300"/>
        <w:spacing w:after="0"/>
        <w:rPr>
          <w:sz w:val="20"/>
          <w:szCs w:val="20"/>
          <w:color w:val="auto"/>
        </w:rPr>
      </w:pPr>
      <w:r>
        <w:rPr>
          <w:rFonts w:ascii="Arial" w:cs="Arial" w:eastAsia="Arial" w:hAnsi="Arial"/>
          <w:sz w:val="12"/>
          <w:szCs w:val="12"/>
          <w:color w:val="auto"/>
        </w:rPr>
        <w:t>Wall Finish: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Caging System: varied heights due to existing pipe, conduit and beam obstructions.</w:t>
      </w:r>
    </w:p>
    <w:p>
      <w:pPr>
        <w:spacing w:after="0" w:line="200"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Ceiling Height/Finish:</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189"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ind w:left="280"/>
        <w:spacing w:after="0"/>
        <w:rPr>
          <w:sz w:val="20"/>
          <w:szCs w:val="20"/>
          <w:color w:val="auto"/>
        </w:rPr>
      </w:pPr>
      <w:r>
        <w:rPr>
          <w:rFonts w:ascii="Arial" w:cs="Arial" w:eastAsia="Arial" w:hAnsi="Arial"/>
          <w:sz w:val="12"/>
          <w:szCs w:val="12"/>
          <w:color w:val="auto"/>
        </w:rPr>
        <w:t>Door/Frame/Hardware: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Caging with 4’-0” sliding doors at Quarantine, Reject Material and General Storage.</w:t>
      </w:r>
    </w:p>
    <w:p>
      <w:pPr>
        <w:spacing w:after="0" w:line="200"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EQUIPMENT: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Power and Data Drops in support of Server Racks (by Tenant), refrigerator, freezers and mechanical equipment.</w:t>
      </w:r>
    </w:p>
    <w:p>
      <w:pPr>
        <w:spacing w:after="0" w:line="219" w:lineRule="exact"/>
        <w:rPr>
          <w:sz w:val="20"/>
          <w:szCs w:val="20"/>
          <w:color w:val="auto"/>
        </w:rPr>
      </w:pPr>
    </w:p>
    <w:p>
      <w:pPr>
        <w:sectPr>
          <w:pgSz w:w="11900" w:h="16838" w:orient="portrait"/>
          <w:cols w:equalWidth="0" w:num="2">
            <w:col w:w="2740" w:space="720"/>
            <w:col w:w="8000"/>
          </w:cols>
          <w:pgMar w:left="220" w:top="12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31202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14"/>
          <w:szCs w:val="14"/>
          <w:color w:val="auto"/>
        </w:rPr>
        <w:t>200 Sidney Street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Seres Therapeutics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Tenant Improvement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 Sidney Street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Cambridge, MA</w:t>
      </w:r>
    </w:p>
    <w:p>
      <w:pPr>
        <w:spacing w:after="0" w:line="283" w:lineRule="exact"/>
        <w:rPr>
          <w:sz w:val="20"/>
          <w:szCs w:val="20"/>
          <w:color w:val="auto"/>
        </w:rPr>
      </w:pPr>
    </w:p>
    <w:p>
      <w:pPr>
        <w:ind w:left="4840"/>
        <w:spacing w:after="0"/>
        <w:rPr>
          <w:sz w:val="20"/>
          <w:szCs w:val="20"/>
          <w:color w:val="auto"/>
        </w:rPr>
      </w:pPr>
      <w:r>
        <w:rPr>
          <w:rFonts w:ascii="Arial" w:cs="Arial" w:eastAsia="Arial" w:hAnsi="Arial"/>
          <w:sz w:val="26"/>
          <w:szCs w:val="26"/>
          <w:color w:val="auto"/>
        </w:rPr>
        <w:t>Office/Lab/ACF</w:t>
      </w:r>
    </w:p>
    <w:p>
      <w:pPr>
        <w:spacing w:after="0" w:line="7" w:lineRule="exact"/>
        <w:rPr>
          <w:sz w:val="20"/>
          <w:szCs w:val="20"/>
          <w:color w:val="auto"/>
        </w:rPr>
      </w:pPr>
    </w:p>
    <w:p>
      <w:pPr>
        <w:ind w:left="4820"/>
        <w:spacing w:after="0"/>
        <w:rPr>
          <w:sz w:val="20"/>
          <w:szCs w:val="20"/>
          <w:color w:val="auto"/>
        </w:rPr>
      </w:pPr>
      <w:r>
        <w:rPr>
          <w:rFonts w:ascii="Arial" w:cs="Arial" w:eastAsia="Arial" w:hAnsi="Arial"/>
          <w:sz w:val="26"/>
          <w:szCs w:val="26"/>
          <w:color w:val="auto"/>
        </w:rPr>
        <w:t>Basis of Design</w:t>
      </w:r>
    </w:p>
    <w:p>
      <w:pPr>
        <w:spacing w:after="0" w:line="7" w:lineRule="exact"/>
        <w:rPr>
          <w:sz w:val="20"/>
          <w:szCs w:val="20"/>
          <w:color w:val="auto"/>
        </w:rPr>
      </w:pPr>
    </w:p>
    <w:p>
      <w:pPr>
        <w:ind w:left="4760"/>
        <w:spacing w:after="0"/>
        <w:rPr>
          <w:sz w:val="20"/>
          <w:szCs w:val="20"/>
          <w:color w:val="auto"/>
        </w:rPr>
      </w:pPr>
      <w:r>
        <w:rPr>
          <w:rFonts w:ascii="Arial" w:cs="Arial" w:eastAsia="Arial" w:hAnsi="Arial"/>
          <w:sz w:val="26"/>
          <w:szCs w:val="26"/>
          <w:color w:val="auto"/>
        </w:rPr>
        <w:t>Draft 10.08.2015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244475</wp:posOffset>
            </wp:positionV>
            <wp:extent cx="2236470" cy="128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364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Lexington, MA | Cambridge, MA | Atlanta, GA | Washington, DC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24 Hartwell Avenue, Third Floor | Lexington, MA 02421</w:t>
      </w:r>
    </w:p>
    <w:p>
      <w:pPr>
        <w:spacing w:after="0" w:line="1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781-372-3000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173"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ind w:left="380"/>
        <w:spacing w:after="0"/>
        <w:rPr>
          <w:sz w:val="20"/>
          <w:szCs w:val="20"/>
          <w:color w:val="auto"/>
        </w:rPr>
      </w:pPr>
      <w:r>
        <w:rPr>
          <w:rFonts w:ascii="Arial" w:cs="Arial" w:eastAsia="Arial" w:hAnsi="Arial"/>
          <w:sz w:val="18"/>
          <w:szCs w:val="18"/>
          <w:color w:val="auto"/>
        </w:rPr>
        <w:t>Based on 8th Edition, Massachusetts Building Code</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Fire Protection</w:t>
      </w:r>
    </w:p>
    <w:p>
      <w:pPr>
        <w:spacing w:after="0" w:line="187" w:lineRule="exact"/>
        <w:rPr>
          <w:sz w:val="20"/>
          <w:szCs w:val="20"/>
          <w:color w:val="auto"/>
        </w:rPr>
      </w:pPr>
    </w:p>
    <w:p>
      <w:pPr>
        <w:ind w:left="780" w:right="680"/>
        <w:spacing w:after="0" w:line="236" w:lineRule="auto"/>
        <w:rPr>
          <w:sz w:val="20"/>
          <w:szCs w:val="20"/>
          <w:color w:val="auto"/>
        </w:rPr>
      </w:pPr>
      <w:r>
        <w:rPr>
          <w:rFonts w:ascii="Arial" w:cs="Arial" w:eastAsia="Arial" w:hAnsi="Arial"/>
          <w:sz w:val="18"/>
          <w:szCs w:val="18"/>
          <w:color w:val="auto"/>
        </w:rPr>
        <w:t>The building is provided with an existing automatic wet-pipe sprinkler protection and automatic wet standpipes in accordance with 780CMR, and NFPA 13. An existing fire pump serves the standpipe and sprinkler systems for the building.</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system design shall include the tenant area coverage shall have concealed sprinkler heads.</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Fire Protection design shall be based upon the following NFPA 13 criteria:</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Procedure Rooms and Holding Rooms (without fume hoods), hallways, holding, gowning and cage prep: Light Hazard</w:t>
      </w:r>
    </w:p>
    <w:p>
      <w:pPr>
        <w:spacing w:after="0" w:line="165" w:lineRule="exact"/>
        <w:rPr>
          <w:sz w:val="20"/>
          <w:szCs w:val="20"/>
          <w:color w:val="auto"/>
        </w:rPr>
      </w:pPr>
    </w:p>
    <w:p>
      <w:pPr>
        <w:ind w:left="780"/>
        <w:spacing w:after="0"/>
        <w:tabs>
          <w:tab w:leader="none" w:pos="8200" w:val="left"/>
        </w:tabs>
        <w:rPr>
          <w:sz w:val="20"/>
          <w:szCs w:val="20"/>
          <w:color w:val="auto"/>
        </w:rPr>
      </w:pPr>
      <w:r>
        <w:rPr>
          <w:rFonts w:ascii="Arial" w:cs="Arial" w:eastAsia="Arial" w:hAnsi="Arial"/>
          <w:sz w:val="18"/>
          <w:szCs w:val="18"/>
          <w:color w:val="auto"/>
        </w:rPr>
        <w:t>Procedure rooms and Holding Rooms (with fume hoods), storage rooms, and receiving rooms:</w:t>
      </w:r>
      <w:r>
        <w:rPr>
          <w:sz w:val="20"/>
          <w:szCs w:val="20"/>
          <w:color w:val="auto"/>
        </w:rPr>
        <w:tab/>
      </w:r>
      <w:r>
        <w:rPr>
          <w:rFonts w:ascii="Arial" w:cs="Arial" w:eastAsia="Arial" w:hAnsi="Arial"/>
          <w:sz w:val="16"/>
          <w:szCs w:val="16"/>
          <w:color w:val="auto"/>
        </w:rPr>
        <w:t>Ordinary Hazard Group 1</w:t>
      </w:r>
    </w:p>
    <w:p>
      <w:pPr>
        <w:spacing w:after="0" w:line="165" w:lineRule="exact"/>
        <w:rPr>
          <w:sz w:val="20"/>
          <w:szCs w:val="20"/>
          <w:color w:val="auto"/>
        </w:rPr>
      </w:pPr>
    </w:p>
    <w:p>
      <w:pPr>
        <w:ind w:left="780" w:right="20"/>
        <w:spacing w:after="0" w:line="233" w:lineRule="auto"/>
        <w:rPr>
          <w:sz w:val="20"/>
          <w:szCs w:val="20"/>
          <w:color w:val="auto"/>
        </w:rPr>
      </w:pPr>
      <w:r>
        <w:rPr>
          <w:rFonts w:ascii="Arial" w:cs="Arial" w:eastAsia="Arial" w:hAnsi="Arial"/>
          <w:sz w:val="18"/>
          <w:szCs w:val="18"/>
          <w:color w:val="auto"/>
        </w:rPr>
        <w:t>Automatic sprinkler systems in areas of Light Hazard Occupancy are designed with a minimum design density of .10 GPM per square foot over the hydraulically most remote 1500 square feet. Maximum protection area per sprinkler head shall be 225 square feet for upright and pendent sprinkler heads. Hose allowance shall be 100 GPM.</w:t>
      </w:r>
    </w:p>
    <w:p>
      <w:pPr>
        <w:spacing w:after="0" w:line="163" w:lineRule="exact"/>
        <w:rPr>
          <w:sz w:val="20"/>
          <w:szCs w:val="20"/>
          <w:color w:val="auto"/>
        </w:rPr>
      </w:pPr>
    </w:p>
    <w:p>
      <w:pPr>
        <w:ind w:left="780" w:right="20"/>
        <w:spacing w:after="0" w:line="233" w:lineRule="auto"/>
        <w:rPr>
          <w:sz w:val="20"/>
          <w:szCs w:val="20"/>
          <w:color w:val="auto"/>
        </w:rPr>
      </w:pPr>
      <w:r>
        <w:rPr>
          <w:rFonts w:ascii="Arial" w:cs="Arial" w:eastAsia="Arial" w:hAnsi="Arial"/>
          <w:sz w:val="18"/>
          <w:szCs w:val="18"/>
          <w:color w:val="auto"/>
        </w:rPr>
        <w:t>Automatic sprinkler systems in areas of Ordinary Hazard Group I Occupancy are designed with a minimum design density of .15 GPM per square foot over the hydraulically most remote 1500 square feet. Maximum protection area per sprinkler head shall be 130 square feet for upright and pendent sprinkler heads. Hose allowance shall be 250 GPM.</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specialty fire suppression systems are provided</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Plumbing</w:t>
      </w:r>
    </w:p>
    <w:p>
      <w:pPr>
        <w:spacing w:after="0" w:line="187" w:lineRule="exact"/>
        <w:rPr>
          <w:sz w:val="20"/>
          <w:szCs w:val="20"/>
          <w:color w:val="auto"/>
        </w:rPr>
      </w:pPr>
    </w:p>
    <w:p>
      <w:pPr>
        <w:ind w:left="780" w:right="420"/>
        <w:spacing w:after="0" w:line="233" w:lineRule="auto"/>
        <w:rPr>
          <w:sz w:val="20"/>
          <w:szCs w:val="20"/>
          <w:color w:val="auto"/>
        </w:rPr>
      </w:pPr>
      <w:r>
        <w:rPr>
          <w:rFonts w:ascii="Arial" w:cs="Arial" w:eastAsia="Arial" w:hAnsi="Arial"/>
          <w:sz w:val="18"/>
          <w:szCs w:val="18"/>
          <w:color w:val="auto"/>
        </w:rPr>
        <w:t>RO, potable and non-potable water (hot &amp; cold, vacuum, compressed air, and tempered water systems shall be provided by the base building. Tenant shall connect to existing distribution without tenant space and re-route distribution piping to suit new lab areas, lab benches, hoods and ceiling panels per the equipment matrix.</w:t>
      </w:r>
    </w:p>
    <w:p>
      <w:pPr>
        <w:spacing w:after="0" w:line="163" w:lineRule="exact"/>
        <w:rPr>
          <w:sz w:val="20"/>
          <w:szCs w:val="20"/>
          <w:color w:val="auto"/>
        </w:rPr>
      </w:pPr>
    </w:p>
    <w:p>
      <w:pPr>
        <w:ind w:left="780" w:right="40"/>
        <w:spacing w:after="0" w:line="236" w:lineRule="auto"/>
        <w:rPr>
          <w:sz w:val="20"/>
          <w:szCs w:val="20"/>
          <w:color w:val="auto"/>
        </w:rPr>
      </w:pPr>
      <w:r>
        <w:rPr>
          <w:rFonts w:ascii="Arial" w:cs="Arial" w:eastAsia="Arial" w:hAnsi="Arial"/>
          <w:sz w:val="18"/>
          <w:szCs w:val="18"/>
          <w:color w:val="auto"/>
        </w:rPr>
        <w:t>The existing dual stage pH neutralization system shall be as currently provided by the base building with existing risers. Tenant shall route new distribution piping to existing risers and connect with a sample testing trap configuration prior to connection to risers.</w:t>
      </w:r>
    </w:p>
    <w:p>
      <w:pPr>
        <w:spacing w:after="0" w:line="162" w:lineRule="exact"/>
        <w:rPr>
          <w:sz w:val="20"/>
          <w:szCs w:val="20"/>
          <w:color w:val="auto"/>
        </w:rPr>
      </w:pPr>
    </w:p>
    <w:p>
      <w:pPr>
        <w:ind w:left="780" w:right="40"/>
        <w:spacing w:after="0" w:line="236" w:lineRule="auto"/>
        <w:rPr>
          <w:sz w:val="20"/>
          <w:szCs w:val="20"/>
          <w:color w:val="auto"/>
        </w:rPr>
      </w:pPr>
      <w:r>
        <w:rPr>
          <w:rFonts w:ascii="Arial" w:cs="Arial" w:eastAsia="Arial" w:hAnsi="Arial"/>
          <w:sz w:val="18"/>
          <w:szCs w:val="18"/>
          <w:color w:val="auto"/>
        </w:rPr>
        <w:t>Tenant shall be responsible for specialty gas systems (N2, CO2, etc) with distribution piping routed to locations indicated in the equipment matrix. Specialty gas vendor shall provide tanks. Manifolds will part of the distribution system.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 of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137" w:lineRule="exact"/>
        <w:rPr>
          <w:sz w:val="20"/>
          <w:szCs w:val="20"/>
          <w:color w:val="auto"/>
        </w:rPr>
      </w:pPr>
    </w:p>
    <w:p>
      <w:pPr>
        <w:ind w:left="780" w:right="60"/>
        <w:spacing w:after="0" w:line="236" w:lineRule="auto"/>
        <w:rPr>
          <w:sz w:val="20"/>
          <w:szCs w:val="20"/>
          <w:color w:val="auto"/>
        </w:rPr>
      </w:pPr>
      <w:r>
        <w:rPr>
          <w:rFonts w:ascii="Arial" w:cs="Arial" w:eastAsia="Arial" w:hAnsi="Arial"/>
          <w:sz w:val="18"/>
          <w:szCs w:val="18"/>
          <w:color w:val="auto"/>
        </w:rPr>
        <w:t>Office area kitchenette will have domestic cold water, waste and vent connected to existing building services. Hot water will be generated by a point of use heater below the sink or above ceiling depending on whether a dishwasher is provided in space.</w:t>
      </w:r>
    </w:p>
    <w:p>
      <w:pPr>
        <w:spacing w:after="0" w:line="162" w:lineRule="exact"/>
        <w:rPr>
          <w:sz w:val="20"/>
          <w:szCs w:val="20"/>
          <w:color w:val="auto"/>
        </w:rPr>
      </w:pPr>
    </w:p>
    <w:p>
      <w:pPr>
        <w:ind w:left="780" w:right="160"/>
        <w:spacing w:after="0" w:line="236" w:lineRule="auto"/>
        <w:rPr>
          <w:sz w:val="20"/>
          <w:szCs w:val="20"/>
          <w:color w:val="auto"/>
        </w:rPr>
      </w:pPr>
      <w:r>
        <w:rPr>
          <w:rFonts w:ascii="Arial" w:cs="Arial" w:eastAsia="Arial" w:hAnsi="Arial"/>
          <w:sz w:val="18"/>
          <w:szCs w:val="18"/>
          <w:color w:val="auto"/>
        </w:rPr>
        <w:t>Non-potable hot water is generated by base building duplex gas fired water heaters located in the penthouse mechanical room and shall serve all laboratory sinks and equipment throughout the tenant space.</w:t>
      </w:r>
    </w:p>
    <w:p>
      <w:pPr>
        <w:spacing w:after="0" w:line="162" w:lineRule="exact"/>
        <w:rPr>
          <w:sz w:val="20"/>
          <w:szCs w:val="20"/>
          <w:color w:val="auto"/>
        </w:rPr>
      </w:pPr>
    </w:p>
    <w:p>
      <w:pPr>
        <w:ind w:left="780" w:right="300"/>
        <w:spacing w:after="0" w:line="236" w:lineRule="auto"/>
        <w:rPr>
          <w:sz w:val="20"/>
          <w:szCs w:val="20"/>
          <w:color w:val="auto"/>
        </w:rPr>
      </w:pPr>
      <w:r>
        <w:rPr>
          <w:rFonts w:ascii="Arial" w:cs="Arial" w:eastAsia="Arial" w:hAnsi="Arial"/>
          <w:sz w:val="18"/>
          <w:szCs w:val="18"/>
          <w:color w:val="auto"/>
        </w:rPr>
        <w:t>Floor drains shall be provided at all new equipment requiring drains such as ice makers, glass washers, autoclaves, steam generators, etc.</w:t>
      </w:r>
    </w:p>
    <w:p>
      <w:pPr>
        <w:spacing w:after="0" w:line="162" w:lineRule="exact"/>
        <w:rPr>
          <w:sz w:val="20"/>
          <w:szCs w:val="20"/>
          <w:color w:val="auto"/>
        </w:rPr>
      </w:pPr>
    </w:p>
    <w:p>
      <w:pPr>
        <w:ind w:left="780" w:right="20"/>
        <w:spacing w:after="0" w:line="232" w:lineRule="auto"/>
        <w:rPr>
          <w:sz w:val="20"/>
          <w:szCs w:val="20"/>
          <w:color w:val="auto"/>
        </w:rPr>
      </w:pPr>
      <w:r>
        <w:rPr>
          <w:rFonts w:ascii="Arial" w:cs="Arial" w:eastAsia="Arial" w:hAnsi="Arial"/>
          <w:sz w:val="18"/>
          <w:szCs w:val="18"/>
          <w:color w:val="auto"/>
        </w:rPr>
        <w:t>RO shall be piped to the humidification units serving the ACF Area. All new RO piping shall be installed in a continuous loop, with no dead legs. Piping shall match existing polypropylene material, shall be joined utilizing socket weld joints, and shall be continuously supported to ensure no trapped sections of piping. All piping shall be installed with a positive pitch to allow all section to drain back to risers or sink outlets.</w:t>
      </w:r>
    </w:p>
    <w:p>
      <w:pPr>
        <w:spacing w:after="0" w:line="162" w:lineRule="exact"/>
        <w:rPr>
          <w:sz w:val="20"/>
          <w:szCs w:val="20"/>
          <w:color w:val="auto"/>
        </w:rPr>
      </w:pPr>
    </w:p>
    <w:p>
      <w:pPr>
        <w:ind w:left="780" w:right="200"/>
        <w:spacing w:after="0" w:line="236" w:lineRule="auto"/>
        <w:rPr>
          <w:sz w:val="20"/>
          <w:szCs w:val="20"/>
          <w:color w:val="auto"/>
        </w:rPr>
      </w:pPr>
      <w:r>
        <w:rPr>
          <w:rFonts w:ascii="Arial" w:cs="Arial" w:eastAsia="Arial" w:hAnsi="Arial"/>
          <w:sz w:val="18"/>
          <w:szCs w:val="18"/>
          <w:color w:val="auto"/>
        </w:rPr>
        <w:t>ACF sinks in the receiving and gowning rooms shall be piped to the building sanitary drainage &amp; vent system, sinks in procedure room’s connection to the lab waste/vent system with a sampling port.</w:t>
      </w:r>
    </w:p>
    <w:p>
      <w:pPr>
        <w:spacing w:after="0" w:line="162" w:lineRule="exact"/>
        <w:rPr>
          <w:sz w:val="20"/>
          <w:szCs w:val="20"/>
          <w:color w:val="auto"/>
        </w:rPr>
      </w:pPr>
    </w:p>
    <w:p>
      <w:pPr>
        <w:ind w:left="780" w:right="100"/>
        <w:spacing w:after="0" w:line="232" w:lineRule="auto"/>
        <w:rPr>
          <w:sz w:val="20"/>
          <w:szCs w:val="20"/>
          <w:color w:val="auto"/>
        </w:rPr>
      </w:pPr>
      <w:r>
        <w:rPr>
          <w:rFonts w:ascii="Arial" w:cs="Arial" w:eastAsia="Arial" w:hAnsi="Arial"/>
          <w:sz w:val="18"/>
          <w:szCs w:val="18"/>
          <w:color w:val="auto"/>
        </w:rPr>
        <w:t>Cage wash and autoclave equipment shall have self-contained electric steam generators with cool down tanks. A separate cold water connection with connected temperature sensor in the floor drain trap shall be provided to protect against cool down system failure, and to prevent the discharge of water in excess of 140 degrees F into the plumbing drainage system in accordance with the MA State Plumbing Code.</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HVAC</w:t>
      </w:r>
    </w:p>
    <w:p>
      <w:pPr>
        <w:spacing w:after="0" w:line="187" w:lineRule="exact"/>
        <w:rPr>
          <w:sz w:val="20"/>
          <w:szCs w:val="20"/>
          <w:color w:val="auto"/>
        </w:rPr>
      </w:pPr>
    </w:p>
    <w:p>
      <w:pPr>
        <w:ind w:left="780" w:right="60"/>
        <w:spacing w:after="0" w:line="233" w:lineRule="auto"/>
        <w:rPr>
          <w:sz w:val="20"/>
          <w:szCs w:val="20"/>
          <w:color w:val="auto"/>
        </w:rPr>
      </w:pPr>
      <w:r>
        <w:rPr>
          <w:rFonts w:ascii="Arial" w:cs="Arial" w:eastAsia="Arial" w:hAnsi="Arial"/>
          <w:sz w:val="18"/>
          <w:szCs w:val="18"/>
          <w:color w:val="auto"/>
        </w:rPr>
        <w:t>Equipment from the base building is sized to adequately maintain a cooling temperature within the Tenant areas of an inside condition of 75ºF, dry bulb at 50% relative humidity; with outside condition of 91ºF dry bulb and 74ºF wet bulb during summer and 72ºF dry bulb inside at zero degree dry bulb outside during the winter.</w:t>
      </w:r>
    </w:p>
    <w:p>
      <w:pPr>
        <w:spacing w:after="0" w:line="163" w:lineRule="exact"/>
        <w:rPr>
          <w:sz w:val="20"/>
          <w:szCs w:val="20"/>
          <w:color w:val="auto"/>
        </w:rPr>
      </w:pPr>
    </w:p>
    <w:p>
      <w:pPr>
        <w:ind w:left="780" w:right="300"/>
        <w:spacing w:after="0" w:line="236" w:lineRule="auto"/>
        <w:rPr>
          <w:sz w:val="20"/>
          <w:szCs w:val="20"/>
          <w:color w:val="auto"/>
        </w:rPr>
      </w:pPr>
      <w:r>
        <w:rPr>
          <w:rFonts w:ascii="Arial" w:cs="Arial" w:eastAsia="Arial" w:hAnsi="Arial"/>
          <w:sz w:val="18"/>
          <w:szCs w:val="18"/>
          <w:color w:val="auto"/>
        </w:rPr>
        <w:t>The allowance for occupancy density for air conditioning design is one (1) person for 400 square feet of lab and one (1) person for 200 square feet of office.</w:t>
      </w:r>
    </w:p>
    <w:p>
      <w:pPr>
        <w:spacing w:after="0" w:line="162" w:lineRule="exact"/>
        <w:rPr>
          <w:sz w:val="20"/>
          <w:szCs w:val="20"/>
          <w:color w:val="auto"/>
        </w:rPr>
      </w:pPr>
    </w:p>
    <w:p>
      <w:pPr>
        <w:ind w:left="780" w:right="200"/>
        <w:spacing w:after="0" w:line="236" w:lineRule="auto"/>
        <w:rPr>
          <w:sz w:val="20"/>
          <w:szCs w:val="20"/>
          <w:color w:val="auto"/>
        </w:rPr>
      </w:pPr>
      <w:r>
        <w:rPr>
          <w:rFonts w:ascii="Arial" w:cs="Arial" w:eastAsia="Arial" w:hAnsi="Arial"/>
          <w:sz w:val="18"/>
          <w:szCs w:val="18"/>
          <w:color w:val="auto"/>
        </w:rPr>
        <w:t>Air flow from the base building system for the lab area is a variable air volume system with supply and exhaust air capacity at a rate of 2 CFM/SF.</w:t>
      </w:r>
    </w:p>
    <w:p>
      <w:pPr>
        <w:spacing w:after="0" w:line="162" w:lineRule="exact"/>
        <w:rPr>
          <w:sz w:val="20"/>
          <w:szCs w:val="20"/>
          <w:color w:val="auto"/>
        </w:rPr>
      </w:pPr>
    </w:p>
    <w:p>
      <w:pPr>
        <w:ind w:left="780" w:right="420"/>
        <w:spacing w:after="0" w:line="236" w:lineRule="auto"/>
        <w:rPr>
          <w:sz w:val="20"/>
          <w:szCs w:val="20"/>
          <w:color w:val="auto"/>
        </w:rPr>
      </w:pPr>
      <w:r>
        <w:rPr>
          <w:rFonts w:ascii="Arial" w:cs="Arial" w:eastAsia="Arial" w:hAnsi="Arial"/>
          <w:sz w:val="18"/>
          <w:szCs w:val="18"/>
          <w:color w:val="auto"/>
        </w:rPr>
        <w:t>Air flow from the base building system for the office area is a variable air volume, with a plenum return system with a capacity of 1.25 CFM/SF.</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Hot water shall be piped to all variable air volume units from the base building distribution system.</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Variable air terminal unit shall serve the IT/Data Room.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3 of 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13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main server room will have a split system air conditioning unit on generator power to operate under normal and generator conditions.</w:t>
      </w:r>
    </w:p>
    <w:p>
      <w:pPr>
        <w:spacing w:after="0" w:line="1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air cooled condensing unit will be located toward the loading dock area.</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Existing cold rooms shall be storage only, and will not require any additional ventilation.</w:t>
      </w:r>
    </w:p>
    <w:p>
      <w:pPr>
        <w:spacing w:after="0" w:line="165" w:lineRule="exact"/>
        <w:rPr>
          <w:sz w:val="20"/>
          <w:szCs w:val="20"/>
          <w:color w:val="auto"/>
        </w:rPr>
      </w:pPr>
    </w:p>
    <w:p>
      <w:pPr>
        <w:ind w:left="780" w:right="80"/>
        <w:spacing w:after="0" w:line="233" w:lineRule="auto"/>
        <w:rPr>
          <w:sz w:val="20"/>
          <w:szCs w:val="20"/>
          <w:color w:val="auto"/>
        </w:rPr>
      </w:pPr>
      <w:r>
        <w:rPr>
          <w:rFonts w:ascii="Arial" w:cs="Arial" w:eastAsia="Arial" w:hAnsi="Arial"/>
          <w:sz w:val="18"/>
          <w:szCs w:val="18"/>
          <w:color w:val="auto"/>
        </w:rPr>
        <w:t>BSC’s which are 60% exhausted will be ducted into the general exhaust system thru a constant flow terminal unit. BSC’s which are 100% exhausted will ducted to the general exhaust system thru a booster fan and constant flow terminal unit. The BSC’s which are 100% exhausted will be combined where possible on a single booster fan.</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Six foot fume hoods shall be constant type rated at 100 FPM face velocity at 18 inch sash height opening (785 CFM/hood).</w:t>
      </w:r>
    </w:p>
    <w:p>
      <w:pPr>
        <w:spacing w:after="0" w:line="153" w:lineRule="exact"/>
        <w:rPr>
          <w:sz w:val="20"/>
          <w:szCs w:val="20"/>
          <w:color w:val="auto"/>
        </w:rPr>
      </w:pPr>
    </w:p>
    <w:p>
      <w:pPr>
        <w:ind w:left="780" w:right="60"/>
        <w:spacing w:after="0" w:line="235" w:lineRule="auto"/>
        <w:rPr>
          <w:sz w:val="20"/>
          <w:szCs w:val="20"/>
          <w:color w:val="auto"/>
        </w:rPr>
      </w:pPr>
      <w:r>
        <w:rPr>
          <w:rFonts w:ascii="Arial" w:cs="Arial" w:eastAsia="Arial" w:hAnsi="Arial"/>
          <w:sz w:val="18"/>
          <w:szCs w:val="18"/>
          <w:color w:val="auto"/>
        </w:rPr>
        <w:t>ACF Area shall be designated for 72° ± 2° dry bulb, 40% (winter) to 55% (summer) RH range in the holding rooms and 72°± 2° dry bulb, 25% (winter) to 55% (summer) RH in the remaining rooms. Constant flow terminal units shall be connected to the base building supply air system with an independent tenant exhaust air system with dual fans. Each fan will be rated for 55% capacity of the total system, with both fans operating during normal and generator power conditions.</w:t>
      </w:r>
    </w:p>
    <w:p>
      <w:pPr>
        <w:spacing w:after="0" w:line="163" w:lineRule="exact"/>
        <w:rPr>
          <w:sz w:val="20"/>
          <w:szCs w:val="20"/>
          <w:color w:val="auto"/>
        </w:rPr>
      </w:pPr>
    </w:p>
    <w:p>
      <w:pPr>
        <w:ind w:left="1520" w:hanging="375"/>
        <w:spacing w:after="0"/>
        <w:tabs>
          <w:tab w:leader="none" w:pos="1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Procedure rooms with and without hoods shall have a minimum of 10 air changes per hour.</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Holding rooms with and without hoods shall a minimum of 15 air changes per hour.</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other rooms and corridors will be balanced to maintain pressure relationships per air flow diagram.</w:t>
      </w:r>
    </w:p>
    <w:p>
      <w:pPr>
        <w:spacing w:after="0" w:line="165" w:lineRule="exact"/>
        <w:rPr>
          <w:sz w:val="20"/>
          <w:szCs w:val="20"/>
          <w:color w:val="auto"/>
        </w:rPr>
      </w:pPr>
    </w:p>
    <w:p>
      <w:pPr>
        <w:ind w:left="780" w:right="80"/>
        <w:spacing w:after="0" w:line="232" w:lineRule="auto"/>
        <w:rPr>
          <w:sz w:val="20"/>
          <w:szCs w:val="20"/>
          <w:color w:val="auto"/>
        </w:rPr>
      </w:pPr>
      <w:r>
        <w:rPr>
          <w:rFonts w:ascii="Arial" w:cs="Arial" w:eastAsia="Arial" w:hAnsi="Arial"/>
          <w:sz w:val="18"/>
          <w:szCs w:val="18"/>
          <w:color w:val="auto"/>
        </w:rPr>
        <w:t>A 5 ton split system air conditioning unit with 20 KW electric heating coil shall be cross connected into the ACF Area ductwork distribution system with dampers to provide stand – by conditions for the holding rooms only. Air handling unit shall be located in the basement and connected to an intake plenum with refrigerant piping connecting the air cooled condensing unit located on grade. The heating and cooling functions will not operate at the same time and will be control by the average temperature in the holding rooms.</w:t>
      </w:r>
    </w:p>
    <w:p>
      <w:pPr>
        <w:spacing w:after="0" w:line="162" w:lineRule="exact"/>
        <w:rPr>
          <w:sz w:val="20"/>
          <w:szCs w:val="20"/>
          <w:color w:val="auto"/>
        </w:rPr>
      </w:pPr>
    </w:p>
    <w:p>
      <w:pPr>
        <w:ind w:left="780" w:right="140"/>
        <w:spacing w:after="0" w:line="274" w:lineRule="auto"/>
        <w:rPr>
          <w:sz w:val="20"/>
          <w:szCs w:val="20"/>
          <w:color w:val="auto"/>
        </w:rPr>
      </w:pPr>
      <w:r>
        <w:rPr>
          <w:rFonts w:ascii="Arial" w:cs="Arial" w:eastAsia="Arial" w:hAnsi="Arial"/>
          <w:sz w:val="16"/>
          <w:szCs w:val="16"/>
          <w:color w:val="auto"/>
        </w:rPr>
        <w:t>Primary electric in line humidifier shall be installed to serve the entire ACF. Humidifiers shall be stainless steel and served from the RO system. Primary humidifier shall be controlled from a common exhaust duct from the ACF. Secondary humidifiers shall be install to serve each holding room and controlled from wall mounted humidistats. Humidifiers are not operational during normal power outage.</w:t>
      </w:r>
    </w:p>
    <w:p>
      <w:pPr>
        <w:spacing w:after="0" w:line="136"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Conference room shall be on independent zones. Open offices and closed offices shall be grouped in areas per the HVAC zoning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4 of 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137" w:lineRule="exact"/>
        <w:rPr>
          <w:sz w:val="20"/>
          <w:szCs w:val="20"/>
          <w:color w:val="auto"/>
        </w:rPr>
      </w:pPr>
    </w:p>
    <w:p>
      <w:pPr>
        <w:ind w:left="780" w:right="960"/>
        <w:spacing w:after="0" w:line="236" w:lineRule="auto"/>
        <w:rPr>
          <w:sz w:val="20"/>
          <w:szCs w:val="20"/>
          <w:color w:val="auto"/>
        </w:rPr>
      </w:pPr>
      <w:r>
        <w:rPr>
          <w:rFonts w:ascii="Arial" w:cs="Arial" w:eastAsia="Arial" w:hAnsi="Arial"/>
          <w:sz w:val="18"/>
          <w:szCs w:val="18"/>
          <w:color w:val="auto"/>
        </w:rPr>
        <w:t>Automatic Temperature Control system shall be an extension of the base building system. The following requirements shall be incorporated into the control of Seres Therapeutics systems for proper operation and energy savings:</w:t>
      </w:r>
    </w:p>
    <w:p>
      <w:pPr>
        <w:spacing w:after="0" w:line="162" w:lineRule="exact"/>
        <w:rPr>
          <w:sz w:val="20"/>
          <w:szCs w:val="20"/>
          <w:color w:val="auto"/>
        </w:rPr>
      </w:pPr>
    </w:p>
    <w:p>
      <w:pPr>
        <w:ind w:left="1520" w:hanging="375"/>
        <w:spacing w:after="0"/>
        <w:tabs>
          <w:tab w:leader="none" w:pos="1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Under normal power all air and water valves shall modulate to maintain set point temperature.</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occupied mode the lab and office air valves shall modulate between maximum and minimum set points.</w:t>
      </w:r>
    </w:p>
    <w:p>
      <w:pPr>
        <w:spacing w:after="0" w:line="164" w:lineRule="exact"/>
        <w:rPr>
          <w:rFonts w:ascii="Arial" w:cs="Arial" w:eastAsia="Arial" w:hAnsi="Arial"/>
          <w:sz w:val="18"/>
          <w:szCs w:val="18"/>
          <w:color w:val="auto"/>
        </w:rPr>
      </w:pPr>
    </w:p>
    <w:p>
      <w:pPr>
        <w:ind w:left="1520" w:right="220" w:hanging="375"/>
        <w:spacing w:after="0" w:line="236" w:lineRule="auto"/>
        <w:tabs>
          <w:tab w:leader="none" w:pos="1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un-occupied mode, the lab valve will reset minimum to 4 air changes and the office air valves will close. Terminal units shall cycle to maintain night set back temperatures.</w:t>
      </w:r>
    </w:p>
    <w:p>
      <w:pPr>
        <w:spacing w:after="0" w:line="161" w:lineRule="exact"/>
        <w:rPr>
          <w:rFonts w:ascii="Arial" w:cs="Arial" w:eastAsia="Arial" w:hAnsi="Arial"/>
          <w:sz w:val="18"/>
          <w:szCs w:val="18"/>
          <w:color w:val="auto"/>
        </w:rPr>
      </w:pPr>
    </w:p>
    <w:p>
      <w:pPr>
        <w:ind w:left="1520" w:hanging="375"/>
        <w:spacing w:after="0"/>
        <w:tabs>
          <w:tab w:leader="none" w:pos="1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ACF control will not change under any condition.</w:t>
      </w:r>
    </w:p>
    <w:p>
      <w:pPr>
        <w:spacing w:after="0" w:line="164" w:lineRule="exact"/>
        <w:rPr>
          <w:rFonts w:ascii="Arial" w:cs="Arial" w:eastAsia="Arial" w:hAnsi="Arial"/>
          <w:sz w:val="18"/>
          <w:szCs w:val="18"/>
          <w:color w:val="auto"/>
        </w:rPr>
      </w:pPr>
    </w:p>
    <w:p>
      <w:pPr>
        <w:ind w:left="1520" w:right="60" w:hanging="375"/>
        <w:spacing w:after="0" w:line="274" w:lineRule="auto"/>
        <w:tabs>
          <w:tab w:leader="none" w:pos="15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On generator power all supply and exhaust air valves in the office and lab shall fail closed, except the fume hood air valves which shall remain operational. In the ACF the supply valve shall fail closed, the exhaust valve shall remain operational, and the cross over dampers shall switch operation to allow for the backup system/sequence to function, serving the one holding room.</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Electrical</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Lighting Requirements:</w:t>
      </w:r>
    </w:p>
    <w:p>
      <w:pPr>
        <w:spacing w:after="0" w:line="165" w:lineRule="exact"/>
        <w:rPr>
          <w:sz w:val="20"/>
          <w:szCs w:val="20"/>
          <w:color w:val="auto"/>
        </w:rPr>
      </w:pPr>
    </w:p>
    <w:p>
      <w:pPr>
        <w:ind w:left="780" w:right="360"/>
        <w:spacing w:after="0" w:line="236" w:lineRule="auto"/>
        <w:rPr>
          <w:sz w:val="20"/>
          <w:szCs w:val="20"/>
          <w:color w:val="auto"/>
        </w:rPr>
      </w:pPr>
      <w:r>
        <w:rPr>
          <w:rFonts w:ascii="Arial" w:cs="Arial" w:eastAsia="Arial" w:hAnsi="Arial"/>
          <w:sz w:val="18"/>
          <w:szCs w:val="18"/>
          <w:color w:val="auto"/>
        </w:rPr>
        <w:t>In general, lighting will be provided in all spaces. New fixtures will be as proposed by the architect and lighting designer as required to meet space lighting requirements as proposed below.</w:t>
      </w:r>
    </w:p>
    <w:p>
      <w:pPr>
        <w:spacing w:after="0" w:line="162" w:lineRule="exact"/>
        <w:rPr>
          <w:sz w:val="20"/>
          <w:szCs w:val="20"/>
          <w:color w:val="auto"/>
        </w:rPr>
      </w:pPr>
    </w:p>
    <w:p>
      <w:pPr>
        <w:ind w:left="1520" w:hanging="375"/>
        <w:spacing w:after="0"/>
        <w:tabs>
          <w:tab w:leader="none" w:pos="1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Office Areas: 30-40 foot candles.</w:t>
      </w:r>
    </w:p>
    <w:p>
      <w:pPr>
        <w:spacing w:after="0" w:line="241" w:lineRule="exact"/>
        <w:rPr>
          <w:rFonts w:ascii="Arial" w:cs="Arial" w:eastAsia="Arial" w:hAnsi="Arial"/>
          <w:sz w:val="18"/>
          <w:szCs w:val="18"/>
          <w:color w:val="auto"/>
        </w:rPr>
      </w:pPr>
    </w:p>
    <w:p>
      <w:pPr>
        <w:ind w:left="1520" w:hanging="375"/>
        <w:spacing w:after="0"/>
        <w:tabs>
          <w:tab w:leader="none" w:pos="1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Laboratory Areas: 60-75 foot candles.</w:t>
      </w:r>
    </w:p>
    <w:p>
      <w:pPr>
        <w:spacing w:after="0" w:line="241" w:lineRule="exact"/>
        <w:rPr>
          <w:rFonts w:ascii="Arial" w:cs="Arial" w:eastAsia="Arial" w:hAnsi="Arial"/>
          <w:sz w:val="18"/>
          <w:szCs w:val="18"/>
          <w:color w:val="auto"/>
        </w:rPr>
      </w:pPr>
    </w:p>
    <w:p>
      <w:pPr>
        <w:ind w:left="1520" w:hanging="375"/>
        <w:spacing w:after="0"/>
        <w:tabs>
          <w:tab w:leader="none" w:pos="1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Lab Support Areas: 50 foot candles.</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Lighting controls will be provided in all spaces as required to meet the current energy code.</w:t>
      </w:r>
    </w:p>
    <w:p>
      <w:pPr>
        <w:spacing w:after="0" w:line="165" w:lineRule="exact"/>
        <w:rPr>
          <w:sz w:val="20"/>
          <w:szCs w:val="20"/>
          <w:color w:val="auto"/>
        </w:rPr>
      </w:pPr>
    </w:p>
    <w:p>
      <w:pPr>
        <w:ind w:left="1520" w:right="100" w:hanging="375"/>
        <w:spacing w:after="0" w:line="236" w:lineRule="auto"/>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Open office areas controlled via occupancy sensors with separate controls for lighting in daylight zones, (as defined as 15’ from exterior glazing) manual override switch stations and light reduction controls.</w:t>
      </w:r>
    </w:p>
    <w:p>
      <w:pPr>
        <w:spacing w:after="0" w:line="161" w:lineRule="exact"/>
        <w:rPr>
          <w:rFonts w:ascii="Arial" w:cs="Arial" w:eastAsia="Arial" w:hAnsi="Arial"/>
          <w:sz w:val="18"/>
          <w:szCs w:val="18"/>
          <w:color w:val="auto"/>
        </w:rPr>
      </w:pPr>
    </w:p>
    <w:p>
      <w:pPr>
        <w:ind w:left="1520" w:hanging="375"/>
        <w:spacing w:after="0"/>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Enclosed office controlled via local occupancy sensors with integral or separate manual on override switch stations.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137" w:lineRule="exact"/>
        <w:rPr>
          <w:sz w:val="20"/>
          <w:szCs w:val="20"/>
          <w:color w:val="auto"/>
        </w:rPr>
      </w:pPr>
    </w:p>
    <w:p>
      <w:pPr>
        <w:ind w:left="1520" w:right="20" w:hanging="375"/>
        <w:spacing w:after="0" w:line="291" w:lineRule="auto"/>
        <w:tabs>
          <w:tab w:leader="none" w:pos="15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Laboratory areas controlled via programmable microprocessor based lighting control system with separate controls for lighting in daylight zones, (as defined as 15’ from exterior glazing) manual override switch stations and light reduction controls.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Power Requirements:</w:t>
      </w:r>
    </w:p>
    <w:p>
      <w:pPr>
        <w:spacing w:after="0" w:line="165" w:lineRule="exact"/>
        <w:rPr>
          <w:sz w:val="20"/>
          <w:szCs w:val="20"/>
          <w:color w:val="auto"/>
        </w:rPr>
      </w:pPr>
    </w:p>
    <w:p>
      <w:pPr>
        <w:ind w:left="780" w:right="180"/>
        <w:spacing w:after="0" w:line="236" w:lineRule="auto"/>
        <w:rPr>
          <w:sz w:val="20"/>
          <w:szCs w:val="20"/>
          <w:color w:val="auto"/>
        </w:rPr>
      </w:pPr>
      <w:r>
        <w:rPr>
          <w:rFonts w:ascii="Arial" w:cs="Arial" w:eastAsia="Arial" w:hAnsi="Arial"/>
          <w:sz w:val="18"/>
          <w:szCs w:val="18"/>
          <w:color w:val="auto"/>
        </w:rPr>
        <w:t>In general, power will be provided as required to meet the program requirements and as dictated by the equipment and utility matrix and associated equipment cut information.</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Office Areas:</w:t>
      </w:r>
    </w:p>
    <w:p>
      <w:pPr>
        <w:spacing w:after="0" w:line="165" w:lineRule="exact"/>
        <w:rPr>
          <w:sz w:val="20"/>
          <w:szCs w:val="20"/>
          <w:color w:val="auto"/>
        </w:rPr>
      </w:pPr>
    </w:p>
    <w:p>
      <w:pPr>
        <w:jc w:val="both"/>
        <w:ind w:left="1520" w:right="80" w:hanging="375"/>
        <w:spacing w:after="0" w:line="233" w:lineRule="auto"/>
        <w:tabs>
          <w:tab w:leader="none" w:pos="15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Provide duplex receptacles and a single tele/data outlet per enclosed office. Open office furniture shall be fed from a multi-wire, 4-circuit feed. Conference and multipurpose areas will have additional power for equipment and in floor locations as required by owner’s telecommunications and audio/video programming.</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Laboratory Areas:</w:t>
      </w:r>
    </w:p>
    <w:p>
      <w:pPr>
        <w:spacing w:after="0" w:line="165" w:lineRule="exact"/>
        <w:rPr>
          <w:sz w:val="20"/>
          <w:szCs w:val="20"/>
          <w:color w:val="auto"/>
        </w:rPr>
      </w:pPr>
    </w:p>
    <w:p>
      <w:pPr>
        <w:jc w:val="both"/>
        <w:ind w:left="1520" w:right="120" w:hanging="375"/>
        <w:spacing w:after="0" w:line="232" w:lineRule="auto"/>
        <w:tabs>
          <w:tab w:leader="none" w:pos="1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Bench/Casework; provide surface raceway with 20-ampere, 120-volt duplex receptacles mounted 18 inches on center to match existing equipment. Two (2) 20 Amp circuits per bench. Fume Hoods provide (2) dedicated 20 ampere, 120 volt circuits. Where shown on plans, overhead ceiling utility panels will provide power to free standing equipment and bench areas. Provide tel/data and alarm point box/raceway as required by equipment matrix.</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Lab Support Areas:</w:t>
      </w:r>
    </w:p>
    <w:p>
      <w:pPr>
        <w:spacing w:after="0" w:line="165" w:lineRule="exact"/>
        <w:rPr>
          <w:sz w:val="20"/>
          <w:szCs w:val="20"/>
          <w:color w:val="auto"/>
        </w:rPr>
      </w:pPr>
    </w:p>
    <w:p>
      <w:pPr>
        <w:ind w:left="1520" w:right="140" w:hanging="375"/>
        <w:spacing w:after="0" w:line="236" w:lineRule="auto"/>
        <w:tabs>
          <w:tab w:leader="none" w:pos="1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 dedicated duplex receptacles along perimeter walls and 208-volt receptacles as required by equipment matrix. Provide tel/data box/raceway per equipment matrix.</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requirements:</w:t>
      </w:r>
    </w:p>
    <w:p>
      <w:pPr>
        <w:spacing w:after="0" w:line="165" w:lineRule="exact"/>
        <w:rPr>
          <w:sz w:val="20"/>
          <w:szCs w:val="20"/>
          <w:color w:val="auto"/>
        </w:rPr>
      </w:pPr>
    </w:p>
    <w:p>
      <w:pPr>
        <w:ind w:left="1520" w:hanging="375"/>
        <w:spacing w:after="0"/>
        <w:tabs>
          <w:tab w:leader="none" w:pos="1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Security System – new power locations as required by security system component layouts. (Security system by owner)</w:t>
      </w:r>
    </w:p>
    <w:p>
      <w:pPr>
        <w:spacing w:after="0" w:line="285" w:lineRule="exact"/>
        <w:rPr>
          <w:rFonts w:ascii="Arial" w:cs="Arial" w:eastAsia="Arial" w:hAnsi="Arial"/>
          <w:sz w:val="18"/>
          <w:szCs w:val="18"/>
          <w:color w:val="auto"/>
        </w:rPr>
      </w:pPr>
    </w:p>
    <w:p>
      <w:pPr>
        <w:ind w:left="780" w:right="900" w:firstLine="365"/>
        <w:spacing w:after="0" w:line="424" w:lineRule="auto"/>
        <w:tabs>
          <w:tab w:leader="none" w:pos="15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Telephone/Data rooms – new power locations as required by system component layouts. (Tel/Data system by owner) Power check metering:</w:t>
      </w:r>
    </w:p>
    <w:p>
      <w:pPr>
        <w:spacing w:after="0" w:line="12" w:lineRule="exact"/>
        <w:rPr>
          <w:rFonts w:ascii="Arial" w:cs="Arial" w:eastAsia="Arial" w:hAnsi="Arial"/>
          <w:sz w:val="18"/>
          <w:szCs w:val="18"/>
          <w:color w:val="auto"/>
        </w:rPr>
      </w:pPr>
    </w:p>
    <w:p>
      <w:pPr>
        <w:ind w:left="1520" w:hanging="375"/>
        <w:spacing w:after="0"/>
        <w:tabs>
          <w:tab w:leader="none" w:pos="1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Electronic check metering equipment furnished by tenant to monitor tenant power usage.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Standby Power and Generators:</w:t>
      </w:r>
    </w:p>
    <w:p>
      <w:pPr>
        <w:spacing w:after="0" w:line="165" w:lineRule="exact"/>
        <w:rPr>
          <w:sz w:val="20"/>
          <w:szCs w:val="20"/>
          <w:color w:val="auto"/>
        </w:rPr>
      </w:pPr>
    </w:p>
    <w:p>
      <w:pPr>
        <w:ind w:left="780" w:right="960"/>
        <w:spacing w:after="0" w:line="236" w:lineRule="auto"/>
        <w:rPr>
          <w:sz w:val="20"/>
          <w:szCs w:val="20"/>
          <w:color w:val="auto"/>
        </w:rPr>
      </w:pPr>
      <w:r>
        <w:rPr>
          <w:rFonts w:ascii="Arial" w:cs="Arial" w:eastAsia="Arial" w:hAnsi="Arial"/>
          <w:sz w:val="18"/>
          <w:szCs w:val="18"/>
          <w:color w:val="auto"/>
        </w:rPr>
        <w:t>An existing diesel fired generator currently supplies power to tenant lab systems equipment, mechanical equipment and areas throughout the building. Existing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137" w:lineRule="exact"/>
        <w:rPr>
          <w:sz w:val="20"/>
          <w:szCs w:val="20"/>
          <w:color w:val="auto"/>
        </w:rPr>
      </w:pPr>
    </w:p>
    <w:p>
      <w:pPr>
        <w:ind w:left="780" w:right="1360"/>
        <w:spacing w:after="0" w:line="236" w:lineRule="auto"/>
        <w:rPr>
          <w:sz w:val="20"/>
          <w:szCs w:val="20"/>
          <w:color w:val="auto"/>
        </w:rPr>
      </w:pPr>
      <w:r>
        <w:rPr>
          <w:rFonts w:ascii="Arial" w:cs="Arial" w:eastAsia="Arial" w:hAnsi="Arial"/>
          <w:sz w:val="18"/>
          <w:szCs w:val="18"/>
          <w:color w:val="auto"/>
        </w:rPr>
        <w:t>distribution will be modified to serve tenant. Branch circuits will be modified to accommodate the following standby power loads:</w:t>
      </w:r>
    </w:p>
    <w:p>
      <w:pPr>
        <w:sectPr>
          <w:pgSz w:w="11900" w:h="16838" w:orient="portrait"/>
          <w:cols w:equalWidth="0" w:num="1">
            <w:col w:w="11460"/>
          </w:cols>
          <w:pgMar w:left="220" w:top="140" w:right="219" w:bottom="1440" w:gutter="0" w:footer="0" w:header="0"/>
          <w:type w:val="continuous"/>
        </w:sectPr>
      </w:pPr>
    </w:p>
    <w:p>
      <w:pPr>
        <w:spacing w:after="0" w:line="18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Office Area: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0" w:lineRule="exact"/>
        <w:rPr>
          <w:sz w:val="20"/>
          <w:szCs w:val="20"/>
          <w:color w:val="auto"/>
        </w:rPr>
      </w:pPr>
    </w:p>
    <w:p>
      <w:pPr>
        <w:sectPr>
          <w:pgSz w:w="11900" w:h="16838" w:orient="portrait"/>
          <w:cols w:equalWidth="0" w:num="2">
            <w:col w:w="3380" w:space="720"/>
            <w:col w:w="7360"/>
          </w:cols>
          <w:pgMar w:left="220" w:top="140" w:right="21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Laboratory Areas: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required by equipment matrix</w:t>
      </w:r>
    </w:p>
    <w:p>
      <w:pPr>
        <w:spacing w:after="0" w:line="100" w:lineRule="exact"/>
        <w:rPr>
          <w:sz w:val="20"/>
          <w:szCs w:val="20"/>
          <w:color w:val="auto"/>
        </w:rPr>
      </w:pPr>
    </w:p>
    <w:p>
      <w:pPr>
        <w:sectPr>
          <w:pgSz w:w="11900" w:h="16838" w:orient="portrait"/>
          <w:cols w:equalWidth="0" w:num="2">
            <w:col w:w="3380" w:space="720"/>
            <w:col w:w="7360"/>
          </w:cols>
          <w:pgMar w:left="220" w:top="140" w:right="21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Vivarium: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section below.</w:t>
      </w:r>
    </w:p>
    <w:p>
      <w:pPr>
        <w:spacing w:after="0" w:line="100" w:lineRule="exact"/>
        <w:rPr>
          <w:sz w:val="20"/>
          <w:szCs w:val="20"/>
          <w:color w:val="auto"/>
        </w:rPr>
      </w:pPr>
    </w:p>
    <w:p>
      <w:pPr>
        <w:sectPr>
          <w:pgSz w:w="11900" w:h="16838" w:orient="portrait"/>
          <w:cols w:equalWidth="0" w:num="2">
            <w:col w:w="3380" w:space="720"/>
            <w:col w:w="7360"/>
          </w:cols>
          <w:pgMar w:left="220" w:top="140" w:right="21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Data Room: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determined by owner.</w:t>
      </w:r>
    </w:p>
    <w:p>
      <w:pPr>
        <w:spacing w:after="0" w:line="100" w:lineRule="exact"/>
        <w:rPr>
          <w:sz w:val="20"/>
          <w:szCs w:val="20"/>
          <w:color w:val="auto"/>
        </w:rPr>
      </w:pPr>
    </w:p>
    <w:p>
      <w:pPr>
        <w:sectPr>
          <w:pgSz w:w="11900" w:h="16838" w:orient="portrait"/>
          <w:cols w:equalWidth="0" w:num="2">
            <w:col w:w="3380" w:space="720"/>
            <w:col w:w="7360"/>
          </w:cols>
          <w:pgMar w:left="220" w:top="140" w:right="21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Mechanical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Selected ACF Systems and HVAC Controls</w:t>
      </w:r>
    </w:p>
    <w:p>
      <w:pPr>
        <w:spacing w:after="0" w:line="200" w:lineRule="exact"/>
        <w:rPr>
          <w:sz w:val="20"/>
          <w:szCs w:val="20"/>
          <w:color w:val="auto"/>
        </w:rPr>
      </w:pPr>
    </w:p>
    <w:p>
      <w:pPr>
        <w:sectPr>
          <w:pgSz w:w="11900" w:h="16838" w:orient="portrait"/>
          <w:cols w:equalWidth="0" w:num="2">
            <w:col w:w="3380" w:space="720"/>
            <w:col w:w="7360"/>
          </w:cols>
          <w:pgMar w:left="220" w:top="140" w:right="219" w:bottom="1440" w:gutter="0" w:footer="0" w:header="0"/>
          <w:type w:val="continuous"/>
        </w:sectPr>
      </w:pP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Vivarium:</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vivarium Electrical system will be served by the modified normal and optional stand-by power distribution in the building.</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Lighting Controls:</w:t>
      </w:r>
    </w:p>
    <w:p>
      <w:pPr>
        <w:spacing w:after="0" w:line="165" w:lineRule="exact"/>
        <w:rPr>
          <w:sz w:val="20"/>
          <w:szCs w:val="20"/>
          <w:color w:val="auto"/>
        </w:rPr>
      </w:pPr>
    </w:p>
    <w:p>
      <w:pPr>
        <w:ind w:left="1520" w:right="180" w:hanging="375"/>
        <w:spacing w:after="0" w:line="236" w:lineRule="auto"/>
        <w:tabs>
          <w:tab w:leader="none" w:pos="1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Holding rooms shall have a local electronic programmable timer switch for day/night settings (adjustable with DST functionality built in) located outside the door of each holding room.</w:t>
      </w:r>
    </w:p>
    <w:p>
      <w:pPr>
        <w:spacing w:after="0" w:line="162" w:lineRule="exact"/>
        <w:rPr>
          <w:sz w:val="20"/>
          <w:szCs w:val="20"/>
          <w:color w:val="auto"/>
        </w:rPr>
      </w:pPr>
    </w:p>
    <w:p>
      <w:pPr>
        <w:jc w:val="both"/>
        <w:ind w:left="2280" w:right="140" w:hanging="369"/>
        <w:spacing w:after="0" w:line="233" w:lineRule="auto"/>
        <w:tabs>
          <w:tab w:leader="none" w:pos="22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Animal lighting system shall provide 10-30 FC utilizing full spectrum fluorescent or LED sealed and gasketed fixtures. Holding room lights shall be dimmable locally within each holding room and have a local override located outside the door of each holding room.</w:t>
      </w:r>
    </w:p>
    <w:p>
      <w:pPr>
        <w:spacing w:after="0" w:line="162" w:lineRule="exact"/>
        <w:rPr>
          <w:rFonts w:ascii="Arial" w:cs="Arial" w:eastAsia="Arial" w:hAnsi="Arial"/>
          <w:sz w:val="18"/>
          <w:szCs w:val="18"/>
          <w:color w:val="auto"/>
        </w:rPr>
      </w:pPr>
    </w:p>
    <w:p>
      <w:pPr>
        <w:ind w:left="1520" w:right="120" w:hanging="375"/>
        <w:spacing w:after="0" w:line="236" w:lineRule="auto"/>
        <w:tabs>
          <w:tab w:leader="none" w:pos="15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Procedure Rooms and remaining areas: Full spectrum fluorescent or LED lighting system shall be controlled via programmable microprocessor based lighting control system. Lighting system shall provide 50-75 FC.</w:t>
      </w:r>
    </w:p>
    <w:p>
      <w:pPr>
        <w:spacing w:after="0" w:line="161" w:lineRule="exact"/>
        <w:rPr>
          <w:rFonts w:ascii="Arial" w:cs="Arial" w:eastAsia="Arial" w:hAnsi="Arial"/>
          <w:sz w:val="18"/>
          <w:szCs w:val="18"/>
          <w:color w:val="auto"/>
        </w:rPr>
      </w:pPr>
    </w:p>
    <w:p>
      <w:pPr>
        <w:ind w:left="1520" w:right="80" w:hanging="375"/>
        <w:spacing w:after="0" w:line="236" w:lineRule="auto"/>
        <w:tabs>
          <w:tab w:leader="none" w:pos="15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Spaces: Lighting controls to meet the local energy Code Chapter 13 requirements. Lighting will be provided utilizing 1’x4’, 2’x2’ and 2’x4’ lensed fluorescent fixtures to provide sufficient lighting levels.</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Power:</w:t>
      </w:r>
    </w:p>
    <w:p>
      <w:pPr>
        <w:spacing w:after="0" w:line="165" w:lineRule="exact"/>
        <w:rPr>
          <w:sz w:val="20"/>
          <w:szCs w:val="20"/>
          <w:color w:val="auto"/>
        </w:rPr>
      </w:pPr>
    </w:p>
    <w:p>
      <w:pPr>
        <w:ind w:left="1520" w:right="80" w:hanging="375"/>
        <w:spacing w:after="0" w:line="236" w:lineRule="auto"/>
        <w:tabs>
          <w:tab w:leader="none" w:pos="1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Bench/Casework and equipment power will be provided as required in the equipment and utility matrix. Tel/data and alarm point locations will be provided as required in the equipment and utility matrix.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 of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4"/>
          <w:szCs w:val="14"/>
          <w:color w:val="auto"/>
        </w:rPr>
        <w:t>200 Sidney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Basis of Design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October 14, 2015</w:t>
      </w:r>
    </w:p>
    <w:p>
      <w:pPr>
        <w:spacing w:after="0" w:line="211" w:lineRule="exact"/>
        <w:rPr>
          <w:sz w:val="20"/>
          <w:szCs w:val="20"/>
          <w:color w:val="auto"/>
        </w:rPr>
      </w:pPr>
    </w:p>
    <w:p>
      <w:pPr>
        <w:sectPr>
          <w:pgSz w:w="11900" w:h="16838" w:orient="portrait"/>
          <w:cols w:equalWidth="0" w:num="2">
            <w:col w:w="9620" w:space="720"/>
            <w:col w:w="1120"/>
          </w:cols>
          <w:pgMar w:left="220" w:top="140" w:right="219" w:bottom="1440" w:gutter="0" w:footer="0" w:header="0"/>
        </w:sectPr>
      </w:pPr>
    </w:p>
    <w:p>
      <w:pPr>
        <w:spacing w:after="0" w:line="1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Standby Power:</w:t>
      </w:r>
    </w:p>
    <w:p>
      <w:pPr>
        <w:spacing w:after="0" w:line="165" w:lineRule="exact"/>
        <w:rPr>
          <w:sz w:val="20"/>
          <w:szCs w:val="20"/>
          <w:color w:val="auto"/>
        </w:rPr>
      </w:pPr>
    </w:p>
    <w:p>
      <w:pPr>
        <w:ind w:left="1520" w:right="360" w:hanging="375"/>
        <w:spacing w:after="0" w:line="233" w:lineRule="auto"/>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Holding Rooms: Lighting will be provided on optional standby power. Each animal holding rack shall be provided with duplex receptacle on the existing optional standby power. In addition, optional standby power will be provided as required in the equipment and utility matrix.</w:t>
      </w:r>
    </w:p>
    <w:p>
      <w:pPr>
        <w:spacing w:after="0" w:line="162" w:lineRule="exact"/>
        <w:rPr>
          <w:rFonts w:ascii="Arial" w:cs="Arial" w:eastAsia="Arial" w:hAnsi="Arial"/>
          <w:sz w:val="18"/>
          <w:szCs w:val="18"/>
          <w:color w:val="auto"/>
        </w:rPr>
      </w:pPr>
    </w:p>
    <w:p>
      <w:pPr>
        <w:ind w:left="1520" w:hanging="375"/>
        <w:spacing w:after="0"/>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HVAC Systems as required</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Fire Alarm</w:t>
      </w:r>
    </w:p>
    <w:p>
      <w:pPr>
        <w:spacing w:after="0" w:line="187" w:lineRule="exact"/>
        <w:rPr>
          <w:sz w:val="20"/>
          <w:szCs w:val="20"/>
          <w:color w:val="auto"/>
        </w:rPr>
      </w:pPr>
    </w:p>
    <w:p>
      <w:pPr>
        <w:ind w:left="1160" w:right="340"/>
        <w:spacing w:after="0" w:line="236" w:lineRule="auto"/>
        <w:rPr>
          <w:sz w:val="20"/>
          <w:szCs w:val="20"/>
          <w:color w:val="auto"/>
        </w:rPr>
      </w:pPr>
      <w:r>
        <w:rPr>
          <w:rFonts w:ascii="Arial" w:cs="Arial" w:eastAsia="Arial" w:hAnsi="Arial"/>
          <w:sz w:val="18"/>
          <w:szCs w:val="18"/>
          <w:color w:val="auto"/>
        </w:rPr>
        <w:t>Base building fire alarm system shall be fully addressable and expansion capabilities, Tenant shall expand from the base building system and shall be limited to the renovation area.</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ACF fire alarm devices shall be low frequency sounder type with separate strobe devices.</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Communications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Locations for wireless networking will be provided per the tenant’s direction.</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Conduits exist to the 1</w:t>
      </w:r>
      <w:r>
        <w:rPr>
          <w:rFonts w:ascii="Arial" w:cs="Arial" w:eastAsia="Arial" w:hAnsi="Arial"/>
          <w:sz w:val="14"/>
          <w:szCs w:val="14"/>
          <w:color w:val="auto"/>
        </w:rPr>
        <w:t>st</w:t>
      </w:r>
      <w:r>
        <w:rPr>
          <w:rFonts w:ascii="Arial" w:cs="Arial" w:eastAsia="Arial" w:hAnsi="Arial"/>
          <w:sz w:val="18"/>
          <w:szCs w:val="18"/>
          <w:color w:val="auto"/>
        </w:rPr>
        <w:t>, 2</w:t>
      </w:r>
      <w:r>
        <w:rPr>
          <w:rFonts w:ascii="Arial" w:cs="Arial" w:eastAsia="Arial" w:hAnsi="Arial"/>
          <w:sz w:val="14"/>
          <w:szCs w:val="14"/>
          <w:color w:val="auto"/>
        </w:rPr>
        <w:t>nd</w:t>
      </w:r>
      <w:r>
        <w:rPr>
          <w:rFonts w:ascii="Arial" w:cs="Arial" w:eastAsia="Arial" w:hAnsi="Arial"/>
          <w:sz w:val="18"/>
          <w:szCs w:val="18"/>
          <w:color w:val="auto"/>
        </w:rPr>
        <w:t>, and 4th floors for tenant communications vendor to install wiring, devices and terminations.</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Box and conduit for security devices will be provided at access points as indicated by the architect.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\\aha-engineers.com\ahalexcam\Projects\2015-Boston-Cam-Rep\M0315-010.30\Correspondence\Scope of Work\Seres OLA at 200 Sidney BOD 10.14.15.doc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type w:val="continuous"/>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5905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12025" cy="559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54654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12025" cy="546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EXHIBIT B-1-b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BASIS OF DESIGN AND URS FOR MANUFACTURING AREA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644525</wp:posOffset>
            </wp:positionV>
            <wp:extent cx="7312025"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245" w:name="page246"/>
    <w:bookmarkEnd w:id="245"/>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Seres Therapeutics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Tenant Improvement</w:t>
      </w:r>
    </w:p>
    <w:p>
      <w:pPr>
        <w:spacing w:after="0" w:line="27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200 Sidney Street</w:t>
      </w:r>
    </w:p>
    <w:p>
      <w:pPr>
        <w:spacing w:after="0" w:line="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Cambridge, MA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Phase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Basis of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341630</wp:posOffset>
            </wp:positionV>
            <wp:extent cx="1625600" cy="9861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256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Lexington, MA | Cambridge, MA | Atlanta, GA | Washington, DC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 Hartwell Avenue, Third Floor | Lexington, MA 02421</w:t>
      </w:r>
    </w:p>
    <w:p>
      <w:pPr>
        <w:spacing w:after="0" w:line="15" w:lineRule="exact"/>
        <w:rPr>
          <w:sz w:val="20"/>
          <w:szCs w:val="20"/>
          <w:color w:val="auto"/>
        </w:rPr>
      </w:pPr>
    </w:p>
    <w:p>
      <w:pPr>
        <w:jc w:val="center"/>
        <w:spacing w:after="0" w:line="150" w:lineRule="exact"/>
        <w:rPr>
          <w:sz w:val="20"/>
          <w:szCs w:val="20"/>
          <w:color w:val="auto"/>
        </w:rPr>
      </w:pPr>
      <w:r>
        <w:rPr>
          <w:rFonts w:ascii="Arial" w:cs="Arial" w:eastAsia="Arial" w:hAnsi="Arial"/>
          <w:sz w:val="13"/>
          <w:szCs w:val="13"/>
          <w:color w:val="auto"/>
        </w:rPr>
        <w:t>781</w:t>
      </w:r>
      <w:r>
        <w:rPr>
          <w:rFonts w:ascii="MS PGothic" w:cs="MS PGothic" w:eastAsia="MS PGothic" w:hAnsi="MS PGothic"/>
          <w:sz w:val="13"/>
          <w:szCs w:val="13"/>
          <w:color w:val="auto"/>
        </w:rPr>
        <w:t>‐</w:t>
      </w:r>
      <w:r>
        <w:rPr>
          <w:rFonts w:ascii="Arial" w:cs="Arial" w:eastAsia="Arial" w:hAnsi="Arial"/>
          <w:sz w:val="13"/>
          <w:szCs w:val="13"/>
          <w:color w:val="auto"/>
        </w:rPr>
        <w:t>372</w:t>
      </w:r>
      <w:r>
        <w:rPr>
          <w:rFonts w:ascii="MS PGothic" w:cs="MS PGothic" w:eastAsia="MS PGothic" w:hAnsi="MS PGothic"/>
          <w:sz w:val="13"/>
          <w:szCs w:val="13"/>
          <w:color w:val="auto"/>
        </w:rPr>
        <w:t>‐</w:t>
      </w:r>
      <w:r>
        <w:rPr>
          <w:rFonts w:ascii="Arial" w:cs="Arial" w:eastAsia="Arial" w:hAnsi="Arial"/>
          <w:sz w:val="13"/>
          <w:szCs w:val="13"/>
          <w:color w:val="auto"/>
        </w:rPr>
        <w:t>3000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 of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16"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ind w:left="380"/>
        <w:spacing w:after="0"/>
        <w:rPr>
          <w:sz w:val="20"/>
          <w:szCs w:val="20"/>
          <w:color w:val="auto"/>
        </w:rPr>
      </w:pPr>
      <w:r>
        <w:rPr>
          <w:rFonts w:ascii="Arial" w:cs="Arial" w:eastAsia="Arial" w:hAnsi="Arial"/>
          <w:sz w:val="15"/>
          <w:szCs w:val="15"/>
          <w:color w:val="auto"/>
        </w:rPr>
        <w:t>Based on 8</w:t>
      </w:r>
      <w:r>
        <w:rPr>
          <w:rFonts w:ascii="Arial" w:cs="Arial" w:eastAsia="Arial" w:hAnsi="Arial"/>
          <w:sz w:val="12"/>
          <w:szCs w:val="12"/>
          <w:color w:val="auto"/>
        </w:rPr>
        <w:t>th</w:t>
      </w:r>
      <w:r>
        <w:rPr>
          <w:rFonts w:ascii="Arial" w:cs="Arial" w:eastAsia="Arial" w:hAnsi="Arial"/>
          <w:sz w:val="15"/>
          <w:szCs w:val="15"/>
          <w:color w:val="auto"/>
        </w:rPr>
        <w:t xml:space="preserve"> Edition, Massachusetts Building Code</w:t>
      </w:r>
    </w:p>
    <w:p>
      <w:pPr>
        <w:sectPr>
          <w:pgSz w:w="11900" w:h="16838" w:orient="portrait"/>
          <w:cols w:equalWidth="0" w:num="1">
            <w:col w:w="11460"/>
          </w:cols>
          <w:pgMar w:left="220" w:top="129" w:right="219" w:bottom="1440" w:gutter="0" w:footer="0" w:header="0"/>
          <w:type w:val="continuous"/>
        </w:sectPr>
      </w:pP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Fire Protection</w:t>
      </w:r>
    </w:p>
    <w:p>
      <w:pPr>
        <w:spacing w:after="0" w:line="171" w:lineRule="exact"/>
        <w:rPr>
          <w:sz w:val="20"/>
          <w:szCs w:val="20"/>
          <w:color w:val="auto"/>
        </w:rPr>
      </w:pPr>
    </w:p>
    <w:p>
      <w:pPr>
        <w:ind w:left="780"/>
        <w:spacing w:after="0" w:line="209" w:lineRule="exact"/>
        <w:rPr>
          <w:sz w:val="20"/>
          <w:szCs w:val="20"/>
          <w:color w:val="auto"/>
        </w:rPr>
      </w:pPr>
      <w:r>
        <w:rPr>
          <w:rFonts w:ascii="Arial" w:cs="Arial" w:eastAsia="Arial" w:hAnsi="Arial"/>
          <w:sz w:val="18"/>
          <w:szCs w:val="18"/>
          <w:color w:val="auto"/>
        </w:rPr>
        <w:t>The building is provided with an existing automatic wet</w:t>
      </w:r>
      <w:r>
        <w:rPr>
          <w:rFonts w:ascii="MS PGothic" w:cs="MS PGothic" w:eastAsia="MS PGothic" w:hAnsi="MS PGothic"/>
          <w:sz w:val="18"/>
          <w:szCs w:val="18"/>
          <w:color w:val="auto"/>
        </w:rPr>
        <w:t>‐</w:t>
      </w:r>
      <w:r>
        <w:rPr>
          <w:rFonts w:ascii="Arial" w:cs="Arial" w:eastAsia="Arial" w:hAnsi="Arial"/>
          <w:sz w:val="18"/>
          <w:szCs w:val="18"/>
          <w:color w:val="auto"/>
        </w:rPr>
        <w:t>pipe sprinkler protection and automatic wet standpipes in accordance with 780CMR, and NFPA 13. An existing fire pump serves the standpipe and sprinkler systems for the building.</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system design shall include the tenant area coverage shall have concealed sprinkler heads.</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Fire Protection design shall be based upon the following NFPA 13 criteria:</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Procedure Rooms and Holding Rooms (without fume hoods), hallways, holding, gowning and cage prep: Light Hazard</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Procedure rooms and Holding Rooms (with fume hoods), storage rooms, and receiving rooms:  Ordinary Hazard Group 1</w:t>
      </w:r>
    </w:p>
    <w:p>
      <w:pPr>
        <w:spacing w:after="0" w:line="165" w:lineRule="exact"/>
        <w:rPr>
          <w:sz w:val="20"/>
          <w:szCs w:val="20"/>
          <w:color w:val="auto"/>
        </w:rPr>
      </w:pPr>
    </w:p>
    <w:p>
      <w:pPr>
        <w:jc w:val="both"/>
        <w:ind w:left="780" w:right="340"/>
        <w:spacing w:after="0" w:line="237" w:lineRule="auto"/>
        <w:rPr>
          <w:sz w:val="20"/>
          <w:szCs w:val="20"/>
          <w:color w:val="auto"/>
        </w:rPr>
      </w:pPr>
      <w:r>
        <w:rPr>
          <w:rFonts w:ascii="Arial" w:cs="Arial" w:eastAsia="Arial" w:hAnsi="Arial"/>
          <w:sz w:val="18"/>
          <w:szCs w:val="18"/>
          <w:color w:val="auto"/>
        </w:rPr>
        <w:t>Automatic sprinkler systems in areas of Light Hazard Occupancy are designed with a minimum design density of .10 GPM per square foot over the hydraulically most remote 1500 square feet. Maximum protection area per sprinkler head shall be 225 square feet for upright and pendent sprinkler heads. Hose allowance shall be 100 GPM.</w:t>
      </w:r>
    </w:p>
    <w:p>
      <w:pPr>
        <w:spacing w:after="0" w:line="153" w:lineRule="exact"/>
        <w:rPr>
          <w:sz w:val="20"/>
          <w:szCs w:val="20"/>
          <w:color w:val="auto"/>
        </w:rPr>
      </w:pPr>
    </w:p>
    <w:p>
      <w:pPr>
        <w:ind w:left="780" w:right="120"/>
        <w:spacing w:after="0" w:line="237" w:lineRule="auto"/>
        <w:rPr>
          <w:sz w:val="20"/>
          <w:szCs w:val="20"/>
          <w:color w:val="auto"/>
        </w:rPr>
      </w:pPr>
      <w:r>
        <w:rPr>
          <w:rFonts w:ascii="Arial" w:cs="Arial" w:eastAsia="Arial" w:hAnsi="Arial"/>
          <w:sz w:val="18"/>
          <w:szCs w:val="18"/>
          <w:color w:val="auto"/>
        </w:rPr>
        <w:t>Automatic sprinkler systems in areas of Ordinary Hazard Group I Occupancy are designed with a minimum design density of .15 GPM per square foot over the hydraulically most remote 1500 square feet. Maximum protection area per sprinkler head shall be 130 square feet for upright and pendent sprinkler heads. Hose allowance shall be 250 GPM.</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specialty fire suppression systems are provided</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Plumbing</w:t>
      </w:r>
    </w:p>
    <w:p>
      <w:pPr>
        <w:spacing w:after="0" w:line="171" w:lineRule="exact"/>
        <w:rPr>
          <w:sz w:val="20"/>
          <w:szCs w:val="20"/>
          <w:color w:val="auto"/>
        </w:rPr>
      </w:pPr>
    </w:p>
    <w:p>
      <w:pPr>
        <w:jc w:val="both"/>
        <w:ind w:left="780" w:right="220"/>
        <w:spacing w:after="0" w:line="205" w:lineRule="exact"/>
        <w:rPr>
          <w:sz w:val="20"/>
          <w:szCs w:val="20"/>
          <w:color w:val="auto"/>
        </w:rPr>
      </w:pPr>
      <w:r>
        <w:rPr>
          <w:rFonts w:ascii="Arial" w:cs="Arial" w:eastAsia="Arial" w:hAnsi="Arial"/>
          <w:sz w:val="18"/>
          <w:szCs w:val="18"/>
          <w:color w:val="auto"/>
        </w:rPr>
        <w:t>RO, potable and non</w:t>
      </w:r>
      <w:r>
        <w:rPr>
          <w:rFonts w:ascii="MS PGothic" w:cs="MS PGothic" w:eastAsia="MS PGothic" w:hAnsi="MS PGothic"/>
          <w:sz w:val="18"/>
          <w:szCs w:val="18"/>
          <w:color w:val="auto"/>
        </w:rPr>
        <w:t>‐</w:t>
      </w:r>
      <w:r>
        <w:rPr>
          <w:rFonts w:ascii="Arial" w:cs="Arial" w:eastAsia="Arial" w:hAnsi="Arial"/>
          <w:sz w:val="18"/>
          <w:szCs w:val="18"/>
          <w:color w:val="auto"/>
        </w:rPr>
        <w:t>potable water (hot &amp; cold, vacuum, compressed air, and tempered water systems shall be provided by the base building. Tenant shall connect to existing distribution without tenant space and re</w:t>
      </w:r>
      <w:r>
        <w:rPr>
          <w:rFonts w:ascii="MS PGothic" w:cs="MS PGothic" w:eastAsia="MS PGothic" w:hAnsi="MS PGothic"/>
          <w:sz w:val="18"/>
          <w:szCs w:val="18"/>
          <w:color w:val="auto"/>
        </w:rPr>
        <w:t>‐</w:t>
      </w:r>
      <w:r>
        <w:rPr>
          <w:rFonts w:ascii="Arial" w:cs="Arial" w:eastAsia="Arial" w:hAnsi="Arial"/>
          <w:sz w:val="18"/>
          <w:szCs w:val="18"/>
          <w:color w:val="auto"/>
        </w:rPr>
        <w:t>route distribution piping to suit new lab areas, lab benches, hoods and ceiling panels per the equipment matrix (dated 10.29.2015) and Architectural equipment plans.</w:t>
      </w:r>
    </w:p>
    <w:p>
      <w:pPr>
        <w:spacing w:after="0" w:line="153" w:lineRule="exact"/>
        <w:rPr>
          <w:sz w:val="20"/>
          <w:szCs w:val="20"/>
          <w:color w:val="auto"/>
        </w:rPr>
      </w:pPr>
    </w:p>
    <w:p>
      <w:pPr>
        <w:ind w:left="780" w:right="660"/>
        <w:spacing w:after="0" w:line="306" w:lineRule="auto"/>
        <w:rPr>
          <w:sz w:val="20"/>
          <w:szCs w:val="20"/>
          <w:color w:val="auto"/>
        </w:rPr>
      </w:pPr>
      <w:r>
        <w:rPr>
          <w:rFonts w:ascii="Arial" w:cs="Arial" w:eastAsia="Arial" w:hAnsi="Arial"/>
          <w:sz w:val="16"/>
          <w:szCs w:val="16"/>
          <w:color w:val="auto"/>
        </w:rPr>
        <w:t>The existing dual stage pH neutralization system shall be as currently provided by the base building with existing risers. Tenant shall route new distribution piping to existing risers and connect with a sample testing trap configuration prior to connection to risers.</w:t>
      </w:r>
    </w:p>
    <w:p>
      <w:pPr>
        <w:spacing w:after="0" w:line="100" w:lineRule="exact"/>
        <w:rPr>
          <w:sz w:val="20"/>
          <w:szCs w:val="20"/>
          <w:color w:val="auto"/>
        </w:rPr>
      </w:pPr>
    </w:p>
    <w:p>
      <w:pPr>
        <w:jc w:val="both"/>
        <w:ind w:left="780" w:right="760"/>
        <w:spacing w:after="0" w:line="237" w:lineRule="auto"/>
        <w:rPr>
          <w:sz w:val="20"/>
          <w:szCs w:val="20"/>
          <w:color w:val="auto"/>
        </w:rPr>
      </w:pPr>
      <w:r>
        <w:rPr>
          <w:rFonts w:ascii="Arial" w:cs="Arial" w:eastAsia="Arial" w:hAnsi="Arial"/>
          <w:sz w:val="18"/>
          <w:szCs w:val="18"/>
          <w:color w:val="auto"/>
        </w:rPr>
        <w:t>Tenant shall be responsible for specialty gas systems (N2, CO2, O2, SG, MA, etc) with distribution piping routed to locations indicated in the equipment matrix (dated 10.29.2015) and Architectural equipment plans. Specialty gas vendor shall provide tanks. Manifolds will part of the distribution system.</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2 of 12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47" w:name="page248"/>
    <w:bookmarkEnd w:id="247"/>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780" w:right="500"/>
        <w:spacing w:after="0" w:line="237" w:lineRule="auto"/>
        <w:rPr>
          <w:sz w:val="20"/>
          <w:szCs w:val="20"/>
          <w:color w:val="auto"/>
        </w:rPr>
      </w:pPr>
      <w:r>
        <w:rPr>
          <w:rFonts w:ascii="Arial" w:cs="Arial" w:eastAsia="Arial" w:hAnsi="Arial"/>
          <w:sz w:val="18"/>
          <w:szCs w:val="18"/>
          <w:color w:val="auto"/>
        </w:rPr>
        <w:t>It is our understanding that the special gas as required by the tenant shall contain a minimum of 10% Hydrogen. Per discussion with the owners representative, there will be no requirement for flammable gas cabinets. Flammable gas detection sensors and alarms shall be provided within the cylinder/manifold room. Alarm shall be local with dry contacts for connection to BMS.</w:t>
      </w:r>
    </w:p>
    <w:p>
      <w:pPr>
        <w:spacing w:after="0" w:line="153" w:lineRule="exact"/>
        <w:rPr>
          <w:sz w:val="20"/>
          <w:szCs w:val="20"/>
          <w:color w:val="auto"/>
        </w:rPr>
      </w:pPr>
    </w:p>
    <w:p>
      <w:pPr>
        <w:ind w:left="780" w:right="360"/>
        <w:spacing w:after="0" w:line="342" w:lineRule="auto"/>
        <w:rPr>
          <w:sz w:val="20"/>
          <w:szCs w:val="20"/>
          <w:color w:val="auto"/>
        </w:rPr>
      </w:pPr>
      <w:r>
        <w:rPr>
          <w:rFonts w:ascii="Arial" w:cs="Arial" w:eastAsia="Arial" w:hAnsi="Arial"/>
          <w:sz w:val="15"/>
          <w:szCs w:val="15"/>
          <w:color w:val="auto"/>
        </w:rPr>
        <w:t>All cylinder gases shall be distributed in oxygen grade, bagged and capped copper tubing. All tubing shall be brazed utilizing a continuous nitrogen purge. All flammable gases shall be installed in type 316 stainless steel tubing, and shall be joined utilizing Swagelok type fittings and valves.</w:t>
      </w:r>
    </w:p>
    <w:p>
      <w:pPr>
        <w:spacing w:after="0" w:line="77" w:lineRule="exact"/>
        <w:rPr>
          <w:sz w:val="20"/>
          <w:szCs w:val="20"/>
          <w:color w:val="auto"/>
        </w:rPr>
      </w:pPr>
    </w:p>
    <w:p>
      <w:pPr>
        <w:ind w:left="780" w:right="60"/>
        <w:spacing w:after="0" w:line="245" w:lineRule="auto"/>
        <w:rPr>
          <w:sz w:val="20"/>
          <w:szCs w:val="20"/>
          <w:color w:val="auto"/>
        </w:rPr>
      </w:pPr>
      <w:r>
        <w:rPr>
          <w:rFonts w:ascii="Arial" w:cs="Arial" w:eastAsia="Arial" w:hAnsi="Arial"/>
          <w:sz w:val="18"/>
          <w:szCs w:val="18"/>
          <w:color w:val="auto"/>
        </w:rPr>
        <w:t>Office area kitchenette will have domestic cold water, waste and vent connected to existing building services. Hot water will be generated by a point of use heater below the sink or above ceiling depending on whether a dishwasher is provided in space.</w:t>
      </w:r>
    </w:p>
    <w:p>
      <w:pPr>
        <w:spacing w:after="0" w:line="146" w:lineRule="exact"/>
        <w:rPr>
          <w:sz w:val="20"/>
          <w:szCs w:val="20"/>
          <w:color w:val="auto"/>
        </w:rPr>
      </w:pPr>
    </w:p>
    <w:p>
      <w:pPr>
        <w:ind w:left="780" w:right="580"/>
        <w:spacing w:after="0" w:line="245" w:lineRule="auto"/>
        <w:rPr>
          <w:sz w:val="20"/>
          <w:szCs w:val="20"/>
          <w:color w:val="auto"/>
        </w:rPr>
      </w:pPr>
      <w:r>
        <w:rPr>
          <w:rFonts w:ascii="Arial" w:cs="Arial" w:eastAsia="Arial" w:hAnsi="Arial"/>
          <w:sz w:val="18"/>
          <w:szCs w:val="18"/>
          <w:color w:val="auto"/>
        </w:rPr>
        <w:t>Non-potable hot water is generated by base building duplex gas fired water heaters located in the penthouse mechanical room and shall serve all laboratory sinks and equipment throughout the tenant space.</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Floor drains shall be provided at all new equipment requiring drains such as ice makers, glass washers, autoclaves, steam generators, etc.</w:t>
      </w:r>
    </w:p>
    <w:p>
      <w:pPr>
        <w:spacing w:after="0" w:line="188" w:lineRule="exact"/>
        <w:rPr>
          <w:sz w:val="20"/>
          <w:szCs w:val="20"/>
          <w:color w:val="auto"/>
        </w:rPr>
      </w:pPr>
    </w:p>
    <w:p>
      <w:pPr>
        <w:ind w:left="780" w:right="80"/>
        <w:spacing w:after="0" w:line="205" w:lineRule="exact"/>
        <w:rPr>
          <w:sz w:val="20"/>
          <w:szCs w:val="20"/>
          <w:color w:val="auto"/>
        </w:rPr>
      </w:pPr>
      <w:r>
        <w:rPr>
          <w:rFonts w:ascii="Arial" w:cs="Arial" w:eastAsia="Arial" w:hAnsi="Arial"/>
          <w:sz w:val="15"/>
          <w:szCs w:val="15"/>
          <w:color w:val="auto"/>
        </w:rPr>
        <w:t>Glass wash and autoclave equipment shall have self</w:t>
      </w:r>
      <w:r>
        <w:rPr>
          <w:rFonts w:ascii="MS PGothic" w:cs="MS PGothic" w:eastAsia="MS PGothic" w:hAnsi="MS PGothic"/>
          <w:sz w:val="15"/>
          <w:szCs w:val="15"/>
          <w:color w:val="auto"/>
        </w:rPr>
        <w:t>‐</w:t>
      </w:r>
      <w:r>
        <w:rPr>
          <w:rFonts w:ascii="Arial" w:cs="Arial" w:eastAsia="Arial" w:hAnsi="Arial"/>
          <w:sz w:val="15"/>
          <w:szCs w:val="15"/>
          <w:color w:val="auto"/>
        </w:rPr>
        <w:t>contained electric steam generators with cool down tanks. A separate cold water connection with connected temperature sensor in the floor drain trap shall be provided to protect against cool down system failure, and to prevent the discharge of water in excess of 140 degrees F into the plumbing drainage system in accordance with the Commonwealth of Massachusetts Uniform Plumbing Code.</w:t>
      </w:r>
    </w:p>
    <w:p>
      <w:pPr>
        <w:spacing w:after="0" w:line="151" w:lineRule="exact"/>
        <w:rPr>
          <w:sz w:val="20"/>
          <w:szCs w:val="20"/>
          <w:color w:val="auto"/>
        </w:rPr>
      </w:pPr>
    </w:p>
    <w:p>
      <w:pPr>
        <w:ind w:left="780"/>
        <w:spacing w:after="0" w:line="281" w:lineRule="auto"/>
        <w:rPr>
          <w:sz w:val="20"/>
          <w:szCs w:val="20"/>
          <w:color w:val="auto"/>
        </w:rPr>
      </w:pPr>
      <w:r>
        <w:rPr>
          <w:rFonts w:ascii="Arial" w:cs="Arial" w:eastAsia="Arial" w:hAnsi="Arial"/>
          <w:sz w:val="16"/>
          <w:szCs w:val="16"/>
          <w:color w:val="auto"/>
        </w:rPr>
        <w:t>RO shall be piped to the humidification units serving the ACF Area. All new RO piping shall be installed in a continuous loop, with no dead legs. Piping shall match existing polypropylene material, shall be joined utilizing socket weld joints, and shall be continuously supported to ensure no trapped sections of piping. All piping shall be installed with a positive pitch to allow all section to drain back to risers or sink outlets.</w:t>
      </w:r>
    </w:p>
    <w:p>
      <w:pPr>
        <w:spacing w:after="0" w:line="119" w:lineRule="exact"/>
        <w:rPr>
          <w:sz w:val="20"/>
          <w:szCs w:val="20"/>
          <w:color w:val="auto"/>
        </w:rPr>
      </w:pPr>
    </w:p>
    <w:p>
      <w:pPr>
        <w:ind w:left="780" w:right="160"/>
        <w:spacing w:after="0" w:line="245" w:lineRule="auto"/>
        <w:rPr>
          <w:sz w:val="20"/>
          <w:szCs w:val="20"/>
          <w:color w:val="auto"/>
        </w:rPr>
      </w:pPr>
      <w:r>
        <w:rPr>
          <w:rFonts w:ascii="Arial" w:cs="Arial" w:eastAsia="Arial" w:hAnsi="Arial"/>
          <w:sz w:val="18"/>
          <w:szCs w:val="18"/>
          <w:color w:val="auto"/>
        </w:rPr>
        <w:t>ACF sinks in the receiving and gowning rooms shall be piped to the building sanitary drainage &amp; vent system, sinks in procedure rooms connection to the lab waste/vent system with a sampling port.</w:t>
      </w:r>
    </w:p>
    <w:p>
      <w:pPr>
        <w:spacing w:after="0" w:line="146" w:lineRule="exact"/>
        <w:rPr>
          <w:sz w:val="20"/>
          <w:szCs w:val="20"/>
          <w:color w:val="auto"/>
        </w:rPr>
      </w:pPr>
    </w:p>
    <w:p>
      <w:pPr>
        <w:ind w:left="780" w:right="440"/>
        <w:spacing w:after="0" w:line="245" w:lineRule="auto"/>
        <w:rPr>
          <w:sz w:val="20"/>
          <w:szCs w:val="20"/>
          <w:color w:val="auto"/>
        </w:rPr>
      </w:pPr>
      <w:r>
        <w:rPr>
          <w:rFonts w:ascii="Arial" w:cs="Arial" w:eastAsia="Arial" w:hAnsi="Arial"/>
          <w:sz w:val="18"/>
          <w:szCs w:val="18"/>
          <w:color w:val="auto"/>
        </w:rPr>
        <w:t>Pilot plant design shall follow the latest Seres User/Design Requirements signed off on October 26, 2015. Pilot plant shall consist of the following equipment and systems.</w:t>
      </w:r>
    </w:p>
    <w:p>
      <w:pPr>
        <w:spacing w:after="0" w:line="146" w:lineRule="exact"/>
        <w:rPr>
          <w:sz w:val="20"/>
          <w:szCs w:val="20"/>
          <w:color w:val="auto"/>
        </w:rPr>
      </w:pPr>
    </w:p>
    <w:p>
      <w:pPr>
        <w:ind w:left="1520" w:right="100" w:hanging="375"/>
        <w:spacing w:after="0" w:line="204" w:lineRule="exact"/>
        <w:tabs>
          <w:tab w:leader="none" w:pos="15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 new USP grade pure water distribution skid shall be located within the basement mechanical space located below the Pilot Lab. Piping shall be distributed in a continuous loop to all points of use as indicated in the system matrix. All piping shall be run in interior and exterior electro polished type 316 stainless steel. All SS piping shall be orbitally welded, and fully passivated prior to being put into use. All drops to equipment shall terminate with a zero static valve. All connections at drops shall utilize stainless steel sanitary fittings (tri</w:t>
      </w:r>
      <w:r>
        <w:rPr>
          <w:rFonts w:ascii="MS PGothic" w:cs="MS PGothic" w:eastAsia="MS PGothic" w:hAnsi="MS PGothic"/>
          <w:sz w:val="16"/>
          <w:szCs w:val="16"/>
          <w:color w:val="auto"/>
        </w:rPr>
        <w:t>‐</w:t>
      </w:r>
      <w:r>
        <w:rPr>
          <w:rFonts w:ascii="Arial" w:cs="Arial" w:eastAsia="Arial" w:hAnsi="Arial"/>
          <w:sz w:val="16"/>
          <w:szCs w:val="16"/>
          <w:color w:val="auto"/>
        </w:rPr>
        <w:t>clover).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3 of 12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48" w:name="page249"/>
    <w:bookmarkEnd w:id="248"/>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1520" w:right="100" w:hanging="375"/>
        <w:spacing w:after="0" w:line="245" w:lineRule="auto"/>
        <w:tabs>
          <w:tab w:leader="none" w:pos="1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new RO generating skid shall be located in the basement. This system shall be dedicated to the HVAC humidification requirements within the Pilot Lab. Flow rates shall be confirmed pending final HVAC design.</w:t>
      </w:r>
    </w:p>
    <w:p>
      <w:pPr>
        <w:spacing w:after="0" w:line="146" w:lineRule="exact"/>
        <w:rPr>
          <w:rFonts w:ascii="Arial" w:cs="Arial" w:eastAsia="Arial" w:hAnsi="Arial"/>
          <w:sz w:val="18"/>
          <w:szCs w:val="18"/>
          <w:color w:val="auto"/>
        </w:rPr>
      </w:pPr>
    </w:p>
    <w:p>
      <w:pPr>
        <w:ind w:left="1520" w:right="240" w:hanging="375"/>
        <w:spacing w:after="0" w:line="205" w:lineRule="exact"/>
        <w:tabs>
          <w:tab w:leader="none" w:pos="1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new RO reject reclamation system shall be provided to collect all rejected RO water from both the pure water skid and the RO skid. The water shall be treated per MA Plumbing Board requirements (UV filtration.) Piping shall be extended up to the penthouse where it shall connect to the existing cooling tower make</w:t>
      </w:r>
      <w:r>
        <w:rPr>
          <w:rFonts w:ascii="MS PGothic" w:cs="MS PGothic" w:eastAsia="MS PGothic" w:hAnsi="MS PGothic"/>
          <w:sz w:val="18"/>
          <w:szCs w:val="18"/>
          <w:color w:val="auto"/>
        </w:rPr>
        <w:t>‐</w:t>
      </w:r>
      <w:r>
        <w:rPr>
          <w:rFonts w:ascii="Arial" w:cs="Arial" w:eastAsia="Arial" w:hAnsi="Arial"/>
          <w:sz w:val="18"/>
          <w:szCs w:val="18"/>
          <w:color w:val="auto"/>
        </w:rPr>
        <w:t>up connection.</w:t>
      </w:r>
    </w:p>
    <w:p>
      <w:pPr>
        <w:spacing w:after="0" w:line="152" w:lineRule="exact"/>
        <w:rPr>
          <w:rFonts w:ascii="Arial" w:cs="Arial" w:eastAsia="Arial" w:hAnsi="Arial"/>
          <w:sz w:val="18"/>
          <w:szCs w:val="18"/>
          <w:color w:val="auto"/>
        </w:rPr>
      </w:pPr>
    </w:p>
    <w:p>
      <w:pPr>
        <w:ind w:left="1520" w:right="120" w:hanging="375"/>
        <w:spacing w:after="0" w:line="237" w:lineRule="auto"/>
        <w:tabs>
          <w:tab w:leader="none" w:pos="1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New piping within the Pilot lab shall be provided to all fixtures and outlets as described in the building matrix as well as the signed off URS document. NCW, NHW, TW, Vacuum, &amp; CA shall extend from the existing building service mains to all sinks, safety stations, Autoclaves, BSC’s, etc within the lab space.</w:t>
      </w:r>
    </w:p>
    <w:p>
      <w:pPr>
        <w:spacing w:after="0" w:line="152" w:lineRule="exact"/>
        <w:rPr>
          <w:rFonts w:ascii="Arial" w:cs="Arial" w:eastAsia="Arial" w:hAnsi="Arial"/>
          <w:sz w:val="18"/>
          <w:szCs w:val="18"/>
          <w:color w:val="auto"/>
        </w:rPr>
      </w:pPr>
    </w:p>
    <w:p>
      <w:pPr>
        <w:ind w:left="1520" w:right="100" w:hanging="375"/>
        <w:spacing w:after="0" w:line="281" w:lineRule="auto"/>
        <w:tabs>
          <w:tab w:leader="none" w:pos="1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New specialty gas piping consisting of Instrument Air, Nitrogen, Oxygen, &amp; Special Gas (10% Hydrogen) shall be distributed locally from cylinder manifolds located in the gas storage room. All tubing shall be oxygen grade, bagged and capped, brazed copper as described above. Special gas shall run in polished type 316 stainless steel tubing, and shall be joined utilizing Swagelok style fittings.</w:t>
      </w:r>
    </w:p>
    <w:p>
      <w:pPr>
        <w:spacing w:after="0" w:line="119" w:lineRule="exact"/>
        <w:rPr>
          <w:rFonts w:ascii="Arial" w:cs="Arial" w:eastAsia="Arial" w:hAnsi="Arial"/>
          <w:sz w:val="16"/>
          <w:szCs w:val="16"/>
          <w:color w:val="auto"/>
        </w:rPr>
      </w:pPr>
    </w:p>
    <w:p>
      <w:pPr>
        <w:ind w:left="1520" w:right="20" w:hanging="375"/>
        <w:spacing w:after="0" w:line="237" w:lineRule="auto"/>
        <w:tabs>
          <w:tab w:leader="none" w:pos="1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drops within the Pilot Lab clean rooms shall transition to type 316 stainless steel tubing, and shall run exposed on the walls utilizing clean room style mounting hardware. Outlets shall utilize Swagelok diaphragm style shut offs. Final connections and regulators shall be provided by the end user.</w:t>
      </w:r>
    </w:p>
    <w:p>
      <w:pPr>
        <w:spacing w:after="0" w:line="147"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HVAC</w:t>
      </w:r>
    </w:p>
    <w:p>
      <w:pPr>
        <w:spacing w:after="0" w:line="171" w:lineRule="exact"/>
        <w:rPr>
          <w:sz w:val="20"/>
          <w:szCs w:val="20"/>
          <w:color w:val="auto"/>
        </w:rPr>
      </w:pPr>
    </w:p>
    <w:p>
      <w:pPr>
        <w:ind w:left="780" w:right="60"/>
        <w:spacing w:after="0" w:line="237" w:lineRule="auto"/>
        <w:rPr>
          <w:sz w:val="20"/>
          <w:szCs w:val="20"/>
          <w:color w:val="auto"/>
        </w:rPr>
      </w:pPr>
      <w:r>
        <w:rPr>
          <w:rFonts w:ascii="Arial" w:cs="Arial" w:eastAsia="Arial" w:hAnsi="Arial"/>
          <w:sz w:val="18"/>
          <w:szCs w:val="18"/>
          <w:color w:val="auto"/>
        </w:rPr>
        <w:t>Equipment from the base building is sized to adequately maintain a cooling temperature within the Tenant areas of an inside condition of 75ºF, dry bulb at 50% relative humidity; with outside condition of 91ºF dry bulb and 74ºF wet bulb during summer and 72ºF dry bulb inside at zero degree dry bulb outside during the winter.</w:t>
      </w:r>
    </w:p>
    <w:p>
      <w:pPr>
        <w:spacing w:after="0" w:line="153" w:lineRule="exact"/>
        <w:rPr>
          <w:sz w:val="20"/>
          <w:szCs w:val="20"/>
          <w:color w:val="auto"/>
        </w:rPr>
      </w:pPr>
    </w:p>
    <w:p>
      <w:pPr>
        <w:ind w:left="780" w:right="240"/>
        <w:spacing w:after="0" w:line="245" w:lineRule="auto"/>
        <w:rPr>
          <w:sz w:val="20"/>
          <w:szCs w:val="20"/>
          <w:color w:val="auto"/>
        </w:rPr>
      </w:pPr>
      <w:r>
        <w:rPr>
          <w:rFonts w:ascii="Arial" w:cs="Arial" w:eastAsia="Arial" w:hAnsi="Arial"/>
          <w:sz w:val="18"/>
          <w:szCs w:val="18"/>
          <w:color w:val="auto"/>
        </w:rPr>
        <w:t>The allowance for occupancy density for air conditioning design is one (1) person for 400 square feet of lab and one (1) person for 200 square feet of office.</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Air flow from the base building system for the lab area is a variable air volume system with supply and exhaust air capacity at a rate of 2 CFM/SF.</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Air flow from the base building system for the office area is a variable air volume, with a plenum return system with a capacity of 1.25 CFM/SF.</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Hot water shall be piped to all variable air volume units from the base building distribution system.</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Variable air terminal unit shall serve the IT/Data Room.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4 of 12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49" w:name="page250"/>
    <w:bookmarkEnd w:id="249"/>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Cold rooms shall be storage only, no ventilation is required.</w:t>
      </w:r>
    </w:p>
    <w:p>
      <w:pPr>
        <w:spacing w:after="0" w:line="165" w:lineRule="exact"/>
        <w:rPr>
          <w:sz w:val="20"/>
          <w:szCs w:val="20"/>
          <w:color w:val="auto"/>
        </w:rPr>
      </w:pPr>
    </w:p>
    <w:p>
      <w:pPr>
        <w:ind w:left="780" w:right="440"/>
        <w:spacing w:after="0" w:line="245" w:lineRule="auto"/>
        <w:rPr>
          <w:sz w:val="20"/>
          <w:szCs w:val="20"/>
          <w:color w:val="auto"/>
        </w:rPr>
      </w:pPr>
      <w:r>
        <w:rPr>
          <w:rFonts w:ascii="Arial" w:cs="Arial" w:eastAsia="Arial" w:hAnsi="Arial"/>
          <w:sz w:val="18"/>
          <w:szCs w:val="18"/>
          <w:color w:val="auto"/>
        </w:rPr>
        <w:t>Six foot fume hoods in Biology West and Tissue Culture shall be constant type rated at 100 FPM face velocity at 18 inch sash height opening (785 CFM/hood).</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100C% exhausted BSC’s will be ducted to the general exhaust system thru an exhaust VAV.</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equipment exhaust connections shall be per the latest equipment matrix sent on October 29, 2015.</w:t>
      </w:r>
    </w:p>
    <w:p>
      <w:pPr>
        <w:spacing w:after="0" w:line="165" w:lineRule="exact"/>
        <w:rPr>
          <w:sz w:val="20"/>
          <w:szCs w:val="20"/>
          <w:color w:val="auto"/>
        </w:rPr>
      </w:pPr>
    </w:p>
    <w:p>
      <w:pPr>
        <w:ind w:left="780" w:right="100"/>
        <w:spacing w:after="0" w:line="235" w:lineRule="auto"/>
        <w:rPr>
          <w:sz w:val="20"/>
          <w:szCs w:val="20"/>
          <w:color w:val="auto"/>
        </w:rPr>
      </w:pPr>
      <w:r>
        <w:rPr>
          <w:rFonts w:ascii="Arial" w:cs="Arial" w:eastAsia="Arial" w:hAnsi="Arial"/>
          <w:sz w:val="18"/>
          <w:szCs w:val="18"/>
          <w:color w:val="auto"/>
        </w:rPr>
        <w:t>ACF Area shall be designated for 72°± 2° dry bulb, 40% (winter) to 55% (summer) RH range in the holding rooms and 72°± 2° dry bulb, 25% (winter) to 55% (summer) RH in the remaining rooms. Constant flow terminal units shall be connected to the base building supply air system with an independent tenant exhaust air system with dual fans. Each fan will be rated for 55% capacity of the total system, with both fans operating during normal and generator power conditions.</w:t>
      </w:r>
    </w:p>
    <w:p>
      <w:pPr>
        <w:spacing w:after="0" w:line="152" w:lineRule="exact"/>
        <w:rPr>
          <w:sz w:val="20"/>
          <w:szCs w:val="20"/>
          <w:color w:val="auto"/>
        </w:rPr>
      </w:pPr>
    </w:p>
    <w:p>
      <w:pPr>
        <w:ind w:left="1520" w:hanging="375"/>
        <w:spacing w:after="0"/>
        <w:tabs>
          <w:tab w:leader="none" w:pos="1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Procedure rooms with and without hoods shall have a minimum of 10 air changes per hour.</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Holding rooms with and without hoods shall a minimum of 15 air changes per hour.</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other rooms and corridors will be balanced to maintain pressure relationships per air flow diagram.</w:t>
      </w:r>
    </w:p>
    <w:p>
      <w:pPr>
        <w:spacing w:after="0" w:line="165" w:lineRule="exact"/>
        <w:rPr>
          <w:sz w:val="20"/>
          <w:szCs w:val="20"/>
          <w:color w:val="auto"/>
        </w:rPr>
      </w:pPr>
    </w:p>
    <w:p>
      <w:pPr>
        <w:ind w:left="780" w:right="60"/>
        <w:spacing w:after="0" w:line="235" w:lineRule="auto"/>
        <w:rPr>
          <w:sz w:val="20"/>
          <w:szCs w:val="20"/>
          <w:color w:val="auto"/>
        </w:rPr>
      </w:pPr>
      <w:r>
        <w:rPr>
          <w:rFonts w:ascii="Arial" w:cs="Arial" w:eastAsia="Arial" w:hAnsi="Arial"/>
          <w:sz w:val="18"/>
          <w:szCs w:val="18"/>
          <w:color w:val="auto"/>
        </w:rPr>
        <w:t>A 5 ton split system air conditioning unit with 20 KW electric heating coil shall be cross connected into the ACF Area ductwork distribution system with dampers to provide stand – by conditions for the holding rooms only. Air handling unit shall be located in the basement and connected to an intake plenum with refrigerant piping connecting the air cooled condensing unit located on grade. The heating and cooling functions will not operate at the same time and will be control by the average temperature in the holding rooms.</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Air cooled condensing unit for the ACF shall be located on the roof.</w:t>
      </w:r>
    </w:p>
    <w:p>
      <w:pPr>
        <w:spacing w:after="0" w:line="165" w:lineRule="exact"/>
        <w:rPr>
          <w:sz w:val="20"/>
          <w:szCs w:val="20"/>
          <w:color w:val="auto"/>
        </w:rPr>
      </w:pPr>
    </w:p>
    <w:p>
      <w:pPr>
        <w:ind w:left="780" w:right="220"/>
        <w:spacing w:after="0" w:line="281" w:lineRule="auto"/>
        <w:rPr>
          <w:sz w:val="20"/>
          <w:szCs w:val="20"/>
          <w:color w:val="auto"/>
        </w:rPr>
      </w:pPr>
      <w:r>
        <w:rPr>
          <w:rFonts w:ascii="Arial" w:cs="Arial" w:eastAsia="Arial" w:hAnsi="Arial"/>
          <w:sz w:val="16"/>
          <w:szCs w:val="16"/>
          <w:color w:val="auto"/>
        </w:rPr>
        <w:t>Primary electric in line humidifier shall be installed to serve the entire ACF. Humidifiers shall be stainless steel and served from the RO system. Primary humidifier shall be controlled from a common exhaust duct from the ACF. Secondary humidifiers shall be install to serve each holding room and controlled from wall mounted humidistats. Humidifiers are not operational during normal power outage.</w:t>
      </w:r>
    </w:p>
    <w:p>
      <w:pPr>
        <w:spacing w:after="0" w:line="119" w:lineRule="exact"/>
        <w:rPr>
          <w:sz w:val="20"/>
          <w:szCs w:val="20"/>
          <w:color w:val="auto"/>
        </w:rPr>
      </w:pPr>
    </w:p>
    <w:p>
      <w:pPr>
        <w:ind w:left="780" w:right="300"/>
        <w:spacing w:after="0" w:line="245" w:lineRule="auto"/>
        <w:rPr>
          <w:sz w:val="20"/>
          <w:szCs w:val="20"/>
          <w:color w:val="auto"/>
        </w:rPr>
      </w:pPr>
      <w:r>
        <w:rPr>
          <w:rFonts w:ascii="Arial" w:cs="Arial" w:eastAsia="Arial" w:hAnsi="Arial"/>
          <w:sz w:val="18"/>
          <w:szCs w:val="18"/>
          <w:color w:val="auto"/>
        </w:rPr>
        <w:t>Sampling room shall have a primary humidification unit, mounted on the wall and piped into the main ductwork. The unit shall be controlled from a sensor in the exhaust ductwork stream. The room shall have 20 ACH of supply air off the house HVAC system.</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Conference room shall be on independent zones. Open offices and closed offices shall be grouped in areas.</w:t>
      </w:r>
    </w:p>
    <w:p>
      <w:pPr>
        <w:spacing w:after="0" w:line="165" w:lineRule="exact"/>
        <w:rPr>
          <w:sz w:val="20"/>
          <w:szCs w:val="20"/>
          <w:color w:val="auto"/>
        </w:rPr>
      </w:pPr>
    </w:p>
    <w:p>
      <w:pPr>
        <w:ind w:left="780" w:right="440"/>
        <w:spacing w:after="0" w:line="245" w:lineRule="auto"/>
        <w:rPr>
          <w:sz w:val="20"/>
          <w:szCs w:val="20"/>
          <w:color w:val="auto"/>
        </w:rPr>
      </w:pPr>
      <w:r>
        <w:rPr>
          <w:rFonts w:ascii="Arial" w:cs="Arial" w:eastAsia="Arial" w:hAnsi="Arial"/>
          <w:sz w:val="18"/>
          <w:szCs w:val="18"/>
          <w:color w:val="auto"/>
        </w:rPr>
        <w:t>Pilot plant design shall follow the latest Seres User/Design Requirements signed off on October 26, 2015. Pilot plant shall consist of the following equipment and systems. In general, the Grade C areas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5 of 12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0" w:name="page251"/>
    <w:bookmarkEnd w:id="250"/>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780" w:right="160"/>
        <w:spacing w:after="0" w:line="245" w:lineRule="auto"/>
        <w:rPr>
          <w:sz w:val="20"/>
          <w:szCs w:val="20"/>
          <w:color w:val="auto"/>
        </w:rPr>
      </w:pPr>
      <w:r>
        <w:rPr>
          <w:rFonts w:ascii="Arial" w:cs="Arial" w:eastAsia="Arial" w:hAnsi="Arial"/>
          <w:sz w:val="18"/>
          <w:szCs w:val="18"/>
          <w:color w:val="auto"/>
        </w:rPr>
        <w:t>will have 45 air changes per hour with a minimum of 25% outside air and the Grade D/CNC areas will have 20 air changes per hour with 30% outside air.</w:t>
      </w:r>
    </w:p>
    <w:p>
      <w:pPr>
        <w:spacing w:after="0" w:line="146" w:lineRule="exact"/>
        <w:rPr>
          <w:sz w:val="20"/>
          <w:szCs w:val="20"/>
          <w:color w:val="auto"/>
        </w:rPr>
      </w:pPr>
    </w:p>
    <w:p>
      <w:pPr>
        <w:ind w:left="1520" w:right="20" w:hanging="375"/>
        <w:spacing w:after="0" w:line="203" w:lineRule="exact"/>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Primary air handling unit rated for 15,000 CFM of 100% outside air, with heat recovery coil, glycol heating coil, chilled water coil, pre</w:t>
      </w:r>
      <w:r>
        <w:rPr>
          <w:rFonts w:ascii="MS PGothic" w:cs="MS PGothic" w:eastAsia="MS PGothic" w:hAnsi="MS PGothic"/>
          <w:sz w:val="18"/>
          <w:szCs w:val="18"/>
          <w:color w:val="auto"/>
        </w:rPr>
        <w:t>‐</w:t>
      </w:r>
      <w:r>
        <w:rPr>
          <w:rFonts w:ascii="Arial" w:cs="Arial" w:eastAsia="Arial" w:hAnsi="Arial"/>
          <w:sz w:val="18"/>
          <w:szCs w:val="18"/>
          <w:color w:val="auto"/>
        </w:rPr>
        <w:t>filters and 85% filters, fan wall with in line humidification 450 lb/hr steam supply unit fed from the Pilot plant RO system. The humidification unit shall either be gas fired or electric. The primary unit shall serve the secondary air handling units, and once thru zones as defined on the HVAC zoning plan. Units shall be double wall construction.</w:t>
      </w:r>
    </w:p>
    <w:p>
      <w:pPr>
        <w:spacing w:after="0" w:line="151" w:lineRule="exact"/>
        <w:rPr>
          <w:rFonts w:ascii="Arial" w:cs="Arial" w:eastAsia="Arial" w:hAnsi="Arial"/>
          <w:sz w:val="18"/>
          <w:szCs w:val="18"/>
          <w:color w:val="auto"/>
        </w:rPr>
      </w:pPr>
    </w:p>
    <w:p>
      <w:pPr>
        <w:ind w:left="1520" w:hanging="375"/>
        <w:spacing w:after="0"/>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Primary air unit will require and areaway for 100% outside air.</w:t>
      </w:r>
    </w:p>
    <w:p>
      <w:pPr>
        <w:spacing w:after="0" w:line="164" w:lineRule="exact"/>
        <w:rPr>
          <w:rFonts w:ascii="Arial" w:cs="Arial" w:eastAsia="Arial" w:hAnsi="Arial"/>
          <w:sz w:val="18"/>
          <w:szCs w:val="18"/>
          <w:color w:val="auto"/>
        </w:rPr>
      </w:pPr>
    </w:p>
    <w:p>
      <w:pPr>
        <w:ind w:left="1520" w:right="400" w:hanging="375"/>
        <w:spacing w:after="0" w:line="210" w:lineRule="exact"/>
        <w:tabs>
          <w:tab w:leader="none" w:pos="15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Secondary air handling unit serving GMP support areas and corridors as defined on the HVAC zoning plan. The unit shall include a pre</w:t>
      </w:r>
      <w:r>
        <w:rPr>
          <w:rFonts w:ascii="MS PGothic" w:cs="MS PGothic" w:eastAsia="MS PGothic" w:hAnsi="MS PGothic"/>
          <w:sz w:val="16"/>
          <w:szCs w:val="16"/>
          <w:color w:val="auto"/>
        </w:rPr>
        <w:t>‐</w:t>
      </w:r>
      <w:r>
        <w:rPr>
          <w:rFonts w:ascii="Arial" w:cs="Arial" w:eastAsia="Arial" w:hAnsi="Arial"/>
          <w:sz w:val="16"/>
          <w:szCs w:val="16"/>
          <w:color w:val="auto"/>
        </w:rPr>
        <w:t xml:space="preserve"> filter/85% filter section, hot water coil, chilled water coil and fan wall. Units shall be double wall construction.</w:t>
      </w:r>
    </w:p>
    <w:p>
      <w:pPr>
        <w:spacing w:after="0" w:line="150" w:lineRule="exact"/>
        <w:rPr>
          <w:rFonts w:ascii="Arial" w:cs="Arial" w:eastAsia="Arial" w:hAnsi="Arial"/>
          <w:sz w:val="16"/>
          <w:szCs w:val="16"/>
          <w:color w:val="auto"/>
        </w:rPr>
      </w:pPr>
    </w:p>
    <w:p>
      <w:pPr>
        <w:ind w:left="1520" w:right="120" w:hanging="375"/>
        <w:spacing w:after="0" w:line="209" w:lineRule="exact"/>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Secondary air handling unit serving Prep and Sterilization as defined on the HVAC zoning plan. The unit shall include a pre</w:t>
      </w:r>
      <w:r>
        <w:rPr>
          <w:rFonts w:ascii="MS PGothic" w:cs="MS PGothic" w:eastAsia="MS PGothic" w:hAnsi="MS PGothic"/>
          <w:sz w:val="18"/>
          <w:szCs w:val="18"/>
          <w:color w:val="auto"/>
        </w:rPr>
        <w:t>‐</w:t>
      </w:r>
      <w:r>
        <w:rPr>
          <w:rFonts w:ascii="Arial" w:cs="Arial" w:eastAsia="Arial" w:hAnsi="Arial"/>
          <w:sz w:val="18"/>
          <w:szCs w:val="18"/>
          <w:color w:val="auto"/>
        </w:rPr>
        <w:t>filter/85% filter section, hot water coil, chilled water coil and fan wall. Units shall be double wall construction.</w:t>
      </w:r>
    </w:p>
    <w:p>
      <w:pPr>
        <w:spacing w:after="0" w:line="151" w:lineRule="exact"/>
        <w:rPr>
          <w:rFonts w:ascii="Arial" w:cs="Arial" w:eastAsia="Arial" w:hAnsi="Arial"/>
          <w:sz w:val="18"/>
          <w:szCs w:val="18"/>
          <w:color w:val="auto"/>
        </w:rPr>
      </w:pPr>
    </w:p>
    <w:p>
      <w:pPr>
        <w:ind w:left="1520" w:right="120" w:hanging="375"/>
        <w:spacing w:after="0" w:line="205" w:lineRule="exact"/>
        <w:tabs>
          <w:tab w:leader="none" w:pos="15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Secondary air handling unit serving Suite A as defined on the HVAC zoning plan. The unit shall include a pre</w:t>
      </w:r>
      <w:r>
        <w:rPr>
          <w:rFonts w:ascii="MS PGothic" w:cs="MS PGothic" w:eastAsia="MS PGothic" w:hAnsi="MS PGothic"/>
          <w:sz w:val="16"/>
          <w:szCs w:val="16"/>
          <w:color w:val="auto"/>
        </w:rPr>
        <w:t>‐</w:t>
      </w:r>
      <w:r>
        <w:rPr>
          <w:rFonts w:ascii="Arial" w:cs="Arial" w:eastAsia="Arial" w:hAnsi="Arial"/>
          <w:sz w:val="16"/>
          <w:szCs w:val="16"/>
          <w:color w:val="auto"/>
        </w:rPr>
        <w:t>filter/85% filter section, hot water coil, chilled water coils, desiccant wheel, high heat section and fan. Units shall be double wall construction and shall be manufactured by Munter’s. The system shall have a secondary electric humidification unit rated for 60 lbs/hr and 20 KW.</w:t>
      </w:r>
    </w:p>
    <w:p>
      <w:pPr>
        <w:spacing w:after="0" w:line="151" w:lineRule="exact"/>
        <w:rPr>
          <w:rFonts w:ascii="Arial" w:cs="Arial" w:eastAsia="Arial" w:hAnsi="Arial"/>
          <w:sz w:val="16"/>
          <w:szCs w:val="16"/>
          <w:color w:val="auto"/>
        </w:rPr>
      </w:pPr>
    </w:p>
    <w:p>
      <w:pPr>
        <w:ind w:left="1520" w:right="260" w:hanging="375"/>
        <w:spacing w:after="0" w:line="209" w:lineRule="exact"/>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Secondary air handling unit serving Suite B as defined on the HVAC zoning plan. The unit shall include a pre</w:t>
      </w:r>
      <w:r>
        <w:rPr>
          <w:rFonts w:ascii="MS PGothic" w:cs="MS PGothic" w:eastAsia="MS PGothic" w:hAnsi="MS PGothic"/>
          <w:sz w:val="18"/>
          <w:szCs w:val="18"/>
          <w:color w:val="auto"/>
        </w:rPr>
        <w:t>‐</w:t>
      </w:r>
      <w:r>
        <w:rPr>
          <w:rFonts w:ascii="Arial" w:cs="Arial" w:eastAsia="Arial" w:hAnsi="Arial"/>
          <w:sz w:val="18"/>
          <w:szCs w:val="18"/>
          <w:color w:val="auto"/>
        </w:rPr>
        <w:t>filter/85% filter section, hot water coil, chilled water coil and fan wall. Units shall be double wall construction.</w:t>
      </w:r>
    </w:p>
    <w:p>
      <w:pPr>
        <w:spacing w:after="0" w:line="151" w:lineRule="exact"/>
        <w:rPr>
          <w:rFonts w:ascii="Arial" w:cs="Arial" w:eastAsia="Arial" w:hAnsi="Arial"/>
          <w:sz w:val="18"/>
          <w:szCs w:val="18"/>
          <w:color w:val="auto"/>
        </w:rPr>
      </w:pPr>
    </w:p>
    <w:p>
      <w:pPr>
        <w:ind w:left="1520" w:right="260" w:hanging="375"/>
        <w:spacing w:after="0" w:line="209" w:lineRule="exact"/>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Secondary air handling unit serving Suite C as defined on the HVAC zoning plan. The unit shall include a pre</w:t>
      </w:r>
      <w:r>
        <w:rPr>
          <w:rFonts w:ascii="MS PGothic" w:cs="MS PGothic" w:eastAsia="MS PGothic" w:hAnsi="MS PGothic"/>
          <w:sz w:val="18"/>
          <w:szCs w:val="18"/>
          <w:color w:val="auto"/>
        </w:rPr>
        <w:t>‐</w:t>
      </w:r>
      <w:r>
        <w:rPr>
          <w:rFonts w:ascii="Arial" w:cs="Arial" w:eastAsia="Arial" w:hAnsi="Arial"/>
          <w:sz w:val="18"/>
          <w:szCs w:val="18"/>
          <w:color w:val="auto"/>
        </w:rPr>
        <w:t>filter/85% filter section, hot water coil, chilled water coil and fan wall. Units shall be double wall construction.</w:t>
      </w:r>
    </w:p>
    <w:p>
      <w:pPr>
        <w:spacing w:after="0" w:line="151" w:lineRule="exact"/>
        <w:rPr>
          <w:rFonts w:ascii="Arial" w:cs="Arial" w:eastAsia="Arial" w:hAnsi="Arial"/>
          <w:sz w:val="18"/>
          <w:szCs w:val="18"/>
          <w:color w:val="auto"/>
        </w:rPr>
      </w:pPr>
    </w:p>
    <w:p>
      <w:pPr>
        <w:ind w:left="1520" w:right="260" w:hanging="375"/>
        <w:spacing w:after="0" w:line="209" w:lineRule="exact"/>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Secondary air handling unit serving Suite D as defined on the HVAC zoning plan. The unit shall include a pre</w:t>
      </w:r>
      <w:r>
        <w:rPr>
          <w:rFonts w:ascii="MS PGothic" w:cs="MS PGothic" w:eastAsia="MS PGothic" w:hAnsi="MS PGothic"/>
          <w:sz w:val="18"/>
          <w:szCs w:val="18"/>
          <w:color w:val="auto"/>
        </w:rPr>
        <w:t>‐</w:t>
      </w:r>
      <w:r>
        <w:rPr>
          <w:rFonts w:ascii="Arial" w:cs="Arial" w:eastAsia="Arial" w:hAnsi="Arial"/>
          <w:sz w:val="18"/>
          <w:szCs w:val="18"/>
          <w:color w:val="auto"/>
        </w:rPr>
        <w:t>filter/85% filter section, hot water coil, chilled water coil and fan wall. Units shall be double wall construction.</w:t>
      </w:r>
    </w:p>
    <w:p>
      <w:pPr>
        <w:spacing w:after="0" w:line="151" w:lineRule="exact"/>
        <w:rPr>
          <w:rFonts w:ascii="Arial" w:cs="Arial" w:eastAsia="Arial" w:hAnsi="Arial"/>
          <w:sz w:val="18"/>
          <w:szCs w:val="18"/>
          <w:color w:val="auto"/>
        </w:rPr>
      </w:pPr>
    </w:p>
    <w:p>
      <w:pPr>
        <w:ind w:left="1520" w:right="500" w:hanging="375"/>
        <w:spacing w:after="0" w:line="245" w:lineRule="auto"/>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200 ton air cooled chilled water system, consisting of two 100 ton air cooled chillers with 30% glycol solution, pumps and accessories, serving the air handling units.</w:t>
      </w:r>
    </w:p>
    <w:p>
      <w:pPr>
        <w:spacing w:after="0" w:line="146" w:lineRule="exact"/>
        <w:rPr>
          <w:rFonts w:ascii="Arial" w:cs="Arial" w:eastAsia="Arial" w:hAnsi="Arial"/>
          <w:sz w:val="18"/>
          <w:szCs w:val="18"/>
          <w:color w:val="auto"/>
        </w:rPr>
      </w:pPr>
    </w:p>
    <w:p>
      <w:pPr>
        <w:ind w:left="1520" w:right="120" w:hanging="375"/>
        <w:spacing w:after="0" w:line="245" w:lineRule="auto"/>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Two 1,500 MBH condensing gas fired hot water boilers with boiler pumps and system pumps with accessories serving the air handling units and heating coils. The primary air handling unit shall have a glycol loop.</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6 of 12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1520" w:right="140" w:hanging="375"/>
        <w:spacing w:after="0" w:line="245" w:lineRule="auto"/>
        <w:tabs>
          <w:tab w:leader="none" w:pos="15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exhaust unit shall be a high plume fan assembly with 30% filters, heat recovery coil, and VFD control on the unit with bypass dampers. The matching heat recovery coil shall be in the primary air handling unit.</w:t>
      </w:r>
    </w:p>
    <w:p>
      <w:pPr>
        <w:spacing w:after="0" w:line="146" w:lineRule="exact"/>
        <w:rPr>
          <w:rFonts w:ascii="Arial" w:cs="Arial" w:eastAsia="Arial" w:hAnsi="Arial"/>
          <w:sz w:val="18"/>
          <w:szCs w:val="18"/>
          <w:color w:val="auto"/>
        </w:rPr>
      </w:pPr>
    </w:p>
    <w:p>
      <w:pPr>
        <w:ind w:left="1520" w:hanging="375"/>
        <w:spacing w:after="0"/>
        <w:tabs>
          <w:tab w:leader="none" w:pos="15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Control sequence for the VHP purge system is described in the documents.</w:t>
      </w:r>
    </w:p>
    <w:p>
      <w:pPr>
        <w:spacing w:after="0" w:line="165" w:lineRule="exact"/>
        <w:rPr>
          <w:sz w:val="20"/>
          <w:szCs w:val="20"/>
          <w:color w:val="auto"/>
        </w:rPr>
      </w:pPr>
    </w:p>
    <w:p>
      <w:pPr>
        <w:ind w:left="780" w:right="320"/>
        <w:spacing w:after="0" w:line="245" w:lineRule="auto"/>
        <w:rPr>
          <w:sz w:val="20"/>
          <w:szCs w:val="20"/>
          <w:color w:val="auto"/>
        </w:rPr>
      </w:pPr>
      <w:r>
        <w:rPr>
          <w:rFonts w:ascii="Arial" w:cs="Arial" w:eastAsia="Arial" w:hAnsi="Arial"/>
          <w:sz w:val="18"/>
          <w:szCs w:val="18"/>
          <w:color w:val="auto"/>
        </w:rPr>
        <w:t>Automatic Temperature Control system shall be an extension of the base building system. The following requirements shall be incorporated into the control of Seres Therapeutics systems for proper operation and energy savings:</w:t>
      </w:r>
    </w:p>
    <w:p>
      <w:pPr>
        <w:spacing w:after="0" w:line="146" w:lineRule="exact"/>
        <w:rPr>
          <w:sz w:val="20"/>
          <w:szCs w:val="20"/>
          <w:color w:val="auto"/>
        </w:rPr>
      </w:pPr>
    </w:p>
    <w:p>
      <w:pPr>
        <w:ind w:left="1520" w:hanging="375"/>
        <w:spacing w:after="0"/>
        <w:tabs>
          <w:tab w:leader="none" w:pos="1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Under normal power all air and water valves shall modulate to maintain set point temperature.</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occupied mode the lab and office air valves shall modulate between maximum and minimum set points.</w:t>
      </w:r>
    </w:p>
    <w:p>
      <w:pPr>
        <w:spacing w:after="0" w:line="164" w:lineRule="exact"/>
        <w:rPr>
          <w:rFonts w:ascii="Arial" w:cs="Arial" w:eastAsia="Arial" w:hAnsi="Arial"/>
          <w:sz w:val="18"/>
          <w:szCs w:val="18"/>
          <w:color w:val="auto"/>
        </w:rPr>
      </w:pPr>
    </w:p>
    <w:p>
      <w:pPr>
        <w:ind w:left="1520" w:right="400" w:hanging="375"/>
        <w:spacing w:after="0" w:line="245" w:lineRule="auto"/>
        <w:tabs>
          <w:tab w:leader="none" w:pos="1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un-occupied mode, the lab valve will reset minimum to 4 air changes and the office air valves will close. Terminal units shall cycle to maintain night set back temperatures.</w:t>
      </w:r>
    </w:p>
    <w:p>
      <w:pPr>
        <w:spacing w:after="0" w:line="146" w:lineRule="exact"/>
        <w:rPr>
          <w:rFonts w:ascii="Arial" w:cs="Arial" w:eastAsia="Arial" w:hAnsi="Arial"/>
          <w:sz w:val="18"/>
          <w:szCs w:val="18"/>
          <w:color w:val="auto"/>
        </w:rPr>
      </w:pPr>
    </w:p>
    <w:p>
      <w:pPr>
        <w:ind w:left="1520" w:hanging="375"/>
        <w:spacing w:after="0"/>
        <w:tabs>
          <w:tab w:leader="none" w:pos="1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ACF control will not change under any condition.</w:t>
      </w:r>
    </w:p>
    <w:p>
      <w:pPr>
        <w:spacing w:after="0" w:line="164" w:lineRule="exact"/>
        <w:rPr>
          <w:rFonts w:ascii="Arial" w:cs="Arial" w:eastAsia="Arial" w:hAnsi="Arial"/>
          <w:sz w:val="18"/>
          <w:szCs w:val="18"/>
          <w:color w:val="auto"/>
        </w:rPr>
      </w:pPr>
    </w:p>
    <w:p>
      <w:pPr>
        <w:ind w:left="1520" w:right="20" w:hanging="375"/>
        <w:spacing w:after="0" w:line="281" w:lineRule="auto"/>
        <w:tabs>
          <w:tab w:leader="none" w:pos="15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On generator power all supply and exhaust air valves in the office and lab shall fail closed, except the fume hood air valves which shall remain operational. In the ACF the supply valve shall fail closed, the exhaust valve shall remain operational, and the cross over dampers shall switch operation to allow for the backup system/sequence to function, serving the three holding rooms.</w:t>
      </w:r>
    </w:p>
    <w:p>
      <w:pPr>
        <w:spacing w:after="0" w:line="119" w:lineRule="exact"/>
        <w:rPr>
          <w:rFonts w:ascii="Arial" w:cs="Arial" w:eastAsia="Arial" w:hAnsi="Arial"/>
          <w:sz w:val="16"/>
          <w:szCs w:val="16"/>
          <w:color w:val="auto"/>
        </w:rPr>
      </w:pPr>
    </w:p>
    <w:p>
      <w:pPr>
        <w:ind w:left="1520" w:hanging="375"/>
        <w:spacing w:after="0"/>
        <w:tabs>
          <w:tab w:leader="none" w:pos="1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entire Pilot plant shall be on generator power.</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Electrical</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Lighting Requirements:</w:t>
      </w:r>
    </w:p>
    <w:p>
      <w:pPr>
        <w:spacing w:after="0" w:line="165" w:lineRule="exact"/>
        <w:rPr>
          <w:sz w:val="20"/>
          <w:szCs w:val="20"/>
          <w:color w:val="auto"/>
        </w:rPr>
      </w:pPr>
    </w:p>
    <w:p>
      <w:pPr>
        <w:ind w:left="780" w:right="400"/>
        <w:spacing w:after="0" w:line="245" w:lineRule="auto"/>
        <w:rPr>
          <w:sz w:val="20"/>
          <w:szCs w:val="20"/>
          <w:color w:val="auto"/>
        </w:rPr>
      </w:pPr>
      <w:r>
        <w:rPr>
          <w:rFonts w:ascii="Arial" w:cs="Arial" w:eastAsia="Arial" w:hAnsi="Arial"/>
          <w:sz w:val="18"/>
          <w:szCs w:val="18"/>
          <w:color w:val="auto"/>
        </w:rPr>
        <w:t>In general, lighting will be provided in all spaces. New fixtures will be as proposed by the architect and lighting designer as required to meet space lighting requirements as proposed below.</w:t>
      </w:r>
    </w:p>
    <w:p>
      <w:pPr>
        <w:spacing w:after="0" w:line="146" w:lineRule="exact"/>
        <w:rPr>
          <w:sz w:val="20"/>
          <w:szCs w:val="20"/>
          <w:color w:val="auto"/>
        </w:rPr>
      </w:pPr>
    </w:p>
    <w:p>
      <w:pPr>
        <w:ind w:left="1520" w:hanging="375"/>
        <w:spacing w:after="0" w:line="207" w:lineRule="exact"/>
        <w:tabs>
          <w:tab w:leader="none" w:pos="1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Office Areas: 30</w:t>
      </w:r>
      <w:r>
        <w:rPr>
          <w:rFonts w:ascii="MS PGothic" w:cs="MS PGothic" w:eastAsia="MS PGothic" w:hAnsi="MS PGothic"/>
          <w:sz w:val="18"/>
          <w:szCs w:val="18"/>
          <w:color w:val="auto"/>
        </w:rPr>
        <w:t>‐</w:t>
      </w:r>
      <w:r>
        <w:rPr>
          <w:rFonts w:ascii="Arial" w:cs="Arial" w:eastAsia="Arial" w:hAnsi="Arial"/>
          <w:sz w:val="18"/>
          <w:szCs w:val="18"/>
          <w:color w:val="auto"/>
        </w:rPr>
        <w:t>40 foot candles.</w:t>
      </w:r>
    </w:p>
    <w:p>
      <w:pPr>
        <w:spacing w:after="0" w:line="164" w:lineRule="exact"/>
        <w:rPr>
          <w:rFonts w:ascii="Arial" w:cs="Arial" w:eastAsia="Arial" w:hAnsi="Arial"/>
          <w:sz w:val="18"/>
          <w:szCs w:val="18"/>
          <w:color w:val="auto"/>
        </w:rPr>
      </w:pPr>
    </w:p>
    <w:p>
      <w:pPr>
        <w:ind w:left="1520" w:hanging="375"/>
        <w:spacing w:after="0" w:line="207" w:lineRule="exact"/>
        <w:tabs>
          <w:tab w:leader="none" w:pos="1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Laboratory Areas: 60</w:t>
      </w:r>
      <w:r>
        <w:rPr>
          <w:rFonts w:ascii="MS PGothic" w:cs="MS PGothic" w:eastAsia="MS PGothic" w:hAnsi="MS PGothic"/>
          <w:sz w:val="18"/>
          <w:szCs w:val="18"/>
          <w:color w:val="auto"/>
        </w:rPr>
        <w:t>‐</w:t>
      </w:r>
      <w:r>
        <w:rPr>
          <w:rFonts w:ascii="Arial" w:cs="Arial" w:eastAsia="Arial" w:hAnsi="Arial"/>
          <w:sz w:val="18"/>
          <w:szCs w:val="18"/>
          <w:color w:val="auto"/>
        </w:rPr>
        <w:t>75 foot candles.</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Lab Support Areas: 50 foot candles.</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Vivarium: See section below.</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Pilot Lab: See section below.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 of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Emergency lighting will be provided via a combination of local battery packs and small scale remote battery systems.</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Lighting controls will be provided in all spaces as required to meet the current energy code.</w:t>
      </w:r>
    </w:p>
    <w:p>
      <w:pPr>
        <w:spacing w:after="0" w:line="165" w:lineRule="exact"/>
        <w:rPr>
          <w:sz w:val="20"/>
          <w:szCs w:val="20"/>
          <w:color w:val="auto"/>
        </w:rPr>
      </w:pPr>
    </w:p>
    <w:p>
      <w:pPr>
        <w:ind w:left="1520" w:right="400" w:hanging="375"/>
        <w:spacing w:after="0" w:line="245" w:lineRule="auto"/>
        <w:tabs>
          <w:tab w:leader="none" w:pos="1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Open office areas controlled via occupancy sensors with separate controls for lighting in daylight zones, (as defined as 15’ from exterior glazing) manual override switch stations and light reduction controls.</w:t>
      </w:r>
    </w:p>
    <w:p>
      <w:pPr>
        <w:spacing w:after="0" w:line="146" w:lineRule="exact"/>
        <w:rPr>
          <w:rFonts w:ascii="Arial" w:cs="Arial" w:eastAsia="Arial" w:hAnsi="Arial"/>
          <w:sz w:val="18"/>
          <w:szCs w:val="18"/>
          <w:color w:val="auto"/>
        </w:rPr>
      </w:pPr>
    </w:p>
    <w:p>
      <w:pPr>
        <w:ind w:left="1520" w:hanging="375"/>
        <w:spacing w:after="0"/>
        <w:tabs>
          <w:tab w:leader="none" w:pos="1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Enclosed office controlled via local occupancy sensors with integral or separate manual on override switch stations.</w:t>
      </w:r>
    </w:p>
    <w:p>
      <w:pPr>
        <w:spacing w:after="0" w:line="164" w:lineRule="exact"/>
        <w:rPr>
          <w:rFonts w:ascii="Arial" w:cs="Arial" w:eastAsia="Arial" w:hAnsi="Arial"/>
          <w:sz w:val="18"/>
          <w:szCs w:val="18"/>
          <w:color w:val="auto"/>
        </w:rPr>
      </w:pPr>
    </w:p>
    <w:p>
      <w:pPr>
        <w:ind w:left="1520" w:right="240" w:hanging="375"/>
        <w:spacing w:after="0" w:line="306" w:lineRule="auto"/>
        <w:tabs>
          <w:tab w:leader="none" w:pos="15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Laboratory areas controlled via programmable microprocessor based lighting control system with separate controls for lighting in daylight zones, (as defined as 15’ from exterior glazing) manual override switch stations and light reduction controls.</w:t>
      </w:r>
    </w:p>
    <w:p>
      <w:pPr>
        <w:spacing w:after="0" w:line="99" w:lineRule="exact"/>
        <w:rPr>
          <w:rFonts w:ascii="Arial" w:cs="Arial" w:eastAsia="Arial" w:hAnsi="Arial"/>
          <w:sz w:val="16"/>
          <w:szCs w:val="16"/>
          <w:color w:val="auto"/>
        </w:rPr>
      </w:pPr>
    </w:p>
    <w:p>
      <w:pPr>
        <w:ind w:left="1520" w:hanging="375"/>
        <w:spacing w:after="0"/>
        <w:tabs>
          <w:tab w:leader="none" w:pos="1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Vivarium: See section below.</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Pilot Lab: See section below.</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Power Requirements:</w:t>
      </w:r>
    </w:p>
    <w:p>
      <w:pPr>
        <w:spacing w:after="0" w:line="165" w:lineRule="exact"/>
        <w:rPr>
          <w:sz w:val="20"/>
          <w:szCs w:val="20"/>
          <w:color w:val="auto"/>
        </w:rPr>
      </w:pPr>
    </w:p>
    <w:p>
      <w:pPr>
        <w:ind w:left="780" w:right="380"/>
        <w:spacing w:after="0" w:line="245" w:lineRule="auto"/>
        <w:rPr>
          <w:sz w:val="20"/>
          <w:szCs w:val="20"/>
          <w:color w:val="auto"/>
        </w:rPr>
      </w:pPr>
      <w:r>
        <w:rPr>
          <w:rFonts w:ascii="Arial" w:cs="Arial" w:eastAsia="Arial" w:hAnsi="Arial"/>
          <w:sz w:val="18"/>
          <w:szCs w:val="18"/>
          <w:color w:val="auto"/>
        </w:rPr>
        <w:t>In general, power will be provided as required to meet the program requirements and as dictated by the equipment and utility matrix and associated equipment cut information.</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Office Areas:</w:t>
      </w:r>
    </w:p>
    <w:p>
      <w:pPr>
        <w:spacing w:after="0" w:line="165" w:lineRule="exact"/>
        <w:rPr>
          <w:sz w:val="20"/>
          <w:szCs w:val="20"/>
          <w:color w:val="auto"/>
        </w:rPr>
      </w:pPr>
    </w:p>
    <w:p>
      <w:pPr>
        <w:ind w:left="1520" w:right="300" w:hanging="375"/>
        <w:spacing w:after="0" w:line="205" w:lineRule="exact"/>
        <w:tabs>
          <w:tab w:leader="none" w:pos="15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Provide duplex receptacles and a single tele/data outlet per enclosed office. Open office furniture shall be fed from a multi</w:t>
      </w:r>
      <w:r>
        <w:rPr>
          <w:rFonts w:ascii="MS PGothic" w:cs="MS PGothic" w:eastAsia="MS PGothic" w:hAnsi="MS PGothic"/>
          <w:sz w:val="18"/>
          <w:szCs w:val="18"/>
          <w:color w:val="auto"/>
        </w:rPr>
        <w:t>‐</w:t>
      </w:r>
      <w:r>
        <w:rPr>
          <w:rFonts w:ascii="Arial" w:cs="Arial" w:eastAsia="Arial" w:hAnsi="Arial"/>
          <w:sz w:val="18"/>
          <w:szCs w:val="18"/>
          <w:color w:val="auto"/>
        </w:rPr>
        <w:t>wire, 4</w:t>
      </w:r>
      <w:r>
        <w:rPr>
          <w:rFonts w:ascii="MS PGothic" w:cs="MS PGothic" w:eastAsia="MS PGothic" w:hAnsi="MS PGothic"/>
          <w:sz w:val="18"/>
          <w:szCs w:val="18"/>
          <w:color w:val="auto"/>
        </w:rPr>
        <w:t>‐</w:t>
      </w:r>
      <w:r>
        <w:rPr>
          <w:rFonts w:ascii="Arial" w:cs="Arial" w:eastAsia="Arial" w:hAnsi="Arial"/>
          <w:sz w:val="18"/>
          <w:szCs w:val="18"/>
          <w:color w:val="auto"/>
        </w:rPr>
        <w:t>circuit feed. Conference and multipurpose areas will have additional power for equipment and in floor locations as required by owner’s telecommunications and audio/video programming.</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Laboratory Areas:</w:t>
      </w:r>
    </w:p>
    <w:p>
      <w:pPr>
        <w:spacing w:after="0" w:line="165" w:lineRule="exact"/>
        <w:rPr>
          <w:sz w:val="20"/>
          <w:szCs w:val="20"/>
          <w:color w:val="auto"/>
        </w:rPr>
      </w:pPr>
    </w:p>
    <w:p>
      <w:pPr>
        <w:ind w:left="1520" w:right="100" w:hanging="375"/>
        <w:spacing w:after="0" w:line="203" w:lineRule="exact"/>
        <w:tabs>
          <w:tab w:leader="none" w:pos="1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Bench/Casework; provide surface raceway with 20</w:t>
      </w:r>
      <w:r>
        <w:rPr>
          <w:rFonts w:ascii="MS PGothic" w:cs="MS PGothic" w:eastAsia="MS PGothic" w:hAnsi="MS PGothic"/>
          <w:sz w:val="18"/>
          <w:szCs w:val="18"/>
          <w:color w:val="auto"/>
        </w:rPr>
        <w:t>‐</w:t>
      </w:r>
      <w:r>
        <w:rPr>
          <w:rFonts w:ascii="Arial" w:cs="Arial" w:eastAsia="Arial" w:hAnsi="Arial"/>
          <w:sz w:val="18"/>
          <w:szCs w:val="18"/>
          <w:color w:val="auto"/>
        </w:rPr>
        <w:t>ampere, 120</w:t>
      </w:r>
      <w:r>
        <w:rPr>
          <w:rFonts w:ascii="MS PGothic" w:cs="MS PGothic" w:eastAsia="MS PGothic" w:hAnsi="MS PGothic"/>
          <w:sz w:val="18"/>
          <w:szCs w:val="18"/>
          <w:color w:val="auto"/>
        </w:rPr>
        <w:t>‐</w:t>
      </w:r>
      <w:r>
        <w:rPr>
          <w:rFonts w:ascii="Arial" w:cs="Arial" w:eastAsia="Arial" w:hAnsi="Arial"/>
          <w:sz w:val="18"/>
          <w:szCs w:val="18"/>
          <w:color w:val="auto"/>
        </w:rPr>
        <w:t>volt duplex receptacles mounted 18 inches on center to match existing equipment. Two (2) 20 Amp circuits per bench. Fume Hoods provide (2) dedicated 20 ampere, 120 volt circuits. Where shown on plans, overhead ceiling utility panels will provide power to free standing equipment and bench areas. Provide tel/data and alarm point box/raceway as required by equipment matrix.</w:t>
      </w:r>
    </w:p>
    <w:p>
      <w:pPr>
        <w:spacing w:after="0" w:line="151" w:lineRule="exact"/>
        <w:rPr>
          <w:rFonts w:ascii="Arial" w:cs="Arial" w:eastAsia="Arial" w:hAnsi="Arial"/>
          <w:sz w:val="18"/>
          <w:szCs w:val="18"/>
          <w:color w:val="auto"/>
        </w:rPr>
      </w:pPr>
    </w:p>
    <w:p>
      <w:pPr>
        <w:ind w:left="1520" w:hanging="375"/>
        <w:spacing w:after="0"/>
        <w:tabs>
          <w:tab w:leader="none" w:pos="1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Vivarium: See section below.</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Pilot Lab: See section below.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3" w:name="page254"/>
    <w:bookmarkEnd w:id="253"/>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Lab Support Areas:</w:t>
      </w:r>
    </w:p>
    <w:p>
      <w:pPr>
        <w:spacing w:after="0" w:line="165" w:lineRule="exact"/>
        <w:rPr>
          <w:sz w:val="20"/>
          <w:szCs w:val="20"/>
          <w:color w:val="auto"/>
        </w:rPr>
      </w:pPr>
    </w:p>
    <w:p>
      <w:pPr>
        <w:ind w:left="1520" w:right="520" w:hanging="375"/>
        <w:spacing w:after="0" w:line="209" w:lineRule="exact"/>
        <w:tabs>
          <w:tab w:leader="none" w:pos="15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Provide dedicated duplex receptacles along perimeter walls and 208</w:t>
      </w:r>
      <w:r>
        <w:rPr>
          <w:rFonts w:ascii="MS PGothic" w:cs="MS PGothic" w:eastAsia="MS PGothic" w:hAnsi="MS PGothic"/>
          <w:sz w:val="18"/>
          <w:szCs w:val="18"/>
          <w:color w:val="auto"/>
        </w:rPr>
        <w:t>‐</w:t>
      </w:r>
      <w:r>
        <w:rPr>
          <w:rFonts w:ascii="Arial" w:cs="Arial" w:eastAsia="Arial" w:hAnsi="Arial"/>
          <w:sz w:val="18"/>
          <w:szCs w:val="18"/>
          <w:color w:val="auto"/>
        </w:rPr>
        <w:t>volt receptacles as required by equipment matrix. Provide tel/data box/raceway per equipment matrix.</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requirements:</w:t>
      </w:r>
    </w:p>
    <w:p>
      <w:pPr>
        <w:spacing w:after="0" w:line="165" w:lineRule="exact"/>
        <w:rPr>
          <w:sz w:val="20"/>
          <w:szCs w:val="20"/>
          <w:color w:val="auto"/>
        </w:rPr>
      </w:pPr>
    </w:p>
    <w:p>
      <w:pPr>
        <w:ind w:left="1520" w:hanging="375"/>
        <w:spacing w:after="0"/>
        <w:tabs>
          <w:tab w:leader="none" w:pos="1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Security System – new power locations as required by security system component layouts. (Security system by owner)</w:t>
      </w:r>
    </w:p>
    <w:p>
      <w:pPr>
        <w:spacing w:after="0" w:line="164" w:lineRule="exact"/>
        <w:rPr>
          <w:rFonts w:ascii="Arial" w:cs="Arial" w:eastAsia="Arial" w:hAnsi="Arial"/>
          <w:sz w:val="18"/>
          <w:szCs w:val="18"/>
          <w:color w:val="auto"/>
        </w:rPr>
      </w:pPr>
    </w:p>
    <w:p>
      <w:pPr>
        <w:ind w:left="780" w:right="1760" w:firstLine="365"/>
        <w:spacing w:after="0" w:line="431" w:lineRule="auto"/>
        <w:tabs>
          <w:tab w:leader="none" w:pos="152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Telephone/Data rooms – new power locations as required by system component layouts. (Tel/Data system by owner) Power check metering:</w:t>
      </w:r>
    </w:p>
    <w:p>
      <w:pPr>
        <w:ind w:left="1520" w:right="540" w:hanging="375"/>
        <w:spacing w:after="0" w:line="245" w:lineRule="auto"/>
        <w:tabs>
          <w:tab w:leader="none" w:pos="1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Electronic check metering equipment furnished by tenant. The equipment will interface with landlord provided metering equipment to monitor tenant power usage.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Standby Power and Generators:</w:t>
      </w:r>
    </w:p>
    <w:p>
      <w:pPr>
        <w:spacing w:after="0" w:line="165" w:lineRule="exact"/>
        <w:rPr>
          <w:sz w:val="20"/>
          <w:szCs w:val="20"/>
          <w:color w:val="auto"/>
        </w:rPr>
      </w:pPr>
    </w:p>
    <w:p>
      <w:pPr>
        <w:ind w:left="780" w:right="440"/>
        <w:spacing w:after="0" w:line="306" w:lineRule="auto"/>
        <w:rPr>
          <w:sz w:val="20"/>
          <w:szCs w:val="20"/>
          <w:color w:val="auto"/>
        </w:rPr>
      </w:pPr>
      <w:r>
        <w:rPr>
          <w:rFonts w:ascii="Arial" w:cs="Arial" w:eastAsia="Arial" w:hAnsi="Arial"/>
          <w:sz w:val="16"/>
          <w:szCs w:val="16"/>
          <w:color w:val="auto"/>
        </w:rPr>
        <w:t>Existing diesel fired generators currently supply power to tenant lab systems equipment, mechanical equipment and areas throughout the building. Existing distribution will be modified to serve tenant. Branch circuits will be modified to accommodate the following standby power loads</w:t>
      </w:r>
    </w:p>
    <w:p>
      <w:pPr>
        <w:sectPr>
          <w:pgSz w:w="11900" w:h="16838" w:orient="portrait"/>
          <w:cols w:equalWidth="0" w:num="1">
            <w:col w:w="11460"/>
          </w:cols>
          <w:pgMar w:left="220" w:top="129" w:right="219" w:bottom="1440" w:gutter="0" w:footer="0" w:header="0"/>
          <w:type w:val="continuous"/>
        </w:sectPr>
      </w:pPr>
    </w:p>
    <w:p>
      <w:pPr>
        <w:spacing w:after="0" w:line="10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Office Area:</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9" w:lineRule="exact"/>
        <w:rPr>
          <w:sz w:val="20"/>
          <w:szCs w:val="20"/>
          <w:color w:val="auto"/>
        </w:rPr>
      </w:pPr>
    </w:p>
    <w:p>
      <w:pPr>
        <w:sectPr>
          <w:pgSz w:w="11900" w:h="16838" w:orient="portrait"/>
          <w:cols w:equalWidth="0" w:num="3">
            <w:col w:w="1180" w:space="340"/>
            <w:col w:w="880" w:space="720"/>
            <w:col w:w="8340"/>
          </w:cols>
          <w:pgMar w:left="220" w:top="129" w:right="219" w:bottom="1440" w:gutter="0" w:footer="0" w:header="0"/>
          <w:type w:val="continuous"/>
        </w:sectPr>
      </w:pPr>
    </w:p>
    <w:p>
      <w:pPr>
        <w:ind w:left="11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Laboratory Areas: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required by equipment matrix</w:t>
      </w:r>
    </w:p>
    <w:p>
      <w:pPr>
        <w:spacing w:after="0" w:line="188" w:lineRule="exact"/>
        <w:rPr>
          <w:sz w:val="20"/>
          <w:szCs w:val="20"/>
          <w:color w:val="auto"/>
        </w:rPr>
      </w:pPr>
    </w:p>
    <w:p>
      <w:pPr>
        <w:sectPr>
          <w:pgSz w:w="11900" w:h="16838" w:orient="portrait"/>
          <w:cols w:equalWidth="0" w:num="3">
            <w:col w:w="1180" w:space="340"/>
            <w:col w:w="1280" w:space="320"/>
            <w:col w:w="8340"/>
          </w:cols>
          <w:pgMar w:left="220" w:top="129" w:right="219" w:bottom="1440" w:gutter="0" w:footer="0" w:header="0"/>
          <w:type w:val="continuous"/>
        </w:sectPr>
      </w:pPr>
    </w:p>
    <w:p>
      <w:pPr>
        <w:ind w:left="1520" w:hanging="375"/>
        <w:spacing w:after="0"/>
        <w:tabs>
          <w:tab w:leader="none" w:pos="1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Mechanical Systems: Selected ACF Systems HVAC systems and HVAC Controls</w:t>
      </w:r>
    </w:p>
    <w:p>
      <w:pPr>
        <w:spacing w:after="0" w:line="165" w:lineRule="exact"/>
        <w:rPr>
          <w:sz w:val="20"/>
          <w:szCs w:val="20"/>
          <w:color w:val="auto"/>
        </w:rPr>
      </w:pPr>
    </w:p>
    <w:p>
      <w:pPr>
        <w:ind w:left="1140"/>
        <w:spacing w:after="0"/>
        <w:tabs>
          <w:tab w:leader="none" w:pos="1500" w:val="left"/>
          <w:tab w:leader="none" w:pos="3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Vivarium:</w:t>
      </w:r>
      <w:r>
        <w:rPr>
          <w:sz w:val="20"/>
          <w:szCs w:val="20"/>
          <w:color w:val="auto"/>
        </w:rPr>
        <w:tab/>
      </w:r>
      <w:r>
        <w:rPr>
          <w:rFonts w:ascii="Arial" w:cs="Arial" w:eastAsia="Arial" w:hAnsi="Arial"/>
          <w:sz w:val="15"/>
          <w:szCs w:val="15"/>
          <w:color w:val="auto"/>
        </w:rPr>
        <w:t>See section below.</w:t>
      </w:r>
    </w:p>
    <w:p>
      <w:pPr>
        <w:spacing w:after="0" w:line="165" w:lineRule="exact"/>
        <w:rPr>
          <w:sz w:val="20"/>
          <w:szCs w:val="20"/>
          <w:color w:val="auto"/>
        </w:rPr>
      </w:pPr>
    </w:p>
    <w:p>
      <w:pPr>
        <w:ind w:left="780" w:right="180"/>
        <w:spacing w:after="0" w:line="205" w:lineRule="exact"/>
        <w:rPr>
          <w:sz w:val="20"/>
          <w:szCs w:val="20"/>
          <w:color w:val="auto"/>
        </w:rPr>
      </w:pPr>
      <w:r>
        <w:rPr>
          <w:rFonts w:ascii="Arial" w:cs="Arial" w:eastAsia="Arial" w:hAnsi="Arial"/>
          <w:sz w:val="18"/>
          <w:szCs w:val="18"/>
          <w:color w:val="auto"/>
        </w:rPr>
        <w:t>A new 450kW/562.5kVA natural gas fired optional standby generator will be provided, mounted on the roof, with a walk</w:t>
      </w:r>
      <w:r>
        <w:rPr>
          <w:rFonts w:ascii="MS PGothic" w:cs="MS PGothic" w:eastAsia="MS PGothic" w:hAnsi="MS PGothic"/>
          <w:sz w:val="18"/>
          <w:szCs w:val="18"/>
          <w:color w:val="auto"/>
        </w:rPr>
        <w:t>‐</w:t>
      </w:r>
      <w:r>
        <w:rPr>
          <w:rFonts w:ascii="Arial" w:cs="Arial" w:eastAsia="Arial" w:hAnsi="Arial"/>
          <w:sz w:val="18"/>
          <w:szCs w:val="18"/>
          <w:color w:val="auto"/>
        </w:rPr>
        <w:t>in, sound attenuated, weatherproof enclosure. The generator will feed (2) automatic transfer switches, feeding branch circuits to accommodate the following standby power loads</w:t>
      </w:r>
    </w:p>
    <w:p>
      <w:pPr>
        <w:spacing w:after="0" w:line="153" w:lineRule="exact"/>
        <w:rPr>
          <w:sz w:val="20"/>
          <w:szCs w:val="20"/>
          <w:color w:val="auto"/>
        </w:rPr>
      </w:pPr>
    </w:p>
    <w:p>
      <w:pPr>
        <w:ind w:left="1140"/>
        <w:spacing w:after="0"/>
        <w:tabs>
          <w:tab w:leader="none" w:pos="1500" w:val="left"/>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Pilot Lab:</w:t>
      </w:r>
      <w:r>
        <w:rPr>
          <w:sz w:val="20"/>
          <w:szCs w:val="20"/>
          <w:color w:val="auto"/>
        </w:rPr>
        <w:tab/>
      </w:r>
      <w:r>
        <w:rPr>
          <w:rFonts w:ascii="Arial" w:cs="Arial" w:eastAsia="Arial" w:hAnsi="Arial"/>
          <w:sz w:val="15"/>
          <w:szCs w:val="15"/>
          <w:color w:val="auto"/>
        </w:rPr>
        <w:t>See section below.</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Vivarium:</w:t>
      </w:r>
    </w:p>
    <w:p>
      <w:pPr>
        <w:spacing w:after="0" w:line="165" w:lineRule="exact"/>
        <w:rPr>
          <w:sz w:val="20"/>
          <w:szCs w:val="20"/>
          <w:color w:val="auto"/>
        </w:rPr>
      </w:pPr>
    </w:p>
    <w:p>
      <w:pPr>
        <w:ind w:left="780"/>
        <w:spacing w:after="0" w:line="184" w:lineRule="exact"/>
        <w:rPr>
          <w:sz w:val="20"/>
          <w:szCs w:val="20"/>
          <w:color w:val="auto"/>
        </w:rPr>
      </w:pPr>
      <w:r>
        <w:rPr>
          <w:rFonts w:ascii="Arial" w:cs="Arial" w:eastAsia="Arial" w:hAnsi="Arial"/>
          <w:sz w:val="16"/>
          <w:szCs w:val="16"/>
          <w:color w:val="auto"/>
        </w:rPr>
        <w:t>The vivarium Electrical system will be served by the modified normal and existing optional stand</w:t>
      </w:r>
      <w:r>
        <w:rPr>
          <w:rFonts w:ascii="MS PGothic" w:cs="MS PGothic" w:eastAsia="MS PGothic" w:hAnsi="MS PGothic"/>
          <w:sz w:val="16"/>
          <w:szCs w:val="16"/>
          <w:color w:val="auto"/>
        </w:rPr>
        <w:t>‐</w:t>
      </w:r>
      <w:r>
        <w:rPr>
          <w:rFonts w:ascii="Arial" w:cs="Arial" w:eastAsia="Arial" w:hAnsi="Arial"/>
          <w:sz w:val="16"/>
          <w:szCs w:val="16"/>
          <w:color w:val="auto"/>
        </w:rPr>
        <w:t>by power distribution in the building.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 of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4" w:name="page255"/>
    <w:bookmarkEnd w:id="254"/>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Lighting Controls:</w:t>
      </w:r>
    </w:p>
    <w:p>
      <w:pPr>
        <w:spacing w:after="0" w:line="165" w:lineRule="exact"/>
        <w:rPr>
          <w:sz w:val="20"/>
          <w:szCs w:val="20"/>
          <w:color w:val="auto"/>
        </w:rPr>
      </w:pPr>
    </w:p>
    <w:p>
      <w:pPr>
        <w:ind w:left="1520" w:right="20" w:hanging="375"/>
        <w:spacing w:after="0" w:line="273" w:lineRule="auto"/>
        <w:tabs>
          <w:tab w:leader="none" w:pos="15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Holding rooms shall be controlled via programmable microprocessor based lighting control system. Animal lighting system shall provide 10-30 FC utilizing full spectrum fluorescent or LED 1’x4’, 2’x2’ and 2’x4’ sealed and gasketed fixtures. Holding room lights shall be dimmable locally and have a local override located outside the door of each holding room. Animal red light shall be provided via red filtered jelly jar type fixtures controlled independently via separate time switch as required by programming.</w:t>
      </w:r>
    </w:p>
    <w:p>
      <w:pPr>
        <w:spacing w:after="0" w:line="125" w:lineRule="exact"/>
        <w:rPr>
          <w:rFonts w:ascii="Arial" w:cs="Arial" w:eastAsia="Arial" w:hAnsi="Arial"/>
          <w:sz w:val="16"/>
          <w:szCs w:val="16"/>
          <w:color w:val="auto"/>
        </w:rPr>
      </w:pPr>
    </w:p>
    <w:p>
      <w:pPr>
        <w:jc w:val="both"/>
        <w:ind w:left="1520" w:right="260" w:hanging="375"/>
        <w:spacing w:after="0" w:line="237" w:lineRule="auto"/>
        <w:tabs>
          <w:tab w:leader="none" w:pos="1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Procedure Rooms and remaining areas: Full spectrum fluorescent or LED lighting shall provide 50-75 FC utilizing 1’x4’, 2’x2’ and 2’x4’ sealed and gasketed fixtures. Lights shall be controlled via programmable microprocessor based lighting control system with local manual override controls.</w:t>
      </w:r>
    </w:p>
    <w:p>
      <w:pPr>
        <w:spacing w:after="0" w:line="152" w:lineRule="exact"/>
        <w:rPr>
          <w:rFonts w:ascii="Arial" w:cs="Arial" w:eastAsia="Arial" w:hAnsi="Arial"/>
          <w:sz w:val="18"/>
          <w:szCs w:val="18"/>
          <w:color w:val="auto"/>
        </w:rPr>
      </w:pPr>
    </w:p>
    <w:p>
      <w:pPr>
        <w:ind w:left="1520" w:right="20" w:hanging="375"/>
        <w:spacing w:after="0" w:line="245" w:lineRule="auto"/>
        <w:tabs>
          <w:tab w:leader="none" w:pos="1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Spaces: Lighting controls to meet the local energy Code Chapter 13 requirements. Lighting will be provided utilizing 1’x4’, 2’x2’ and 2’x4’ lensed fluorescent fixtures to provide sufficient lighting levels.</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Power:</w:t>
      </w:r>
    </w:p>
    <w:p>
      <w:pPr>
        <w:spacing w:after="0" w:line="165" w:lineRule="exact"/>
        <w:rPr>
          <w:sz w:val="20"/>
          <w:szCs w:val="20"/>
          <w:color w:val="auto"/>
        </w:rPr>
      </w:pPr>
    </w:p>
    <w:p>
      <w:pPr>
        <w:ind w:left="1520" w:right="240" w:hanging="375"/>
        <w:spacing w:after="0" w:line="245" w:lineRule="auto"/>
        <w:tabs>
          <w:tab w:leader="none" w:pos="1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Bench/Casework and equipment power will be provided as required in the equipment and utility matrix. Tel/data and alarm point locations will be provided as required in the equipment and utility matrix.</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Standby Power:</w:t>
      </w:r>
    </w:p>
    <w:p>
      <w:pPr>
        <w:spacing w:after="0" w:line="165" w:lineRule="exact"/>
        <w:rPr>
          <w:sz w:val="20"/>
          <w:szCs w:val="20"/>
          <w:color w:val="auto"/>
        </w:rPr>
      </w:pPr>
    </w:p>
    <w:p>
      <w:pPr>
        <w:ind w:left="1520" w:right="100" w:hanging="375"/>
        <w:spacing w:after="0" w:line="237" w:lineRule="auto"/>
        <w:tabs>
          <w:tab w:leader="none" w:pos="15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Holding Rooms: Lighting and controls will be provided on optional standby power. Each animal holding rack shall be provided with duplex receptacle on the existing optional standby power. In addition, optional standby power will be provided as required in the equipment and utility matrix.</w:t>
      </w:r>
    </w:p>
    <w:p>
      <w:pPr>
        <w:spacing w:after="0" w:line="152" w:lineRule="exact"/>
        <w:rPr>
          <w:rFonts w:ascii="Arial" w:cs="Arial" w:eastAsia="Arial" w:hAnsi="Arial"/>
          <w:sz w:val="18"/>
          <w:szCs w:val="18"/>
          <w:color w:val="auto"/>
        </w:rPr>
      </w:pPr>
    </w:p>
    <w:p>
      <w:pPr>
        <w:ind w:left="1520" w:hanging="375"/>
        <w:spacing w:after="0"/>
        <w:tabs>
          <w:tab w:leader="none" w:pos="15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HVAC Systems as required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Pilot Lab:</w:t>
      </w:r>
    </w:p>
    <w:p>
      <w:pPr>
        <w:spacing w:after="0" w:line="165" w:lineRule="exact"/>
        <w:rPr>
          <w:sz w:val="20"/>
          <w:szCs w:val="20"/>
          <w:color w:val="auto"/>
        </w:rPr>
      </w:pPr>
    </w:p>
    <w:p>
      <w:pPr>
        <w:ind w:left="780" w:right="140"/>
        <w:spacing w:after="0" w:line="209" w:lineRule="exact"/>
        <w:rPr>
          <w:sz w:val="20"/>
          <w:szCs w:val="20"/>
          <w:color w:val="auto"/>
        </w:rPr>
      </w:pPr>
      <w:r>
        <w:rPr>
          <w:rFonts w:ascii="Arial" w:cs="Arial" w:eastAsia="Arial" w:hAnsi="Arial"/>
          <w:sz w:val="18"/>
          <w:szCs w:val="18"/>
          <w:color w:val="auto"/>
        </w:rPr>
        <w:t>Pilot lab design shall follow the latest Seres User/Design Requirements signed off on October 26, 2015. The Pilot Lab Electrical system will be served by modified normal and new optional stand</w:t>
      </w:r>
      <w:r>
        <w:rPr>
          <w:rFonts w:ascii="MS PGothic" w:cs="MS PGothic" w:eastAsia="MS PGothic" w:hAnsi="MS PGothic"/>
          <w:sz w:val="18"/>
          <w:szCs w:val="18"/>
          <w:color w:val="auto"/>
        </w:rPr>
        <w:t>‐</w:t>
      </w:r>
      <w:r>
        <w:rPr>
          <w:rFonts w:ascii="Arial" w:cs="Arial" w:eastAsia="Arial" w:hAnsi="Arial"/>
          <w:sz w:val="18"/>
          <w:szCs w:val="18"/>
          <w:color w:val="auto"/>
        </w:rPr>
        <w:t>by power distribution.</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Lighting and Controls:</w:t>
      </w:r>
    </w:p>
    <w:p>
      <w:pPr>
        <w:spacing w:after="0" w:line="165" w:lineRule="exact"/>
        <w:rPr>
          <w:sz w:val="20"/>
          <w:szCs w:val="20"/>
          <w:color w:val="auto"/>
        </w:rPr>
      </w:pPr>
    </w:p>
    <w:p>
      <w:pPr>
        <w:ind w:left="1520" w:right="140" w:hanging="375"/>
        <w:spacing w:after="0" w:line="205" w:lineRule="exact"/>
        <w:tabs>
          <w:tab w:leader="none" w:pos="15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Production areas: 1’x4’, 2’x2’ and 2’x4’ recessed class 10,000 sealed, lensed fluorescent or LED lighting shall provide a uniform light level of 80</w:t>
      </w:r>
      <w:r>
        <w:rPr>
          <w:rFonts w:ascii="MS PGothic" w:cs="MS PGothic" w:eastAsia="MS PGothic" w:hAnsi="MS PGothic"/>
          <w:sz w:val="16"/>
          <w:szCs w:val="16"/>
          <w:color w:val="auto"/>
        </w:rPr>
        <w:t>‐</w:t>
      </w:r>
      <w:r>
        <w:rPr>
          <w:rFonts w:ascii="Arial" w:cs="Arial" w:eastAsia="Arial" w:hAnsi="Arial"/>
          <w:sz w:val="16"/>
          <w:szCs w:val="16"/>
          <w:color w:val="auto"/>
        </w:rPr>
        <w:t>100FC as measured at 30” AFF. Lighting system shall be controlled via fully programmable microprocessor based lighting control relay system via a programmed time of day schedule. Low voltage override control stations will be provided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 of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5" w:name="page256"/>
    <w:bookmarkEnd w:id="255"/>
    <w:p>
      <w:pPr>
        <w:spacing w:after="0"/>
        <w:rPr>
          <w:sz w:val="20"/>
          <w:szCs w:val="20"/>
          <w:color w:val="auto"/>
        </w:rPr>
      </w:pPr>
      <w:r>
        <w:rPr>
          <w:rFonts w:ascii="Arial" w:cs="Arial" w:eastAsia="Arial" w:hAnsi="Arial"/>
          <w:sz w:val="12"/>
          <w:szCs w:val="12"/>
          <w:color w:val="auto"/>
        </w:rPr>
        <w:t>200 Sidney Street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pacing w:after="0" w:line="234" w:lineRule="exact"/>
        <w:rPr>
          <w:sz w:val="20"/>
          <w:szCs w:val="20"/>
          <w:color w:val="auto"/>
        </w:rPr>
      </w:pPr>
    </w:p>
    <w:p>
      <w:pPr>
        <w:sectPr>
          <w:pgSz w:w="11900" w:h="16838" w:orient="portrait"/>
          <w:cols w:equalWidth="0" w:num="2">
            <w:col w:w="9620" w:space="720"/>
            <w:col w:w="1120"/>
          </w:cols>
          <w:pgMar w:left="220" w:top="129" w:right="219" w:bottom="1440" w:gutter="0" w:footer="0" w:header="0"/>
        </w:sectPr>
      </w:pPr>
    </w:p>
    <w:p>
      <w:pPr>
        <w:spacing w:after="0" w:line="157" w:lineRule="exact"/>
        <w:rPr>
          <w:sz w:val="20"/>
          <w:szCs w:val="20"/>
          <w:color w:val="auto"/>
        </w:rPr>
      </w:pPr>
    </w:p>
    <w:p>
      <w:pPr>
        <w:ind w:left="1520"/>
        <w:spacing w:after="0" w:line="207" w:lineRule="exact"/>
        <w:rPr>
          <w:sz w:val="20"/>
          <w:szCs w:val="20"/>
          <w:color w:val="auto"/>
        </w:rPr>
      </w:pPr>
      <w:r>
        <w:rPr>
          <w:rFonts w:ascii="Arial" w:cs="Arial" w:eastAsia="Arial" w:hAnsi="Arial"/>
          <w:sz w:val="18"/>
          <w:szCs w:val="18"/>
          <w:color w:val="auto"/>
        </w:rPr>
        <w:t>within or outside each space, as determined, for override and lighting control outside of a pre</w:t>
      </w:r>
      <w:r>
        <w:rPr>
          <w:rFonts w:ascii="MS PGothic" w:cs="MS PGothic" w:eastAsia="MS PGothic" w:hAnsi="MS PGothic"/>
          <w:sz w:val="18"/>
          <w:szCs w:val="18"/>
          <w:color w:val="auto"/>
        </w:rPr>
        <w:t>‐</w:t>
      </w:r>
      <w:r>
        <w:rPr>
          <w:rFonts w:ascii="Arial" w:cs="Arial" w:eastAsia="Arial" w:hAnsi="Arial"/>
          <w:sz w:val="18"/>
          <w:szCs w:val="18"/>
          <w:color w:val="auto"/>
        </w:rPr>
        <w:t>set schedule.</w:t>
      </w:r>
    </w:p>
    <w:p>
      <w:pPr>
        <w:spacing w:after="0" w:line="164" w:lineRule="exact"/>
        <w:rPr>
          <w:sz w:val="20"/>
          <w:szCs w:val="20"/>
          <w:color w:val="auto"/>
        </w:rPr>
      </w:pPr>
    </w:p>
    <w:p>
      <w:pPr>
        <w:ind w:left="2280" w:hanging="369"/>
        <w:spacing w:after="0"/>
        <w:tabs>
          <w:tab w:leader="none" w:pos="2280" w:val="left"/>
        </w:tabs>
        <w:numPr>
          <w:ilvl w:val="1"/>
          <w:numId w:val="186"/>
        </w:numPr>
        <w:rPr>
          <w:rFonts w:ascii="Courier New" w:cs="Courier New" w:eastAsia="Courier New" w:hAnsi="Courier New"/>
          <w:sz w:val="18"/>
          <w:szCs w:val="18"/>
          <w:color w:val="auto"/>
        </w:rPr>
      </w:pPr>
      <w:r>
        <w:rPr>
          <w:rFonts w:ascii="Arial" w:cs="Arial" w:eastAsia="Arial" w:hAnsi="Arial"/>
          <w:sz w:val="18"/>
          <w:szCs w:val="18"/>
          <w:color w:val="auto"/>
        </w:rPr>
        <w:t>Light filtration to reduce specific light wavelengths will be provided as determined by space requirements.</w:t>
      </w:r>
    </w:p>
    <w:p>
      <w:pPr>
        <w:spacing w:after="0" w:line="149" w:lineRule="exact"/>
        <w:rPr>
          <w:rFonts w:ascii="Courier New" w:cs="Courier New" w:eastAsia="Courier New" w:hAnsi="Courier New"/>
          <w:sz w:val="18"/>
          <w:szCs w:val="18"/>
          <w:color w:val="auto"/>
        </w:rPr>
      </w:pPr>
    </w:p>
    <w:p>
      <w:pPr>
        <w:ind w:left="1520" w:right="40" w:hanging="375"/>
        <w:spacing w:after="0" w:line="203" w:lineRule="exact"/>
        <w:tabs>
          <w:tab w:leader="none" w:pos="1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Support and prep areas:1’x4’, 2’x2’ and 2’x4’ recessed class 100,000 sealed, lensed fluorescent or LED lighting shall provide a uniform light level of 50</w:t>
      </w:r>
      <w:r>
        <w:rPr>
          <w:rFonts w:ascii="MS PGothic" w:cs="MS PGothic" w:eastAsia="MS PGothic" w:hAnsi="MS PGothic"/>
          <w:sz w:val="18"/>
          <w:szCs w:val="18"/>
          <w:color w:val="auto"/>
        </w:rPr>
        <w:t>‐</w:t>
      </w:r>
      <w:r>
        <w:rPr>
          <w:rFonts w:ascii="Arial" w:cs="Arial" w:eastAsia="Arial" w:hAnsi="Arial"/>
          <w:sz w:val="18"/>
          <w:szCs w:val="18"/>
          <w:color w:val="auto"/>
        </w:rPr>
        <w:t>75FC as measured at 30” AFF. Lighting system shall be controlled via fully programmable microprocessor based lighting control relay system via a programmed time of day schedule. Low voltage override control stations will be provided within each space, for override and lighting control outside of a pre</w:t>
      </w:r>
      <w:r>
        <w:rPr>
          <w:rFonts w:ascii="MS PGothic" w:cs="MS PGothic" w:eastAsia="MS PGothic" w:hAnsi="MS PGothic"/>
          <w:sz w:val="18"/>
          <w:szCs w:val="18"/>
          <w:color w:val="auto"/>
        </w:rPr>
        <w:t>‐</w:t>
      </w:r>
      <w:r>
        <w:rPr>
          <w:rFonts w:ascii="Arial" w:cs="Arial" w:eastAsia="Arial" w:hAnsi="Arial"/>
          <w:sz w:val="18"/>
          <w:szCs w:val="18"/>
          <w:color w:val="auto"/>
        </w:rPr>
        <w:t>set schedule.</w:t>
      </w:r>
    </w:p>
    <w:p>
      <w:pPr>
        <w:spacing w:after="0" w:line="150" w:lineRule="exact"/>
        <w:rPr>
          <w:rFonts w:ascii="Arial" w:cs="Arial" w:eastAsia="Arial" w:hAnsi="Arial"/>
          <w:sz w:val="18"/>
          <w:szCs w:val="18"/>
          <w:color w:val="auto"/>
        </w:rPr>
      </w:pPr>
    </w:p>
    <w:p>
      <w:pPr>
        <w:ind w:left="2280" w:hanging="369"/>
        <w:spacing w:after="0"/>
        <w:tabs>
          <w:tab w:leader="none" w:pos="2280" w:val="left"/>
        </w:tabs>
        <w:numPr>
          <w:ilvl w:val="1"/>
          <w:numId w:val="186"/>
        </w:numPr>
        <w:rPr>
          <w:rFonts w:ascii="Courier New" w:cs="Courier New" w:eastAsia="Courier New" w:hAnsi="Courier New"/>
          <w:sz w:val="18"/>
          <w:szCs w:val="18"/>
          <w:color w:val="auto"/>
        </w:rPr>
      </w:pPr>
      <w:r>
        <w:rPr>
          <w:rFonts w:ascii="Arial" w:cs="Arial" w:eastAsia="Arial" w:hAnsi="Arial"/>
          <w:sz w:val="18"/>
          <w:szCs w:val="18"/>
          <w:color w:val="auto"/>
        </w:rPr>
        <w:t>Light filtration to reduce specific light wavelengths will be provided as determined by space requirements.</w:t>
      </w:r>
    </w:p>
    <w:p>
      <w:pPr>
        <w:spacing w:after="0" w:line="149" w:lineRule="exact"/>
        <w:rPr>
          <w:rFonts w:ascii="Courier New" w:cs="Courier New" w:eastAsia="Courier New" w:hAnsi="Courier New"/>
          <w:sz w:val="18"/>
          <w:szCs w:val="18"/>
          <w:color w:val="auto"/>
        </w:rPr>
      </w:pPr>
    </w:p>
    <w:p>
      <w:pPr>
        <w:ind w:left="1520" w:right="20" w:hanging="375"/>
        <w:spacing w:after="0" w:line="203" w:lineRule="exact"/>
        <w:tabs>
          <w:tab w:leader="none" w:pos="1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Spaces: 1’x4’, 2’x2’ and 2’x4’ recessed class 100,000 sealed, lensed fluorescent or LED lighting shall provide adequate lighting levels for the space. Lighting system shall be controlled via fully programmable microprocessor based lighting control relay system via a programmed time of day schedule. Low voltage override control stations will be provided within each space, for override and lighting control outside of a pre</w:t>
      </w:r>
      <w:r>
        <w:rPr>
          <w:rFonts w:ascii="MS PGothic" w:cs="MS PGothic" w:eastAsia="MS PGothic" w:hAnsi="MS PGothic"/>
          <w:sz w:val="18"/>
          <w:szCs w:val="18"/>
          <w:color w:val="auto"/>
        </w:rPr>
        <w:t>‐</w:t>
      </w:r>
      <w:r>
        <w:rPr>
          <w:rFonts w:ascii="Arial" w:cs="Arial" w:eastAsia="Arial" w:hAnsi="Arial"/>
          <w:sz w:val="18"/>
          <w:szCs w:val="18"/>
          <w:color w:val="auto"/>
        </w:rPr>
        <w:t>set schedule.</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Power:</w:t>
      </w:r>
    </w:p>
    <w:p>
      <w:pPr>
        <w:spacing w:after="0" w:line="165" w:lineRule="exact"/>
        <w:rPr>
          <w:sz w:val="20"/>
          <w:szCs w:val="20"/>
          <w:color w:val="auto"/>
        </w:rPr>
      </w:pPr>
    </w:p>
    <w:p>
      <w:pPr>
        <w:ind w:left="1520" w:right="240" w:hanging="375"/>
        <w:spacing w:after="0" w:line="237" w:lineRule="auto"/>
        <w:tabs>
          <w:tab w:leader="none" w:pos="15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Bench/Casework and equipment power will be provided as required in the equipment and utility matrix. Tel/data and alarm point locations will be provided as required in the equipment and utility matrix. All devices will be flush mounted and provided with gasketed WP cover plates.</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Standby Power:</w:t>
      </w:r>
    </w:p>
    <w:p>
      <w:pPr>
        <w:spacing w:after="0" w:line="165" w:lineRule="exact"/>
        <w:rPr>
          <w:sz w:val="20"/>
          <w:szCs w:val="20"/>
          <w:color w:val="auto"/>
        </w:rPr>
      </w:pPr>
    </w:p>
    <w:p>
      <w:pPr>
        <w:ind w:left="1520" w:hanging="375"/>
        <w:spacing w:after="0"/>
        <w:tabs>
          <w:tab w:leader="none" w:pos="15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Lighting throughout the pilot lab will be provided on optional standby power.</w:t>
      </w:r>
    </w:p>
    <w:p>
      <w:pPr>
        <w:spacing w:after="0" w:line="164" w:lineRule="exact"/>
        <w:rPr>
          <w:rFonts w:ascii="Arial" w:cs="Arial" w:eastAsia="Arial" w:hAnsi="Arial"/>
          <w:sz w:val="18"/>
          <w:szCs w:val="18"/>
          <w:color w:val="auto"/>
        </w:rPr>
      </w:pPr>
    </w:p>
    <w:p>
      <w:pPr>
        <w:ind w:left="1520" w:hanging="375"/>
        <w:spacing w:after="0"/>
        <w:tabs>
          <w:tab w:leader="none" w:pos="15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Equipment will be provided with optional standby power as required in the equipment and utility matrix.</w:t>
      </w:r>
    </w:p>
    <w:p>
      <w:pPr>
        <w:spacing w:after="0" w:line="164" w:lineRule="exact"/>
        <w:rPr>
          <w:rFonts w:ascii="Arial" w:cs="Arial" w:eastAsia="Arial" w:hAnsi="Arial"/>
          <w:sz w:val="18"/>
          <w:szCs w:val="18"/>
          <w:color w:val="auto"/>
        </w:rPr>
      </w:pPr>
    </w:p>
    <w:p>
      <w:pPr>
        <w:ind w:left="1520" w:right="520" w:hanging="375"/>
        <w:spacing w:after="0" w:line="245" w:lineRule="auto"/>
        <w:tabs>
          <w:tab w:leader="none" w:pos="15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HVAC equipment and control systems will be provided with standby power as required to maintain supply, exhaust and environmental conditions.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Fire Alarm</w:t>
      </w:r>
    </w:p>
    <w:p>
      <w:pPr>
        <w:spacing w:after="0" w:line="171" w:lineRule="exact"/>
        <w:rPr>
          <w:sz w:val="20"/>
          <w:szCs w:val="20"/>
          <w:color w:val="auto"/>
        </w:rPr>
      </w:pPr>
    </w:p>
    <w:p>
      <w:pPr>
        <w:ind w:left="780" w:right="160"/>
        <w:spacing w:after="0" w:line="245" w:lineRule="auto"/>
        <w:rPr>
          <w:sz w:val="20"/>
          <w:szCs w:val="20"/>
          <w:color w:val="auto"/>
        </w:rPr>
      </w:pPr>
      <w:r>
        <w:rPr>
          <w:rFonts w:ascii="Arial" w:cs="Arial" w:eastAsia="Arial" w:hAnsi="Arial"/>
          <w:sz w:val="18"/>
          <w:szCs w:val="18"/>
          <w:color w:val="auto"/>
        </w:rPr>
        <w:t>The base building fire alarm system shall be fully addressable and expansion capabilities, Tenant shall expand from the base building system and shall be limited to the renovation area.</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ACF fire alarm devices shall be low frequency sounder type with separate strobe devices.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 of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256" w:name="page257"/>
    <w:bookmarkEnd w:id="256"/>
    <w:p>
      <w:pPr>
        <w:spacing w:after="0"/>
        <w:rPr>
          <w:sz w:val="20"/>
          <w:szCs w:val="20"/>
          <w:color w:val="auto"/>
        </w:rPr>
      </w:pPr>
      <w:r>
        <w:rPr>
          <w:rFonts w:ascii="Arial" w:cs="Arial" w:eastAsia="Arial" w:hAnsi="Arial"/>
          <w:sz w:val="15"/>
          <w:szCs w:val="15"/>
          <w:color w:val="auto"/>
        </w:rPr>
        <w:t>200 Sidney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Cambridge MA</w:t>
      </w:r>
    </w:p>
    <w:p>
      <w:pPr>
        <w:spacing w:after="0" w:line="351"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Communications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Locations for wireless networking will be provided per the tenant’s direction.</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Box and conduit for Tel/Data and Phone devices will be provided as required in the equipment and utility matrix.</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Box and conduit for security devices will be provided at access points as indicated by the architect.</w:t>
      </w:r>
    </w:p>
    <w:p>
      <w:pPr>
        <w:spacing w:after="0" w:line="166"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\\aha</w:t>
      </w:r>
      <w:r>
        <w:rPr>
          <w:rFonts w:ascii="MS PGothic" w:cs="MS PGothic" w:eastAsia="MS PGothic" w:hAnsi="MS PGothic"/>
          <w:sz w:val="12"/>
          <w:szCs w:val="12"/>
          <w:color w:val="auto"/>
        </w:rPr>
        <w:t>‐</w:t>
      </w:r>
      <w:r>
        <w:rPr>
          <w:rFonts w:ascii="Arial" w:cs="Arial" w:eastAsia="Arial" w:hAnsi="Arial"/>
          <w:sz w:val="12"/>
          <w:szCs w:val="12"/>
          <w:color w:val="auto"/>
        </w:rPr>
        <w:t>engineers.com\ahalexcam\Projects\2015</w:t>
      </w:r>
      <w:r>
        <w:rPr>
          <w:rFonts w:ascii="MS PGothic" w:cs="MS PGothic" w:eastAsia="MS PGothic" w:hAnsi="MS PGothic"/>
          <w:sz w:val="12"/>
          <w:szCs w:val="12"/>
          <w:color w:val="auto"/>
        </w:rPr>
        <w:t>‐</w:t>
      </w:r>
      <w:r>
        <w:rPr>
          <w:rFonts w:ascii="Arial" w:cs="Arial" w:eastAsia="Arial" w:hAnsi="Arial"/>
          <w:sz w:val="12"/>
          <w:szCs w:val="12"/>
          <w:color w:val="auto"/>
        </w:rPr>
        <w:t>Boston</w:t>
      </w:r>
      <w:r>
        <w:rPr>
          <w:rFonts w:ascii="MS PGothic" w:cs="MS PGothic" w:eastAsia="MS PGothic" w:hAnsi="MS PGothic"/>
          <w:sz w:val="12"/>
          <w:szCs w:val="12"/>
          <w:color w:val="auto"/>
        </w:rPr>
        <w:t>‐</w:t>
      </w:r>
      <w:r>
        <w:rPr>
          <w:rFonts w:ascii="Arial" w:cs="Arial" w:eastAsia="Arial" w:hAnsi="Arial"/>
          <w:sz w:val="12"/>
          <w:szCs w:val="12"/>
          <w:color w:val="auto"/>
        </w:rPr>
        <w:t>Cam</w:t>
      </w:r>
      <w:r>
        <w:rPr>
          <w:rFonts w:ascii="MS PGothic" w:cs="MS PGothic" w:eastAsia="MS PGothic" w:hAnsi="MS PGothic"/>
          <w:sz w:val="12"/>
          <w:szCs w:val="12"/>
          <w:color w:val="auto"/>
        </w:rPr>
        <w:t>‐</w:t>
      </w:r>
      <w:r>
        <w:rPr>
          <w:rFonts w:ascii="Arial" w:cs="Arial" w:eastAsia="Arial" w:hAnsi="Arial"/>
          <w:sz w:val="12"/>
          <w:szCs w:val="12"/>
          <w:color w:val="auto"/>
        </w:rPr>
        <w:t>Rep\M0315</w:t>
      </w:r>
      <w:r>
        <w:rPr>
          <w:rFonts w:ascii="MS PGothic" w:cs="MS PGothic" w:eastAsia="MS PGothic" w:hAnsi="MS PGothic"/>
          <w:sz w:val="12"/>
          <w:szCs w:val="12"/>
          <w:color w:val="auto"/>
        </w:rPr>
        <w:t>‐</w:t>
      </w:r>
      <w:r>
        <w:rPr>
          <w:rFonts w:ascii="Arial" w:cs="Arial" w:eastAsia="Arial" w:hAnsi="Arial"/>
          <w:sz w:val="12"/>
          <w:szCs w:val="12"/>
          <w:color w:val="auto"/>
        </w:rPr>
        <w:t>010.30\Correspondence\Scope of Work\Seres PL at 200 Sidney BOD 11.02.15.doc</w:t>
      </w:r>
    </w:p>
    <w:p>
      <w:pPr>
        <w:spacing w:after="0" w:line="200" w:lineRule="exact"/>
        <w:rPr>
          <w:sz w:val="20"/>
          <w:szCs w:val="20"/>
          <w:color w:val="auto"/>
        </w:rPr>
      </w:pPr>
    </w:p>
    <w:p>
      <w:pPr>
        <w:spacing w:after="0" w:line="400" w:lineRule="exact"/>
        <w:rPr>
          <w:sz w:val="20"/>
          <w:szCs w:val="20"/>
          <w:color w:val="auto"/>
        </w:rPr>
      </w:pPr>
    </w:p>
    <w:p>
      <w:pPr>
        <w:jc w:val="center"/>
        <w:ind w:left="1860"/>
        <w:spacing w:after="0"/>
        <w:rPr>
          <w:sz w:val="20"/>
          <w:szCs w:val="20"/>
          <w:color w:val="auto"/>
        </w:rPr>
      </w:pPr>
      <w:r>
        <w:rPr>
          <w:rFonts w:ascii="Arial" w:cs="Arial" w:eastAsia="Arial" w:hAnsi="Arial"/>
          <w:sz w:val="15"/>
          <w:szCs w:val="15"/>
          <w:color w:val="auto"/>
        </w:rPr>
        <w:t>Page 12 of 12</w:t>
      </w:r>
    </w:p>
    <w:p>
      <w:pPr>
        <w:spacing w:after="0" w:line="13" w:lineRule="exact"/>
        <w:rPr>
          <w:sz w:val="20"/>
          <w:szCs w:val="20"/>
          <w:color w:val="auto"/>
        </w:rPr>
      </w:pPr>
    </w:p>
    <w:p>
      <w:pPr>
        <w:jc w:val="center"/>
        <w:ind w:left="1860"/>
        <w:spacing w:after="0"/>
        <w:rPr>
          <w:sz w:val="20"/>
          <w:szCs w:val="20"/>
          <w:color w:val="auto"/>
        </w:rPr>
      </w:pPr>
      <w:r>
        <w:rPr>
          <w:rFonts w:ascii="Arial" w:cs="Arial" w:eastAsia="Arial" w:hAnsi="Arial"/>
          <w:sz w:val="15"/>
          <w:szCs w:val="15"/>
          <w:color w:val="auto"/>
        </w:rPr>
        <w:t>AHA Consulting Engineers,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31202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2"/>
          <w:szCs w:val="12"/>
          <w:color w:val="auto"/>
        </w:rPr>
        <w:t>Basis of Design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November 2, 2015</w:t>
      </w:r>
    </w:p>
    <w:p>
      <w:pPr>
        <w:sectPr>
          <w:pgSz w:w="11900" w:h="16838" w:orient="portrait"/>
          <w:cols w:equalWidth="0" w:num="2">
            <w:col w:w="9620" w:space="720"/>
            <w:col w:w="1120"/>
          </w:cols>
          <w:pgMar w:left="220" w:top="129" w:right="219"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1304290</wp:posOffset>
            </wp:positionH>
            <wp:positionV relativeFrom="page">
              <wp:posOffset>213995</wp:posOffset>
            </wp:positionV>
            <wp:extent cx="4952365" cy="43897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4952365" cy="438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SERES THERAPEUTICS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INFORMATION</w:t>
      </w:r>
    </w:p>
    <w:p>
      <w:pPr>
        <w:jc w:val="center"/>
        <w:spacing w:after="0"/>
        <w:rPr>
          <w:sz w:val="20"/>
          <w:szCs w:val="20"/>
          <w:color w:val="auto"/>
        </w:rPr>
      </w:pPr>
      <w:r>
        <w:rPr>
          <w:rFonts w:ascii="Arial" w:cs="Arial" w:eastAsia="Arial" w:hAnsi="Arial"/>
          <w:sz w:val="10"/>
          <w:szCs w:val="10"/>
          <w:color w:val="auto"/>
        </w:rPr>
        <w:t>All references to Seres document numbers refer to the most current version of that document,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370205</wp:posOffset>
            </wp:positionV>
            <wp:extent cx="731202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8" w:name="page259"/>
    <w:bookmarkEnd w:id="258"/>
    <w:p>
      <w:pPr>
        <w:jc w:val="center"/>
        <w:ind w:right="-379"/>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050405"/>
        </w:rPr>
        <w:t>200 Sidney Street</w:t>
      </w:r>
    </w:p>
    <w:p>
      <w:pPr>
        <w:jc w:val="center"/>
        <w:ind w:right="-379"/>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379"/>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ectPr>
          <w:pgSz w:w="11900" w:h="16838" w:orient="portrait"/>
          <w:cols w:equalWidth="0" w:num="1">
            <w:col w:w="11080"/>
          </w:cols>
          <w:pgMar w:left="220" w:top="114" w:right="599" w:bottom="1440" w:gutter="0" w:footer="0" w:header="0"/>
        </w:sectPr>
      </w:pPr>
    </w:p>
    <w:p>
      <w:pPr>
        <w:spacing w:after="0" w:line="393"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1400" w:type="dxa"/>
            <w:vAlign w:val="bottom"/>
          </w:tcPr>
          <w:p>
            <w:pPr>
              <w:jc w:val="center"/>
              <w:ind w:right="567"/>
              <w:spacing w:after="0"/>
              <w:rPr>
                <w:sz w:val="20"/>
                <w:szCs w:val="20"/>
                <w:color w:val="auto"/>
              </w:rPr>
            </w:pPr>
            <w:r>
              <w:rPr>
                <w:rFonts w:ascii="Arial" w:cs="Arial" w:eastAsia="Arial" w:hAnsi="Arial"/>
                <w:sz w:val="15"/>
                <w:szCs w:val="15"/>
                <w:b w:val="1"/>
                <w:bCs w:val="1"/>
                <w:color w:val="auto"/>
                <w:w w:val="95"/>
              </w:rPr>
              <w:t>Area</w:t>
            </w:r>
          </w:p>
        </w:tc>
        <w:tc>
          <w:tcPr>
            <w:tcW w:w="2020" w:type="dxa"/>
            <w:vAlign w:val="bottom"/>
          </w:tcPr>
          <w:p>
            <w:pPr>
              <w:ind w:left="760"/>
              <w:spacing w:after="0"/>
              <w:rPr>
                <w:sz w:val="20"/>
                <w:szCs w:val="20"/>
                <w:color w:val="auto"/>
              </w:rPr>
            </w:pPr>
            <w:r>
              <w:rPr>
                <w:rFonts w:ascii="Arial" w:cs="Arial" w:eastAsia="Arial" w:hAnsi="Arial"/>
                <w:sz w:val="15"/>
                <w:szCs w:val="15"/>
                <w:b w:val="1"/>
                <w:bCs w:val="1"/>
                <w:color w:val="auto"/>
              </w:rPr>
              <w:t>Section</w:t>
            </w:r>
          </w:p>
        </w:tc>
        <w:tc>
          <w:tcPr>
            <w:tcW w:w="880" w:type="dxa"/>
            <w:vAlign w:val="bottom"/>
          </w:tcPr>
          <w:p>
            <w:pPr>
              <w:ind w:left="460"/>
              <w:spacing w:after="0"/>
              <w:rPr>
                <w:sz w:val="20"/>
                <w:szCs w:val="20"/>
                <w:color w:val="auto"/>
              </w:rPr>
            </w:pPr>
            <w:r>
              <w:rPr>
                <w:rFonts w:ascii="Arial" w:cs="Arial" w:eastAsia="Arial" w:hAnsi="Arial"/>
                <w:sz w:val="15"/>
                <w:szCs w:val="15"/>
                <w:b w:val="1"/>
                <w:bCs w:val="1"/>
                <w:color w:val="auto"/>
              </w:rPr>
              <w:t xml:space="preserve">UR </w:t>
            </w:r>
            <w:r>
              <w:rPr>
                <w:rFonts w:ascii="Arial" w:cs="Arial" w:eastAsia="Arial" w:hAnsi="Arial"/>
                <w:sz w:val="15"/>
                <w:szCs w:val="15"/>
                <w:color w:val="auto"/>
              </w:rPr>
              <w:t>#</w:t>
            </w:r>
          </w:p>
        </w:tc>
      </w:tr>
      <w:tr>
        <w:trPr>
          <w:trHeight w:val="328"/>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6"/>
              </w:rPr>
              <w:t>Concept</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0001</w:t>
            </w:r>
          </w:p>
        </w:tc>
      </w:tr>
      <w:tr>
        <w:trPr>
          <w:trHeight w:val="405"/>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6"/>
              </w:rPr>
              <w:t>Concept</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0002</w:t>
            </w:r>
          </w:p>
        </w:tc>
      </w:tr>
      <w:tr>
        <w:trPr>
          <w:trHeight w:val="263"/>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6"/>
              </w:rPr>
              <w:t>Concept</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0003</w:t>
            </w:r>
          </w:p>
        </w:tc>
      </w:tr>
      <w:tr>
        <w:trPr>
          <w:trHeight w:val="591"/>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6"/>
              </w:rPr>
              <w:t>Concept</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0004</w:t>
            </w:r>
          </w:p>
        </w:tc>
      </w:tr>
      <w:tr>
        <w:trPr>
          <w:trHeight w:val="908"/>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0005</w:t>
            </w:r>
          </w:p>
        </w:tc>
      </w:tr>
      <w:tr>
        <w:trPr>
          <w:trHeight w:val="569"/>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0006</w:t>
            </w:r>
          </w:p>
        </w:tc>
      </w:tr>
      <w:tr>
        <w:trPr>
          <w:trHeight w:val="580"/>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0007</w:t>
            </w:r>
          </w:p>
        </w:tc>
      </w:tr>
      <w:tr>
        <w:trPr>
          <w:trHeight w:val="569"/>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Overall Design</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0008</w:t>
            </w:r>
          </w:p>
        </w:tc>
      </w:tr>
      <w:tr>
        <w:trPr>
          <w:trHeight w:val="416"/>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General</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0009</w:t>
            </w:r>
          </w:p>
        </w:tc>
      </w:tr>
      <w:tr>
        <w:trPr>
          <w:trHeight w:val="492"/>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General</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00010</w:t>
            </w:r>
          </w:p>
        </w:tc>
      </w:tr>
      <w:tr>
        <w:trPr>
          <w:trHeight w:val="492"/>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General</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00011</w:t>
            </w:r>
          </w:p>
        </w:tc>
      </w:tr>
      <w:tr>
        <w:trPr>
          <w:trHeight w:val="492"/>
        </w:trPr>
        <w:tc>
          <w:tcPr>
            <w:tcW w:w="1400" w:type="dxa"/>
            <w:vAlign w:val="bottom"/>
          </w:tcPr>
          <w:p>
            <w:pPr>
              <w:jc w:val="center"/>
              <w:ind w:right="547"/>
              <w:spacing w:after="0"/>
              <w:rPr>
                <w:sz w:val="20"/>
                <w:szCs w:val="20"/>
                <w:color w:val="auto"/>
              </w:rPr>
            </w:pPr>
            <w:r>
              <w:rPr>
                <w:rFonts w:ascii="Arial" w:cs="Arial" w:eastAsia="Arial" w:hAnsi="Arial"/>
                <w:sz w:val="15"/>
                <w:szCs w:val="15"/>
                <w:color w:val="auto"/>
                <w:w w:val="97"/>
              </w:rPr>
              <w:t>Architecture</w:t>
            </w:r>
          </w:p>
        </w:tc>
        <w:tc>
          <w:tcPr>
            <w:tcW w:w="2020" w:type="dxa"/>
            <w:vAlign w:val="bottom"/>
          </w:tcPr>
          <w:p>
            <w:pPr>
              <w:jc w:val="center"/>
              <w:ind w:left="107"/>
              <w:spacing w:after="0"/>
              <w:rPr>
                <w:sz w:val="20"/>
                <w:szCs w:val="20"/>
                <w:color w:val="auto"/>
              </w:rPr>
            </w:pPr>
            <w:r>
              <w:rPr>
                <w:rFonts w:ascii="Arial" w:cs="Arial" w:eastAsia="Arial" w:hAnsi="Arial"/>
                <w:sz w:val="15"/>
                <w:szCs w:val="15"/>
                <w:color w:val="auto"/>
                <w:w w:val="97"/>
              </w:rPr>
              <w:t>General</w:t>
            </w:r>
          </w:p>
        </w:tc>
        <w:tc>
          <w:tcPr>
            <w:tcW w:w="880" w:type="dxa"/>
            <w:vAlign w:val="bottom"/>
          </w:tcPr>
          <w:p>
            <w:pPr>
              <w:jc w:val="center"/>
              <w:ind w:left="407"/>
              <w:spacing w:after="0"/>
              <w:rPr>
                <w:sz w:val="20"/>
                <w:szCs w:val="20"/>
                <w:color w:val="auto"/>
              </w:rPr>
            </w:pPr>
            <w:r>
              <w:rPr>
                <w:rFonts w:ascii="Arial" w:cs="Arial" w:eastAsia="Arial" w:hAnsi="Arial"/>
                <w:sz w:val="15"/>
                <w:szCs w:val="15"/>
                <w:color w:val="auto"/>
                <w:w w:val="95"/>
              </w:rPr>
              <w:t>00012</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0" w:lineRule="exact"/>
        <w:rPr>
          <w:sz w:val="20"/>
          <w:szCs w:val="20"/>
          <w:color w:val="auto"/>
        </w:rPr>
      </w:pPr>
    </w:p>
    <w:p>
      <w:pPr>
        <w:ind w:left="80" w:right="400"/>
        <w:spacing w:after="0" w:line="228" w:lineRule="auto"/>
        <w:rPr>
          <w:sz w:val="20"/>
          <w:szCs w:val="20"/>
          <w:color w:val="auto"/>
        </w:rPr>
      </w:pPr>
      <w:r>
        <w:rPr>
          <w:rFonts w:ascii="Arial" w:cs="Arial" w:eastAsia="Arial" w:hAnsi="Arial"/>
          <w:sz w:val="15"/>
          <w:szCs w:val="15"/>
          <w:color w:val="auto"/>
        </w:rPr>
        <w:t>Designed to FDA Guidance for Industry: Manufacturing Biological Intermediates and Biological Drug Substances Using Spore-Forming Microorganisms (current version)</w:t>
      </w:r>
    </w:p>
    <w:p>
      <w:pPr>
        <w:spacing w:after="0" w:line="1" w:lineRule="exact"/>
        <w:rPr>
          <w:sz w:val="20"/>
          <w:szCs w:val="20"/>
          <w:color w:val="auto"/>
        </w:rPr>
      </w:pPr>
    </w:p>
    <w:p>
      <w:pPr>
        <w:ind w:left="80" w:right="220"/>
        <w:spacing w:after="0" w:line="235" w:lineRule="auto"/>
        <w:rPr>
          <w:sz w:val="20"/>
          <w:szCs w:val="20"/>
          <w:color w:val="auto"/>
        </w:rPr>
      </w:pPr>
      <w:r>
        <w:rPr>
          <w:rFonts w:ascii="Arial" w:cs="Arial" w:eastAsia="Arial" w:hAnsi="Arial"/>
          <w:sz w:val="15"/>
          <w:szCs w:val="15"/>
          <w:color w:val="auto"/>
        </w:rPr>
        <w:t>Clean rooms meet EudraLex Volume 4 Annex 1 (Manufacture of Sterile Medicinal Products) current version requirements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Facility is intended for multi-product operation on a campaign basis.</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Design basis is:</w:t>
      </w:r>
    </w:p>
    <w:p>
      <w:pPr>
        <w:ind w:left="80" w:right="600" w:firstLine="7"/>
        <w:spacing w:after="0" w:line="228" w:lineRule="auto"/>
        <w:tabs>
          <w:tab w:leader="none" w:pos="24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Two DS process trains and one DP encapsulation train running simultaneously.</w:t>
      </w:r>
    </w:p>
    <w:p>
      <w:pPr>
        <w:ind w:left="80" w:firstLine="7"/>
        <w:spacing w:after="0" w:line="228" w:lineRule="auto"/>
        <w:tabs>
          <w:tab w:leader="none" w:pos="24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One DS process train and one DP process train running simultaneously. Only case 1 or case 2 is required at the same time; the facility must be capable of switching between the cases as required for DP production. Each manufacturing suite room (including potential associated support suites) shall be reconfigurable and sized for simultaneous manufacturing at up to one at 250L scale and one at 50L scale, including a shaking incubator, bioreactor, centrifuge and/or TFF, and associated biosafety cabinets.</w:t>
      </w:r>
    </w:p>
    <w:p>
      <w:pPr>
        <w:spacing w:after="0" w:line="1" w:lineRule="exact"/>
        <w:rPr>
          <w:rFonts w:ascii="Arial" w:cs="Arial" w:eastAsia="Arial" w:hAnsi="Arial"/>
          <w:sz w:val="15"/>
          <w:szCs w:val="15"/>
          <w:color w:val="auto"/>
        </w:rPr>
      </w:pPr>
    </w:p>
    <w:p>
      <w:pPr>
        <w:ind w:left="80" w:right="440"/>
        <w:spacing w:after="0" w:line="228" w:lineRule="auto"/>
        <w:rPr>
          <w:rFonts w:ascii="Arial" w:cs="Arial" w:eastAsia="Arial" w:hAnsi="Arial"/>
          <w:sz w:val="15"/>
          <w:szCs w:val="15"/>
          <w:color w:val="auto"/>
        </w:rPr>
      </w:pPr>
      <w:r>
        <w:rPr>
          <w:rFonts w:ascii="Arial" w:cs="Arial" w:eastAsia="Arial" w:hAnsi="Arial"/>
          <w:sz w:val="15"/>
          <w:szCs w:val="15"/>
          <w:color w:val="auto"/>
        </w:rPr>
        <w:t>Process train requirements could be met by four simultaneous 250L bioreactors in the DS processing area.</w:t>
      </w:r>
    </w:p>
    <w:p>
      <w:pPr>
        <w:ind w:left="80" w:right="160"/>
        <w:spacing w:after="0" w:line="228" w:lineRule="auto"/>
        <w:rPr>
          <w:rFonts w:ascii="Arial" w:cs="Arial" w:eastAsia="Arial" w:hAnsi="Arial"/>
          <w:sz w:val="15"/>
          <w:szCs w:val="15"/>
          <w:color w:val="auto"/>
        </w:rPr>
      </w:pPr>
      <w:r>
        <w:rPr>
          <w:rFonts w:ascii="Arial" w:cs="Arial" w:eastAsia="Arial" w:hAnsi="Arial"/>
          <w:sz w:val="15"/>
          <w:szCs w:val="15"/>
          <w:color w:val="auto"/>
        </w:rPr>
        <w:t>Pressure differentials maintain exclusion of foreign material at entrances from common corridors, and maximize containment of spores within processing suites. Leak tightness of rooms, including space above ceilings, is adequate to maintain cleanliness, differential pressures, pest control, and containment.</w:t>
      </w:r>
    </w:p>
    <w:p>
      <w:pPr>
        <w:spacing w:after="0" w:line="1" w:lineRule="exact"/>
        <w:rPr>
          <w:rFonts w:ascii="Arial" w:cs="Arial" w:eastAsia="Arial" w:hAnsi="Arial"/>
          <w:sz w:val="15"/>
          <w:szCs w:val="15"/>
          <w:color w:val="auto"/>
        </w:rPr>
      </w:pPr>
    </w:p>
    <w:p>
      <w:pPr>
        <w:ind w:left="80" w:right="80"/>
        <w:spacing w:after="0" w:line="228" w:lineRule="auto"/>
        <w:rPr>
          <w:rFonts w:ascii="Arial" w:cs="Arial" w:eastAsia="Arial" w:hAnsi="Arial"/>
          <w:sz w:val="15"/>
          <w:szCs w:val="15"/>
          <w:color w:val="auto"/>
        </w:rPr>
      </w:pPr>
      <w:r>
        <w:rPr>
          <w:rFonts w:ascii="Arial" w:cs="Arial" w:eastAsia="Arial" w:hAnsi="Arial"/>
          <w:sz w:val="15"/>
          <w:szCs w:val="15"/>
          <w:color w:val="auto"/>
        </w:rPr>
        <w:t>Intended use of the facility is as a pilot plant, with future equipment to be determined. Flexibility in equipment support and configuration is required. Unclassified support spaces can have exposed duct and pipe. Steel and walls will be painted. Lighting is appropriate for activities in all areas. Floors are sealed and suitable for traffic levels.</w:t>
      </w:r>
    </w:p>
    <w:p>
      <w:pPr>
        <w:spacing w:after="0" w:line="1" w:lineRule="exact"/>
        <w:rPr>
          <w:rFonts w:ascii="Arial" w:cs="Arial" w:eastAsia="Arial" w:hAnsi="Arial"/>
          <w:sz w:val="15"/>
          <w:szCs w:val="15"/>
          <w:color w:val="auto"/>
        </w:rPr>
      </w:pPr>
    </w:p>
    <w:p>
      <w:pPr>
        <w:ind w:left="80" w:right="180"/>
        <w:spacing w:after="0" w:line="228" w:lineRule="auto"/>
        <w:rPr>
          <w:rFonts w:ascii="Arial" w:cs="Arial" w:eastAsia="Arial" w:hAnsi="Arial"/>
          <w:sz w:val="15"/>
          <w:szCs w:val="15"/>
          <w:color w:val="auto"/>
        </w:rPr>
      </w:pPr>
      <w:r>
        <w:rPr>
          <w:rFonts w:ascii="Arial" w:cs="Arial" w:eastAsia="Arial" w:hAnsi="Arial"/>
          <w:sz w:val="15"/>
          <w:szCs w:val="15"/>
          <w:color w:val="auto"/>
        </w:rPr>
        <w:t>Janitor closets are included in CNC support space and unclassified support spaces, including room for storage of cleaning equipment and a sink with USP pure water for mixing cleaning supplies.</w:t>
      </w:r>
    </w:p>
    <w:p>
      <w:pPr>
        <w:ind w:left="80" w:right="60"/>
        <w:spacing w:after="0" w:line="228" w:lineRule="auto"/>
        <w:rPr>
          <w:rFonts w:ascii="Arial" w:cs="Arial" w:eastAsia="Arial" w:hAnsi="Arial"/>
          <w:sz w:val="15"/>
          <w:szCs w:val="15"/>
          <w:color w:val="auto"/>
        </w:rPr>
      </w:pPr>
      <w:r>
        <w:rPr>
          <w:rFonts w:ascii="Arial" w:cs="Arial" w:eastAsia="Arial" w:hAnsi="Arial"/>
          <w:sz w:val="15"/>
          <w:szCs w:val="15"/>
          <w:color w:val="auto"/>
        </w:rPr>
        <w:t>Either a unisex locker room with considerations for privacy, or separate male/female locker rooms, is provided. This space is used to change from street clothes to tech suit and clean room shoes.</w:t>
      </w:r>
    </w:p>
    <w:p>
      <w:pPr>
        <w:ind w:left="80" w:right="80"/>
        <w:spacing w:after="0" w:line="233" w:lineRule="auto"/>
        <w:rPr>
          <w:rFonts w:ascii="Arial" w:cs="Arial" w:eastAsia="Arial" w:hAnsi="Arial"/>
          <w:sz w:val="15"/>
          <w:szCs w:val="15"/>
          <w:color w:val="auto"/>
        </w:rPr>
      </w:pPr>
      <w:r>
        <w:rPr>
          <w:rFonts w:ascii="Arial" w:cs="Arial" w:eastAsia="Arial" w:hAnsi="Arial"/>
          <w:sz w:val="15"/>
          <w:szCs w:val="15"/>
          <w:color w:val="auto"/>
        </w:rPr>
        <w:t>Space in locker rooms is provided for storage of clean room shoes, street shoes, street clothes, disposable gowning equipment, and clean tech suits, as well as a bin for used tech suits.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Category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3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3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65" w:lineRule="exact"/>
        <w:rPr>
          <w:sz w:val="20"/>
          <w:szCs w:val="20"/>
          <w:color w:val="auto"/>
        </w:rPr>
      </w:pPr>
    </w:p>
    <w:p>
      <w:pPr>
        <w:sectPr>
          <w:pgSz w:w="11900" w:h="16838" w:orient="portrait"/>
          <w:cols w:equalWidth="0" w:num="3">
            <w:col w:w="4840" w:space="320"/>
            <w:col w:w="4900" w:space="380"/>
            <w:col w:w="640"/>
          </w:cols>
          <w:pgMar w:left="220" w:top="114" w:right="599" w:bottom="1440" w:gutter="0" w:footer="0" w:header="0"/>
          <w:type w:val="continuous"/>
        </w:sectPr>
      </w:pPr>
    </w:p>
    <w:p>
      <w:pPr>
        <w:spacing w:after="0" w:line="337" w:lineRule="exact"/>
        <w:rPr>
          <w:sz w:val="20"/>
          <w:szCs w:val="20"/>
          <w:color w:val="auto"/>
        </w:rPr>
      </w:pPr>
    </w:p>
    <w:p>
      <w:pPr>
        <w:spacing w:after="0"/>
        <w:tabs>
          <w:tab w:leader="none" w:pos="5340" w:val="left"/>
        </w:tabs>
        <w:rPr>
          <w:sz w:val="20"/>
          <w:szCs w:val="20"/>
          <w:color w:val="auto"/>
        </w:rPr>
      </w:pPr>
      <w:r>
        <w:rPr>
          <w:rFonts w:ascii="Arial" w:cs="Arial" w:eastAsia="Arial" w:hAnsi="Arial"/>
          <w:sz w:val="15"/>
          <w:szCs w:val="15"/>
          <w:color w:val="auto"/>
        </w:rPr>
        <w:t>Revision 1</w:t>
      </w:r>
      <w:r>
        <w:rPr>
          <w:sz w:val="20"/>
          <w:szCs w:val="20"/>
          <w:color w:val="auto"/>
        </w:rPr>
        <w:tab/>
      </w:r>
      <w:r>
        <w:rPr>
          <w:rFonts w:ascii="Arial" w:cs="Arial" w:eastAsia="Arial" w:hAnsi="Arial"/>
          <w:sz w:val="14"/>
          <w:szCs w:val="14"/>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31202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80"/>
          </w:cols>
          <w:pgMar w:left="220" w:top="114" w:right="599" w:bottom="1440" w:gutter="0" w:footer="0" w:header="0"/>
          <w:type w:val="continuous"/>
        </w:sectPr>
      </w:pPr>
    </w:p>
    <w:bookmarkStart w:id="259" w:name="page260"/>
    <w:bookmarkEnd w:id="259"/>
    <w:p>
      <w:pPr>
        <w:jc w:val="center"/>
        <w:ind w:right="-379"/>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379"/>
        <w:spacing w:after="0"/>
        <w:rPr>
          <w:sz w:val="20"/>
          <w:szCs w:val="20"/>
          <w:color w:val="auto"/>
        </w:rPr>
      </w:pPr>
      <w:r>
        <w:rPr>
          <w:rFonts w:ascii="Arial" w:cs="Arial" w:eastAsia="Arial" w:hAnsi="Arial"/>
          <w:sz w:val="18"/>
          <w:szCs w:val="18"/>
          <w:b w:val="1"/>
          <w:bCs w:val="1"/>
          <w:color w:val="050405"/>
        </w:rPr>
        <w:t>200 Sidney Street</w:t>
      </w:r>
    </w:p>
    <w:p>
      <w:pPr>
        <w:jc w:val="center"/>
        <w:ind w:right="-379"/>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379"/>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ectPr>
          <w:pgSz w:w="11900" w:h="16838" w:orient="portrait"/>
          <w:cols w:equalWidth="0" w:num="1">
            <w:col w:w="11080"/>
          </w:cols>
          <w:pgMar w:left="220" w:top="114" w:right="599" w:bottom="1440" w:gutter="0" w:footer="0" w:header="0"/>
        </w:sectPr>
      </w:pPr>
    </w:p>
    <w:p>
      <w:pPr>
        <w:spacing w:after="0" w:line="196"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1460" w:type="dxa"/>
            <w:vAlign w:val="bottom"/>
          </w:tcPr>
          <w:p>
            <w:pPr>
              <w:jc w:val="center"/>
              <w:ind w:right="627"/>
              <w:spacing w:after="0"/>
              <w:rPr>
                <w:sz w:val="20"/>
                <w:szCs w:val="20"/>
                <w:color w:val="auto"/>
              </w:rPr>
            </w:pPr>
            <w:r>
              <w:rPr>
                <w:rFonts w:ascii="Arial" w:cs="Arial" w:eastAsia="Arial" w:hAnsi="Arial"/>
                <w:sz w:val="15"/>
                <w:szCs w:val="15"/>
                <w:b w:val="1"/>
                <w:bCs w:val="1"/>
                <w:color w:val="auto"/>
                <w:w w:val="95"/>
              </w:rPr>
              <w:t>Area</w:t>
            </w:r>
          </w:p>
        </w:tc>
        <w:tc>
          <w:tcPr>
            <w:tcW w:w="1860" w:type="dxa"/>
            <w:vAlign w:val="bottom"/>
          </w:tcPr>
          <w:p>
            <w:pPr>
              <w:ind w:left="700"/>
              <w:spacing w:after="0"/>
              <w:rPr>
                <w:sz w:val="20"/>
                <w:szCs w:val="20"/>
                <w:color w:val="auto"/>
              </w:rPr>
            </w:pPr>
            <w:r>
              <w:rPr>
                <w:rFonts w:ascii="Arial" w:cs="Arial" w:eastAsia="Arial" w:hAnsi="Arial"/>
                <w:sz w:val="15"/>
                <w:szCs w:val="15"/>
                <w:b w:val="1"/>
                <w:bCs w:val="1"/>
                <w:color w:val="auto"/>
              </w:rPr>
              <w:t>Section</w:t>
            </w:r>
          </w:p>
        </w:tc>
        <w:tc>
          <w:tcPr>
            <w:tcW w:w="980" w:type="dxa"/>
            <w:vAlign w:val="bottom"/>
          </w:tcPr>
          <w:p>
            <w:pPr>
              <w:jc w:val="right"/>
              <w:ind w:right="27"/>
              <w:spacing w:after="0"/>
              <w:rPr>
                <w:sz w:val="20"/>
                <w:szCs w:val="20"/>
                <w:color w:val="auto"/>
              </w:rPr>
            </w:pPr>
            <w:r>
              <w:rPr>
                <w:rFonts w:ascii="Arial" w:cs="Arial" w:eastAsia="Arial" w:hAnsi="Arial"/>
                <w:sz w:val="15"/>
                <w:szCs w:val="15"/>
                <w:b w:val="1"/>
                <w:bCs w:val="1"/>
                <w:color w:val="auto"/>
              </w:rPr>
              <w:t xml:space="preserve">UR </w:t>
            </w:r>
            <w:r>
              <w:rPr>
                <w:rFonts w:ascii="Arial" w:cs="Arial" w:eastAsia="Arial" w:hAnsi="Arial"/>
                <w:sz w:val="15"/>
                <w:szCs w:val="15"/>
                <w:color w:val="auto"/>
              </w:rPr>
              <w:t>#</w:t>
            </w:r>
          </w:p>
        </w:tc>
      </w:tr>
      <w:tr>
        <w:trPr>
          <w:trHeight w:val="241"/>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00013</w:t>
            </w:r>
          </w:p>
        </w:tc>
      </w:tr>
      <w:tr>
        <w:trPr>
          <w:trHeight w:val="492"/>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00014</w:t>
            </w:r>
          </w:p>
        </w:tc>
      </w:tr>
      <w:tr>
        <w:trPr>
          <w:trHeight w:val="492"/>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00015</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00016</w:t>
            </w:r>
          </w:p>
        </w:tc>
      </w:tr>
      <w:tr>
        <w:trPr>
          <w:trHeight w:val="416"/>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00017</w:t>
            </w:r>
          </w:p>
        </w:tc>
      </w:tr>
      <w:tr>
        <w:trPr>
          <w:trHeight w:val="339"/>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00018</w:t>
            </w:r>
          </w:p>
        </w:tc>
      </w:tr>
      <w:tr>
        <w:trPr>
          <w:trHeight w:val="427"/>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00019</w:t>
            </w:r>
          </w:p>
        </w:tc>
      </w:tr>
      <w:tr>
        <w:trPr>
          <w:trHeight w:val="492"/>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00020</w:t>
            </w:r>
          </w:p>
        </w:tc>
      </w:tr>
      <w:tr>
        <w:trPr>
          <w:trHeight w:val="26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00021</w:t>
            </w:r>
          </w:p>
        </w:tc>
      </w:tr>
      <w:tr>
        <w:trPr>
          <w:trHeight w:val="514"/>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00022</w:t>
            </w:r>
          </w:p>
        </w:tc>
      </w:tr>
      <w:tr>
        <w:trPr>
          <w:trHeight w:val="73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00023</w:t>
            </w:r>
          </w:p>
        </w:tc>
      </w:tr>
      <w:tr>
        <w:trPr>
          <w:trHeight w:val="492"/>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00024</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00025</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00026</w:t>
            </w:r>
          </w:p>
        </w:tc>
      </w:tr>
      <w:tr>
        <w:trPr>
          <w:trHeight w:val="26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General</w:t>
            </w:r>
          </w:p>
        </w:tc>
        <w:tc>
          <w:tcPr>
            <w:tcW w:w="980" w:type="dxa"/>
            <w:vAlign w:val="bottom"/>
          </w:tcPr>
          <w:p>
            <w:pPr>
              <w:jc w:val="right"/>
              <w:spacing w:after="0"/>
              <w:rPr>
                <w:sz w:val="20"/>
                <w:szCs w:val="20"/>
                <w:color w:val="auto"/>
              </w:rPr>
            </w:pPr>
            <w:r>
              <w:rPr>
                <w:rFonts w:ascii="Arial" w:cs="Arial" w:eastAsia="Arial" w:hAnsi="Arial"/>
                <w:sz w:val="15"/>
                <w:szCs w:val="15"/>
                <w:color w:val="auto"/>
              </w:rPr>
              <w:t>00027</w:t>
            </w:r>
          </w:p>
        </w:tc>
      </w:tr>
      <w:tr>
        <w:trPr>
          <w:trHeight w:val="26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ind w:left="780"/>
              <w:spacing w:after="0"/>
              <w:rPr>
                <w:sz w:val="20"/>
                <w:szCs w:val="20"/>
                <w:color w:val="auto"/>
              </w:rPr>
            </w:pPr>
            <w:r>
              <w:rPr>
                <w:rFonts w:ascii="Arial" w:cs="Arial" w:eastAsia="Arial" w:hAnsi="Arial"/>
                <w:sz w:val="15"/>
                <w:szCs w:val="15"/>
                <w:color w:val="auto"/>
              </w:rPr>
              <w:t>Storage</w:t>
            </w:r>
          </w:p>
        </w:tc>
        <w:tc>
          <w:tcPr>
            <w:tcW w:w="980" w:type="dxa"/>
            <w:vAlign w:val="bottom"/>
          </w:tcPr>
          <w:p>
            <w:pPr>
              <w:jc w:val="right"/>
              <w:spacing w:after="0"/>
              <w:rPr>
                <w:sz w:val="20"/>
                <w:szCs w:val="20"/>
                <w:color w:val="auto"/>
              </w:rPr>
            </w:pPr>
            <w:r>
              <w:rPr>
                <w:rFonts w:ascii="Arial" w:cs="Arial" w:eastAsia="Arial" w:hAnsi="Arial"/>
                <w:sz w:val="15"/>
                <w:szCs w:val="15"/>
                <w:color w:val="auto"/>
              </w:rPr>
              <w:t>00028</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0" w:lineRule="exact"/>
        <w:rPr>
          <w:sz w:val="20"/>
          <w:szCs w:val="20"/>
          <w:color w:val="auto"/>
        </w:rPr>
      </w:pPr>
    </w:p>
    <w:p>
      <w:pPr>
        <w:ind w:left="80" w:right="120"/>
        <w:spacing w:after="0" w:line="228" w:lineRule="auto"/>
        <w:rPr>
          <w:sz w:val="20"/>
          <w:szCs w:val="20"/>
          <w:color w:val="auto"/>
        </w:rPr>
      </w:pPr>
      <w:r>
        <w:rPr>
          <w:rFonts w:ascii="Arial" w:cs="Arial" w:eastAsia="Arial" w:hAnsi="Arial"/>
          <w:sz w:val="15"/>
          <w:szCs w:val="15"/>
          <w:color w:val="auto"/>
        </w:rPr>
        <w:t>Maintain at least 3 feet for access between fixed equipment and walls, in cases where access is required.</w:t>
      </w:r>
    </w:p>
    <w:p>
      <w:pPr>
        <w:ind w:left="80" w:right="40"/>
        <w:spacing w:after="0" w:line="228" w:lineRule="auto"/>
        <w:rPr>
          <w:sz w:val="20"/>
          <w:szCs w:val="20"/>
          <w:color w:val="auto"/>
        </w:rPr>
      </w:pPr>
      <w:r>
        <w:rPr>
          <w:rFonts w:ascii="Arial" w:cs="Arial" w:eastAsia="Arial" w:hAnsi="Arial"/>
          <w:sz w:val="15"/>
          <w:szCs w:val="15"/>
          <w:color w:val="auto"/>
        </w:rPr>
        <w:t>Ceiling height must allow access for equipment up to 250L Thermo Fisher SUB reactors and biosafety cabinets including considerations for both operations and maintenance. Equipment to be confirmed on equipment list.</w:t>
      </w:r>
    </w:p>
    <w:p>
      <w:pPr>
        <w:spacing w:after="0" w:line="1" w:lineRule="exact"/>
        <w:rPr>
          <w:sz w:val="20"/>
          <w:szCs w:val="20"/>
          <w:color w:val="auto"/>
        </w:rPr>
      </w:pPr>
    </w:p>
    <w:p>
      <w:pPr>
        <w:ind w:left="80" w:right="100"/>
        <w:spacing w:after="0" w:line="228" w:lineRule="auto"/>
        <w:rPr>
          <w:sz w:val="20"/>
          <w:szCs w:val="20"/>
          <w:color w:val="auto"/>
        </w:rPr>
      </w:pPr>
      <w:r>
        <w:rPr>
          <w:rFonts w:ascii="Arial" w:cs="Arial" w:eastAsia="Arial" w:hAnsi="Arial"/>
          <w:sz w:val="15"/>
          <w:szCs w:val="15"/>
          <w:color w:val="auto"/>
        </w:rPr>
        <w:t>Doors, airlocks, and corridors are sized to remove the largest relocatable piece of equipment for maintenance in that area.</w:t>
      </w:r>
    </w:p>
    <w:p>
      <w:pPr>
        <w:ind w:left="80" w:right="400"/>
        <w:spacing w:after="0" w:line="228" w:lineRule="auto"/>
        <w:rPr>
          <w:sz w:val="20"/>
          <w:szCs w:val="20"/>
          <w:color w:val="auto"/>
        </w:rPr>
      </w:pPr>
      <w:r>
        <w:rPr>
          <w:rFonts w:ascii="Arial" w:cs="Arial" w:eastAsia="Arial" w:hAnsi="Arial"/>
          <w:sz w:val="15"/>
          <w:szCs w:val="15"/>
          <w:color w:val="auto"/>
        </w:rPr>
        <w:t>Viewing windows are provided within the manufacturing area, where feasible.</w:t>
      </w:r>
    </w:p>
    <w:p>
      <w:pPr>
        <w:ind w:left="80" w:right="40"/>
        <w:spacing w:after="0" w:line="233" w:lineRule="auto"/>
        <w:rPr>
          <w:sz w:val="20"/>
          <w:szCs w:val="20"/>
          <w:color w:val="auto"/>
        </w:rPr>
      </w:pPr>
      <w:r>
        <w:rPr>
          <w:rFonts w:ascii="Arial" w:cs="Arial" w:eastAsia="Arial" w:hAnsi="Arial"/>
          <w:sz w:val="15"/>
          <w:szCs w:val="15"/>
          <w:color w:val="auto"/>
        </w:rPr>
        <w:t>In manufacturing areas, utilize portable tables or counter top with undercounter cart/rack. All will be cleanable and portable rather than fixed cabinetry.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Biosafety cabinets are in Grade C rooms.</w:t>
      </w:r>
    </w:p>
    <w:p>
      <w:pPr>
        <w:spacing w:after="0" w:line="13" w:lineRule="exact"/>
        <w:rPr>
          <w:sz w:val="20"/>
          <w:szCs w:val="20"/>
          <w:color w:val="auto"/>
        </w:rPr>
      </w:pPr>
    </w:p>
    <w:p>
      <w:pPr>
        <w:ind w:left="80"/>
        <w:spacing w:after="0" w:line="228" w:lineRule="auto"/>
        <w:rPr>
          <w:sz w:val="20"/>
          <w:szCs w:val="20"/>
          <w:color w:val="auto"/>
        </w:rPr>
      </w:pPr>
      <w:r>
        <w:rPr>
          <w:rFonts w:ascii="Arial" w:cs="Arial" w:eastAsia="Arial" w:hAnsi="Arial"/>
          <w:sz w:val="15"/>
          <w:szCs w:val="15"/>
          <w:color w:val="auto"/>
        </w:rPr>
        <w:t>Pass throughs will be located to facilitate convenient transfer of materials. They will be configured to maintain the environment and containment in the connected spaces, and cleanable in a similar manner to the connected rooms.</w:t>
      </w:r>
    </w:p>
    <w:p>
      <w:pPr>
        <w:spacing w:after="0" w:line="1" w:lineRule="exact"/>
        <w:rPr>
          <w:sz w:val="20"/>
          <w:szCs w:val="20"/>
          <w:color w:val="auto"/>
        </w:rPr>
      </w:pPr>
    </w:p>
    <w:p>
      <w:pPr>
        <w:ind w:left="80" w:right="380"/>
        <w:spacing w:after="0" w:line="235" w:lineRule="auto"/>
        <w:rPr>
          <w:sz w:val="20"/>
          <w:szCs w:val="20"/>
          <w:color w:val="auto"/>
        </w:rPr>
      </w:pPr>
      <w:r>
        <w:rPr>
          <w:rFonts w:ascii="Arial" w:cs="Arial" w:eastAsia="Arial" w:hAnsi="Arial"/>
          <w:sz w:val="15"/>
          <w:szCs w:val="15"/>
          <w:color w:val="auto"/>
        </w:rPr>
        <w:t>A hood is required in the media preparation area for flammables and powder handling.</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environment within biosafety cabinets is Grade A.</w:t>
      </w:r>
    </w:p>
    <w:p>
      <w:pPr>
        <w:spacing w:after="0" w:line="13" w:lineRule="exact"/>
        <w:rPr>
          <w:sz w:val="20"/>
          <w:szCs w:val="20"/>
          <w:color w:val="auto"/>
        </w:rPr>
      </w:pPr>
    </w:p>
    <w:p>
      <w:pPr>
        <w:ind w:left="80" w:right="120"/>
        <w:spacing w:after="0" w:line="228" w:lineRule="auto"/>
        <w:rPr>
          <w:sz w:val="20"/>
          <w:szCs w:val="20"/>
          <w:color w:val="auto"/>
        </w:rPr>
      </w:pPr>
      <w:r>
        <w:rPr>
          <w:rFonts w:ascii="Arial" w:cs="Arial" w:eastAsia="Arial" w:hAnsi="Arial"/>
          <w:sz w:val="15"/>
          <w:szCs w:val="15"/>
          <w:color w:val="auto"/>
        </w:rPr>
        <w:t>EMS instruments monitor and record critical parameters, including temperature, humidity, differential pressure, and supply and exhaust airflow in processing rooms. Instruments are accessible for maintenance and calibration. Outside and total air changes per hour will be calculated for each suite based on airflow.</w:t>
      </w:r>
    </w:p>
    <w:p>
      <w:pPr>
        <w:spacing w:after="0" w:line="1" w:lineRule="exact"/>
        <w:rPr>
          <w:sz w:val="20"/>
          <w:szCs w:val="20"/>
          <w:color w:val="auto"/>
        </w:rPr>
      </w:pPr>
    </w:p>
    <w:p>
      <w:pPr>
        <w:ind w:left="80" w:right="120"/>
        <w:spacing w:after="0" w:line="228" w:lineRule="auto"/>
        <w:rPr>
          <w:sz w:val="20"/>
          <w:szCs w:val="20"/>
          <w:color w:val="auto"/>
        </w:rPr>
      </w:pPr>
      <w:r>
        <w:rPr>
          <w:rFonts w:ascii="Arial" w:cs="Arial" w:eastAsia="Arial" w:hAnsi="Arial"/>
          <w:sz w:val="15"/>
          <w:szCs w:val="15"/>
          <w:color w:val="auto"/>
        </w:rPr>
        <w:t>Door interlocks will prevent opening more than one door into/out of a classified room to maximize differential pressure maintenance and spore containment. Interlock design will consider configuration for VHP cycles, including the potential for propping doors open</w:t>
      </w:r>
    </w:p>
    <w:p>
      <w:pPr>
        <w:spacing w:after="0" w:line="1" w:lineRule="exact"/>
        <w:rPr>
          <w:sz w:val="20"/>
          <w:szCs w:val="20"/>
          <w:color w:val="auto"/>
        </w:rPr>
      </w:pPr>
    </w:p>
    <w:p>
      <w:pPr>
        <w:jc w:val="both"/>
        <w:ind w:left="80"/>
        <w:spacing w:after="0" w:line="228" w:lineRule="auto"/>
        <w:rPr>
          <w:sz w:val="20"/>
          <w:szCs w:val="20"/>
          <w:color w:val="auto"/>
        </w:rPr>
      </w:pPr>
      <w:r>
        <w:rPr>
          <w:rFonts w:ascii="Arial" w:cs="Arial" w:eastAsia="Arial" w:hAnsi="Arial"/>
          <w:sz w:val="15"/>
          <w:szCs w:val="15"/>
          <w:color w:val="auto"/>
        </w:rPr>
        <w:t>Locker rooms and rooms used for gowning/degowning, such as airlocks, will contain a demarcation (entrance/exit) line with a change in floor color. Rooms where gowning or degowning are performed will contain personnel supports such as bars (preferred) or benches.</w:t>
      </w:r>
    </w:p>
    <w:p>
      <w:pPr>
        <w:spacing w:after="0" w:line="1" w:lineRule="exact"/>
        <w:rPr>
          <w:sz w:val="20"/>
          <w:szCs w:val="20"/>
          <w:color w:val="auto"/>
        </w:rPr>
      </w:pPr>
    </w:p>
    <w:p>
      <w:pPr>
        <w:ind w:left="80" w:right="440"/>
        <w:spacing w:after="0" w:line="235" w:lineRule="auto"/>
        <w:rPr>
          <w:sz w:val="20"/>
          <w:szCs w:val="20"/>
          <w:color w:val="auto"/>
        </w:rPr>
      </w:pPr>
      <w:r>
        <w:rPr>
          <w:rFonts w:ascii="Arial" w:cs="Arial" w:eastAsia="Arial" w:hAnsi="Arial"/>
          <w:sz w:val="15"/>
          <w:szCs w:val="15"/>
          <w:color w:val="auto"/>
        </w:rPr>
        <w:t>Unclassified mechanical room is available for support equipment as needed.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Closed circuit cameras will be provided in manufacturing areas.</w:t>
      </w:r>
    </w:p>
    <w:p>
      <w:pPr>
        <w:spacing w:after="0" w:line="13" w:lineRule="exact"/>
        <w:rPr>
          <w:sz w:val="20"/>
          <w:szCs w:val="20"/>
          <w:color w:val="auto"/>
        </w:rPr>
      </w:pPr>
    </w:p>
    <w:p>
      <w:pPr>
        <w:ind w:left="80" w:right="320"/>
        <w:spacing w:after="0" w:line="236" w:lineRule="auto"/>
        <w:rPr>
          <w:sz w:val="20"/>
          <w:szCs w:val="20"/>
          <w:color w:val="auto"/>
        </w:rPr>
      </w:pPr>
      <w:r>
        <w:rPr>
          <w:rFonts w:ascii="Arial" w:cs="Arial" w:eastAsia="Arial" w:hAnsi="Arial"/>
          <w:sz w:val="15"/>
          <w:szCs w:val="15"/>
          <w:color w:val="auto"/>
        </w:rPr>
        <w:t>-80C +/- 10C freezer space in a CNC area. Space requirements to be determined.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Category</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DR</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UR</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UR</w:t>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UR</w:t>
      </w: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UR</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UR</w:t>
      </w:r>
    </w:p>
    <w:p>
      <w:pPr>
        <w:spacing w:after="0" w:line="290" w:lineRule="exact"/>
        <w:rPr>
          <w:sz w:val="20"/>
          <w:szCs w:val="20"/>
          <w:color w:val="auto"/>
        </w:rPr>
      </w:pPr>
    </w:p>
    <w:p>
      <w:pPr>
        <w:sectPr>
          <w:pgSz w:w="11900" w:h="16838" w:orient="portrait"/>
          <w:cols w:equalWidth="0" w:num="3">
            <w:col w:w="4840" w:space="320"/>
            <w:col w:w="4880" w:space="400"/>
            <w:col w:w="640"/>
          </w:cols>
          <w:pgMar w:left="220" w:top="114" w:right="599" w:bottom="1440" w:gutter="0" w:footer="0" w:header="0"/>
          <w:type w:val="continuous"/>
        </w:sectPr>
      </w:pPr>
    </w:p>
    <w:p>
      <w:pPr>
        <w:spacing w:after="0" w:line="336" w:lineRule="exact"/>
        <w:rPr>
          <w:sz w:val="20"/>
          <w:szCs w:val="20"/>
          <w:color w:val="auto"/>
        </w:rPr>
      </w:pPr>
    </w:p>
    <w:p>
      <w:pPr>
        <w:spacing w:after="0"/>
        <w:tabs>
          <w:tab w:leader="none" w:pos="5340" w:val="left"/>
        </w:tabs>
        <w:rPr>
          <w:sz w:val="20"/>
          <w:szCs w:val="20"/>
          <w:color w:val="auto"/>
        </w:rPr>
      </w:pPr>
      <w:r>
        <w:rPr>
          <w:rFonts w:ascii="Arial" w:cs="Arial" w:eastAsia="Arial" w:hAnsi="Arial"/>
          <w:sz w:val="15"/>
          <w:szCs w:val="15"/>
          <w:color w:val="auto"/>
        </w:rPr>
        <w:t>Revision 1</w:t>
      </w:r>
      <w:r>
        <w:rPr>
          <w:sz w:val="20"/>
          <w:szCs w:val="20"/>
          <w:color w:val="auto"/>
        </w:rPr>
        <w:tab/>
      </w:r>
      <w:r>
        <w:rPr>
          <w:rFonts w:ascii="Arial" w:cs="Arial" w:eastAsia="Arial" w:hAnsi="Arial"/>
          <w:sz w:val="14"/>
          <w:szCs w:val="14"/>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31202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80"/>
          </w:cols>
          <w:pgMar w:left="220" w:top="114" w:right="599" w:bottom="1440" w:gutter="0" w:footer="0" w:header="0"/>
          <w:type w:val="continuous"/>
        </w:sectPr>
      </w:pPr>
    </w:p>
    <w:bookmarkStart w:id="260" w:name="page261"/>
    <w:bookmarkEnd w:id="260"/>
    <w:p>
      <w:pPr>
        <w:jc w:val="center"/>
        <w:ind w:right="-359"/>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359"/>
        <w:spacing w:after="0"/>
        <w:rPr>
          <w:sz w:val="20"/>
          <w:szCs w:val="20"/>
          <w:color w:val="auto"/>
        </w:rPr>
      </w:pPr>
      <w:r>
        <w:rPr>
          <w:rFonts w:ascii="Arial" w:cs="Arial" w:eastAsia="Arial" w:hAnsi="Arial"/>
          <w:sz w:val="18"/>
          <w:szCs w:val="18"/>
          <w:b w:val="1"/>
          <w:bCs w:val="1"/>
          <w:color w:val="050405"/>
        </w:rPr>
        <w:t>200 Sidney Street</w:t>
      </w:r>
    </w:p>
    <w:p>
      <w:pPr>
        <w:jc w:val="center"/>
        <w:ind w:right="-359"/>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359"/>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ectPr>
          <w:pgSz w:w="11900" w:h="16838" w:orient="portrait"/>
          <w:cols w:equalWidth="0" w:num="1">
            <w:col w:w="11100"/>
          </w:cols>
          <w:pgMar w:left="220" w:top="114" w:right="579" w:bottom="1440" w:gutter="0" w:footer="0" w:header="0"/>
        </w:sectPr>
      </w:pPr>
    </w:p>
    <w:p>
      <w:pPr>
        <w:spacing w:after="0" w:line="196"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1460" w:type="dxa"/>
            <w:vAlign w:val="bottom"/>
          </w:tcPr>
          <w:p>
            <w:pPr>
              <w:jc w:val="center"/>
              <w:ind w:right="627"/>
              <w:spacing w:after="0"/>
              <w:rPr>
                <w:sz w:val="20"/>
                <w:szCs w:val="20"/>
                <w:color w:val="auto"/>
              </w:rPr>
            </w:pPr>
            <w:r>
              <w:rPr>
                <w:rFonts w:ascii="Arial" w:cs="Arial" w:eastAsia="Arial" w:hAnsi="Arial"/>
                <w:sz w:val="15"/>
                <w:szCs w:val="15"/>
                <w:b w:val="1"/>
                <w:bCs w:val="1"/>
                <w:color w:val="auto"/>
                <w:w w:val="95"/>
              </w:rPr>
              <w:t>Area</w:t>
            </w:r>
          </w:p>
        </w:tc>
        <w:tc>
          <w:tcPr>
            <w:tcW w:w="1860" w:type="dxa"/>
            <w:vAlign w:val="bottom"/>
          </w:tcPr>
          <w:p>
            <w:pPr>
              <w:ind w:left="700"/>
              <w:spacing w:after="0"/>
              <w:rPr>
                <w:sz w:val="20"/>
                <w:szCs w:val="20"/>
                <w:color w:val="auto"/>
              </w:rPr>
            </w:pPr>
            <w:r>
              <w:rPr>
                <w:rFonts w:ascii="Arial" w:cs="Arial" w:eastAsia="Arial" w:hAnsi="Arial"/>
                <w:sz w:val="15"/>
                <w:szCs w:val="15"/>
                <w:b w:val="1"/>
                <w:bCs w:val="1"/>
                <w:color w:val="auto"/>
              </w:rPr>
              <w:t>Section</w:t>
            </w: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 xml:space="preserve">UR </w:t>
            </w:r>
            <w:r>
              <w:rPr>
                <w:rFonts w:ascii="Arial" w:cs="Arial" w:eastAsia="Arial" w:hAnsi="Arial"/>
                <w:sz w:val="15"/>
                <w:szCs w:val="15"/>
                <w:color w:val="auto"/>
              </w:rPr>
              <w:t>#</w:t>
            </w:r>
          </w:p>
        </w:tc>
      </w:tr>
      <w:tr>
        <w:trPr>
          <w:trHeight w:val="241"/>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00029</w:t>
            </w:r>
          </w:p>
        </w:tc>
      </w:tr>
      <w:tr>
        <w:trPr>
          <w:trHeight w:val="26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00030</w:t>
            </w:r>
          </w:p>
        </w:tc>
      </w:tr>
      <w:tr>
        <w:trPr>
          <w:trHeight w:val="26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00031</w:t>
            </w:r>
          </w:p>
        </w:tc>
      </w:tr>
      <w:tr>
        <w:trPr>
          <w:trHeight w:val="416"/>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00032</w:t>
            </w:r>
          </w:p>
        </w:tc>
      </w:tr>
      <w:tr>
        <w:trPr>
          <w:trHeight w:val="405"/>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00033</w:t>
            </w:r>
          </w:p>
        </w:tc>
      </w:tr>
      <w:tr>
        <w:trPr>
          <w:trHeight w:val="492"/>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00034</w:t>
            </w:r>
          </w:p>
        </w:tc>
      </w:tr>
      <w:tr>
        <w:trPr>
          <w:trHeight w:val="580"/>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00035</w:t>
            </w:r>
          </w:p>
        </w:tc>
      </w:tr>
      <w:tr>
        <w:trPr>
          <w:trHeight w:val="405"/>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00036</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00037</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Architecture</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Storage</w:t>
            </w:r>
          </w:p>
        </w:tc>
        <w:tc>
          <w:tcPr>
            <w:tcW w:w="1000" w:type="dxa"/>
            <w:vAlign w:val="bottom"/>
          </w:tcPr>
          <w:p>
            <w:pPr>
              <w:jc w:val="right"/>
              <w:spacing w:after="0"/>
              <w:rPr>
                <w:sz w:val="20"/>
                <w:szCs w:val="20"/>
                <w:color w:val="auto"/>
              </w:rPr>
            </w:pPr>
            <w:r>
              <w:rPr>
                <w:rFonts w:ascii="Arial" w:cs="Arial" w:eastAsia="Arial" w:hAnsi="Arial"/>
                <w:sz w:val="15"/>
                <w:szCs w:val="15"/>
                <w:color w:val="auto"/>
              </w:rPr>
              <w:t>00038</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00039</w:t>
            </w:r>
          </w:p>
        </w:tc>
      </w:tr>
      <w:tr>
        <w:trPr>
          <w:trHeight w:val="263"/>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00040</w:t>
            </w:r>
          </w:p>
        </w:tc>
      </w:tr>
      <w:tr>
        <w:trPr>
          <w:trHeight w:val="350"/>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00041</w:t>
            </w:r>
          </w:p>
        </w:tc>
      </w:tr>
      <w:tr>
        <w:trPr>
          <w:trHeight w:val="405"/>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00042</w:t>
            </w:r>
          </w:p>
        </w:tc>
      </w:tr>
      <w:tr>
        <w:trPr>
          <w:trHeight w:val="416"/>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00043</w:t>
            </w:r>
          </w:p>
        </w:tc>
      </w:tr>
      <w:tr>
        <w:trPr>
          <w:trHeight w:val="405"/>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00044</w:t>
            </w:r>
          </w:p>
        </w:tc>
      </w:tr>
      <w:tr>
        <w:trPr>
          <w:trHeight w:val="328"/>
        </w:trPr>
        <w:tc>
          <w:tcPr>
            <w:tcW w:w="1460" w:type="dxa"/>
            <w:vAlign w:val="bottom"/>
          </w:tcPr>
          <w:p>
            <w:pPr>
              <w:jc w:val="center"/>
              <w:ind w:right="607"/>
              <w:spacing w:after="0"/>
              <w:rPr>
                <w:sz w:val="20"/>
                <w:szCs w:val="20"/>
                <w:color w:val="auto"/>
              </w:rPr>
            </w:pPr>
            <w:r>
              <w:rPr>
                <w:rFonts w:ascii="Arial" w:cs="Arial" w:eastAsia="Arial" w:hAnsi="Arial"/>
                <w:sz w:val="15"/>
                <w:szCs w:val="15"/>
                <w:color w:val="auto"/>
                <w:w w:val="97"/>
              </w:rPr>
              <w:t>Automation</w:t>
            </w:r>
          </w:p>
        </w:tc>
        <w:tc>
          <w:tcPr>
            <w:tcW w:w="1860" w:type="dxa"/>
            <w:vAlign w:val="bottom"/>
          </w:tcPr>
          <w:p>
            <w:pPr>
              <w:jc w:val="center"/>
              <w:ind w:left="147"/>
              <w:spacing w:after="0"/>
              <w:rPr>
                <w:sz w:val="20"/>
                <w:szCs w:val="20"/>
                <w:color w:val="auto"/>
              </w:rPr>
            </w:pPr>
            <w:r>
              <w:rPr>
                <w:rFonts w:ascii="Arial" w:cs="Arial" w:eastAsia="Arial" w:hAnsi="Arial"/>
                <w:sz w:val="15"/>
                <w:szCs w:val="15"/>
                <w:color w:val="auto"/>
                <w:w w:val="98"/>
              </w:rPr>
              <w:t>EMS</w:t>
            </w:r>
          </w:p>
        </w:tc>
        <w:tc>
          <w:tcPr>
            <w:tcW w:w="1000" w:type="dxa"/>
            <w:vAlign w:val="bottom"/>
          </w:tcPr>
          <w:p>
            <w:pPr>
              <w:jc w:val="right"/>
              <w:spacing w:after="0"/>
              <w:rPr>
                <w:sz w:val="20"/>
                <w:szCs w:val="20"/>
                <w:color w:val="auto"/>
              </w:rPr>
            </w:pPr>
            <w:r>
              <w:rPr>
                <w:rFonts w:ascii="Arial" w:cs="Arial" w:eastAsia="Arial" w:hAnsi="Arial"/>
                <w:sz w:val="15"/>
                <w:szCs w:val="15"/>
                <w:color w:val="auto"/>
              </w:rPr>
              <w:t>00045</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0" w:lineRule="exact"/>
        <w:rPr>
          <w:sz w:val="20"/>
          <w:szCs w:val="20"/>
          <w:color w:val="auto"/>
        </w:rPr>
      </w:pPr>
    </w:p>
    <w:p>
      <w:pPr>
        <w:ind w:left="80" w:right="280"/>
        <w:spacing w:after="0" w:line="235" w:lineRule="auto"/>
        <w:rPr>
          <w:sz w:val="20"/>
          <w:szCs w:val="20"/>
          <w:color w:val="auto"/>
        </w:rPr>
      </w:pPr>
      <w:r>
        <w:rPr>
          <w:rFonts w:ascii="Arial" w:cs="Arial" w:eastAsia="Arial" w:hAnsi="Arial"/>
          <w:sz w:val="15"/>
          <w:szCs w:val="15"/>
          <w:color w:val="auto"/>
        </w:rPr>
        <w:t>5C +/- 3C refrigerator space in a CNC area. Space requirements to be determined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Flammables storage in a CNC area. Space requirements to be determined</w:t>
      </w:r>
    </w:p>
    <w:p>
      <w:pPr>
        <w:spacing w:after="0" w:line="25" w:lineRule="exact"/>
        <w:rPr>
          <w:sz w:val="20"/>
          <w:szCs w:val="20"/>
          <w:color w:val="auto"/>
        </w:rPr>
      </w:pPr>
    </w:p>
    <w:p>
      <w:pPr>
        <w:ind w:left="80" w:right="80"/>
        <w:spacing w:after="0" w:line="228" w:lineRule="auto"/>
        <w:rPr>
          <w:sz w:val="20"/>
          <w:szCs w:val="20"/>
          <w:color w:val="auto"/>
        </w:rPr>
      </w:pPr>
      <w:r>
        <w:rPr>
          <w:rFonts w:ascii="Arial" w:cs="Arial" w:eastAsia="Arial" w:hAnsi="Arial"/>
          <w:sz w:val="15"/>
          <w:szCs w:val="15"/>
          <w:color w:val="auto"/>
        </w:rPr>
        <w:t>Cryo storage for master cell banking convenient to the pilot facility. Space requirements to be determined.</w:t>
      </w:r>
    </w:p>
    <w:p>
      <w:pPr>
        <w:ind w:left="80" w:right="60"/>
        <w:spacing w:after="0" w:line="228" w:lineRule="auto"/>
        <w:rPr>
          <w:sz w:val="20"/>
          <w:szCs w:val="20"/>
          <w:color w:val="auto"/>
        </w:rPr>
      </w:pPr>
      <w:r>
        <w:rPr>
          <w:rFonts w:ascii="Arial" w:cs="Arial" w:eastAsia="Arial" w:hAnsi="Arial"/>
          <w:sz w:val="15"/>
          <w:szCs w:val="15"/>
          <w:color w:val="auto"/>
        </w:rPr>
        <w:t>Additional -80C freezer space for GMP storage of drug substance outside the classified areas, but in an access controlled space. Space requirements to be determined.</w:t>
      </w:r>
    </w:p>
    <w:p>
      <w:pPr>
        <w:spacing w:after="0" w:line="1" w:lineRule="exact"/>
        <w:rPr>
          <w:sz w:val="20"/>
          <w:szCs w:val="20"/>
          <w:color w:val="auto"/>
        </w:rPr>
      </w:pPr>
    </w:p>
    <w:p>
      <w:pPr>
        <w:ind w:left="80" w:right="180"/>
        <w:spacing w:after="0" w:line="228" w:lineRule="auto"/>
        <w:rPr>
          <w:sz w:val="20"/>
          <w:szCs w:val="20"/>
          <w:color w:val="auto"/>
        </w:rPr>
      </w:pPr>
      <w:r>
        <w:rPr>
          <w:rFonts w:ascii="Arial" w:cs="Arial" w:eastAsia="Arial" w:hAnsi="Arial"/>
          <w:sz w:val="15"/>
          <w:szCs w:val="15"/>
          <w:color w:val="auto"/>
        </w:rPr>
        <w:t>Additional GMP flammables storage outside the classified areas. Space requirements to be determined.</w:t>
      </w:r>
    </w:p>
    <w:p>
      <w:pPr>
        <w:ind w:left="80" w:right="100"/>
        <w:spacing w:after="0" w:line="228" w:lineRule="auto"/>
        <w:rPr>
          <w:sz w:val="20"/>
          <w:szCs w:val="20"/>
          <w:color w:val="auto"/>
        </w:rPr>
      </w:pPr>
      <w:r>
        <w:rPr>
          <w:rFonts w:ascii="Arial" w:cs="Arial" w:eastAsia="Arial" w:hAnsi="Arial"/>
          <w:sz w:val="15"/>
          <w:szCs w:val="15"/>
          <w:color w:val="auto"/>
        </w:rPr>
        <w:t>Controlled room temperature (20-25C with short duration excursions to 15-30C) storage required for raw materials and disposable equipment. Adequate EMS instrumentation will be installed to provide representation of temperatures throughout the space.</w:t>
      </w:r>
    </w:p>
    <w:p>
      <w:pPr>
        <w:spacing w:after="0" w:line="1" w:lineRule="exact"/>
        <w:rPr>
          <w:sz w:val="20"/>
          <w:szCs w:val="20"/>
          <w:color w:val="auto"/>
        </w:rPr>
      </w:pPr>
    </w:p>
    <w:p>
      <w:pPr>
        <w:ind w:left="80" w:right="100"/>
        <w:spacing w:after="0" w:line="228" w:lineRule="auto"/>
        <w:rPr>
          <w:sz w:val="20"/>
          <w:szCs w:val="20"/>
          <w:color w:val="auto"/>
        </w:rPr>
      </w:pPr>
      <w:r>
        <w:rPr>
          <w:rFonts w:ascii="Arial" w:cs="Arial" w:eastAsia="Arial" w:hAnsi="Arial"/>
          <w:sz w:val="15"/>
          <w:szCs w:val="15"/>
          <w:color w:val="auto"/>
        </w:rPr>
        <w:t>Humidity controlled storage for capsules at 50% +/- 15%. Adequate EMS instrumentation will be installed to provide representation of humidity throughout the storage space.</w:t>
      </w:r>
    </w:p>
    <w:p>
      <w:pPr>
        <w:spacing w:after="0" w:line="1" w:lineRule="exact"/>
        <w:rPr>
          <w:sz w:val="20"/>
          <w:szCs w:val="20"/>
          <w:color w:val="auto"/>
        </w:rPr>
      </w:pPr>
    </w:p>
    <w:p>
      <w:pPr>
        <w:ind w:left="80" w:right="180"/>
        <w:spacing w:after="0" w:line="228" w:lineRule="auto"/>
        <w:rPr>
          <w:sz w:val="20"/>
          <w:szCs w:val="20"/>
          <w:color w:val="auto"/>
        </w:rPr>
      </w:pPr>
      <w:r>
        <w:rPr>
          <w:rFonts w:ascii="Arial" w:cs="Arial" w:eastAsia="Arial" w:hAnsi="Arial"/>
          <w:sz w:val="15"/>
          <w:szCs w:val="15"/>
          <w:color w:val="auto"/>
        </w:rPr>
        <w:t>Rejected materials to be caged. All other storage materials can be open storage in a controlled access room.</w:t>
      </w:r>
    </w:p>
    <w:p>
      <w:pPr>
        <w:ind w:left="80" w:right="60"/>
        <w:spacing w:after="0" w:line="228" w:lineRule="auto"/>
        <w:rPr>
          <w:sz w:val="20"/>
          <w:szCs w:val="20"/>
          <w:color w:val="auto"/>
        </w:rPr>
      </w:pPr>
      <w:r>
        <w:rPr>
          <w:rFonts w:ascii="Arial" w:cs="Arial" w:eastAsia="Arial" w:hAnsi="Arial"/>
          <w:sz w:val="15"/>
          <w:szCs w:val="15"/>
          <w:color w:val="auto"/>
        </w:rPr>
        <w:t>Sampling room adjacent to warehouse with outside vented biosafety cabinet, controlled room temperature, and humidity maintained &lt;50%. All storage temperature and humidity parameters are maintained during a loss of primary electrical power.</w:t>
      </w:r>
    </w:p>
    <w:p>
      <w:pPr>
        <w:spacing w:after="0" w:line="1" w:lineRule="exact"/>
        <w:rPr>
          <w:sz w:val="20"/>
          <w:szCs w:val="20"/>
          <w:color w:val="auto"/>
        </w:rPr>
      </w:pPr>
    </w:p>
    <w:p>
      <w:pPr>
        <w:ind w:left="80" w:right="60"/>
        <w:spacing w:after="0" w:line="260" w:lineRule="auto"/>
        <w:rPr>
          <w:sz w:val="20"/>
          <w:szCs w:val="20"/>
          <w:color w:val="auto"/>
        </w:rPr>
      </w:pPr>
      <w:r>
        <w:rPr>
          <w:rFonts w:ascii="Arial" w:cs="Arial" w:eastAsia="Arial" w:hAnsi="Arial"/>
          <w:sz w:val="14"/>
          <w:szCs w:val="14"/>
          <w:color w:val="auto"/>
        </w:rPr>
        <w:t>The Seres Environmental Monitoring System (EMS) will be separate from the landlord system, with access limited to users authorized by Seres. The EMS will follow GAMP and IEEE software management practices.</w:t>
      </w:r>
    </w:p>
    <w:p>
      <w:pPr>
        <w:spacing w:after="0" w:line="2" w:lineRule="exact"/>
        <w:rPr>
          <w:sz w:val="20"/>
          <w:szCs w:val="20"/>
          <w:color w:val="auto"/>
        </w:rPr>
      </w:pPr>
    </w:p>
    <w:p>
      <w:pPr>
        <w:ind w:left="80" w:right="200"/>
        <w:spacing w:after="0" w:line="228" w:lineRule="auto"/>
        <w:rPr>
          <w:sz w:val="20"/>
          <w:szCs w:val="20"/>
          <w:color w:val="auto"/>
        </w:rPr>
      </w:pPr>
      <w:r>
        <w:rPr>
          <w:rFonts w:ascii="Arial" w:cs="Arial" w:eastAsia="Arial" w:hAnsi="Arial"/>
          <w:sz w:val="15"/>
          <w:szCs w:val="15"/>
          <w:color w:val="auto"/>
        </w:rPr>
        <w:t>The EMS with meet 21 CFR Part 11 and EU Annex 11 requirements for storage of electronic records and signatures in a closed system. No biometric signatures are required.</w:t>
      </w:r>
    </w:p>
    <w:p>
      <w:pPr>
        <w:spacing w:after="0" w:line="1" w:lineRule="exact"/>
        <w:rPr>
          <w:sz w:val="20"/>
          <w:szCs w:val="20"/>
          <w:color w:val="auto"/>
        </w:rPr>
      </w:pPr>
    </w:p>
    <w:p>
      <w:pPr>
        <w:ind w:left="80"/>
        <w:spacing w:after="0" w:line="228" w:lineRule="auto"/>
        <w:rPr>
          <w:sz w:val="20"/>
          <w:szCs w:val="20"/>
          <w:color w:val="auto"/>
        </w:rPr>
      </w:pPr>
      <w:r>
        <w:rPr>
          <w:rFonts w:ascii="Arial" w:cs="Arial" w:eastAsia="Arial" w:hAnsi="Arial"/>
          <w:sz w:val="15"/>
          <w:szCs w:val="15"/>
          <w:color w:val="auto"/>
        </w:rPr>
        <w:t>All refrigerators and freezers will have temperature monitored and alarmed on EMS.</w:t>
      </w:r>
    </w:p>
    <w:p>
      <w:pPr>
        <w:ind w:left="80" w:right="20"/>
        <w:spacing w:after="0" w:line="228" w:lineRule="auto"/>
        <w:rPr>
          <w:sz w:val="20"/>
          <w:szCs w:val="20"/>
          <w:color w:val="auto"/>
        </w:rPr>
      </w:pPr>
      <w:r>
        <w:rPr>
          <w:rFonts w:ascii="Arial" w:cs="Arial" w:eastAsia="Arial" w:hAnsi="Arial"/>
          <w:sz w:val="15"/>
          <w:szCs w:val="15"/>
          <w:color w:val="auto"/>
        </w:rPr>
        <w:t>EMS central equipment will be located in a room that is accessible without gowning and convenient to the manufacturing area. Access will be controlled.</w:t>
      </w:r>
    </w:p>
    <w:p>
      <w:pPr>
        <w:spacing w:after="0" w:line="1" w:lineRule="exact"/>
        <w:rPr>
          <w:sz w:val="20"/>
          <w:szCs w:val="20"/>
          <w:color w:val="auto"/>
        </w:rPr>
      </w:pPr>
    </w:p>
    <w:p>
      <w:pPr>
        <w:ind w:left="80" w:right="260"/>
        <w:spacing w:after="0" w:line="228" w:lineRule="auto"/>
        <w:rPr>
          <w:sz w:val="20"/>
          <w:szCs w:val="20"/>
          <w:color w:val="auto"/>
        </w:rPr>
      </w:pPr>
      <w:r>
        <w:rPr>
          <w:rFonts w:ascii="Arial" w:cs="Arial" w:eastAsia="Arial" w:hAnsi="Arial"/>
          <w:sz w:val="15"/>
          <w:szCs w:val="15"/>
          <w:color w:val="auto"/>
        </w:rPr>
        <w:t>A physical interface (desktop computer) to the EMS will be installed on site.</w:t>
      </w:r>
    </w:p>
    <w:p>
      <w:pPr>
        <w:ind w:left="80" w:right="400"/>
        <w:spacing w:after="0" w:line="266" w:lineRule="auto"/>
        <w:rPr>
          <w:sz w:val="20"/>
          <w:szCs w:val="20"/>
          <w:color w:val="auto"/>
        </w:rPr>
      </w:pPr>
      <w:r>
        <w:rPr>
          <w:rFonts w:ascii="Arial" w:cs="Arial" w:eastAsia="Arial" w:hAnsi="Arial"/>
          <w:sz w:val="14"/>
          <w:szCs w:val="14"/>
          <w:color w:val="auto"/>
        </w:rPr>
        <w:t>EMS data storage servers may be located on or off site, and will be provided with backup power and secure physical and logical access.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ind w:right="20"/>
        <w:spacing w:after="0" w:line="388" w:lineRule="auto"/>
        <w:rPr>
          <w:sz w:val="20"/>
          <w:szCs w:val="20"/>
          <w:color w:val="auto"/>
        </w:rPr>
      </w:pPr>
      <w:r>
        <w:rPr>
          <w:rFonts w:ascii="Arial" w:cs="Arial" w:eastAsia="Arial" w:hAnsi="Arial"/>
          <w:sz w:val="14"/>
          <w:szCs w:val="14"/>
          <w:b w:val="1"/>
          <w:bCs w:val="1"/>
          <w:color w:val="auto"/>
        </w:rPr>
        <w:t xml:space="preserve">Category </w:t>
      </w:r>
      <w:r>
        <w:rPr>
          <w:rFonts w:ascii="Arial" w:cs="Arial" w:eastAsia="Arial" w:hAnsi="Arial"/>
          <w:sz w:val="14"/>
          <w:szCs w:val="14"/>
          <w:color w:val="auto"/>
        </w:rPr>
        <w:t>UR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UR</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DR</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DR</w:t>
      </w:r>
    </w:p>
    <w:p>
      <w:pPr>
        <w:spacing w:after="0" w:line="307" w:lineRule="exact"/>
        <w:rPr>
          <w:sz w:val="20"/>
          <w:szCs w:val="20"/>
          <w:color w:val="auto"/>
        </w:rPr>
      </w:pPr>
    </w:p>
    <w:p>
      <w:pPr>
        <w:sectPr>
          <w:pgSz w:w="11900" w:h="16838" w:orient="portrait"/>
          <w:cols w:equalWidth="0" w:num="3">
            <w:col w:w="4860" w:space="320"/>
            <w:col w:w="4880" w:space="380"/>
            <w:col w:w="660"/>
          </w:cols>
          <w:pgMar w:left="220" w:top="114" w:right="579" w:bottom="1440" w:gutter="0" w:footer="0" w:header="0"/>
          <w:type w:val="continuous"/>
        </w:sectPr>
      </w:pPr>
    </w:p>
    <w:p>
      <w:pPr>
        <w:spacing w:after="0" w:line="318" w:lineRule="exact"/>
        <w:rPr>
          <w:sz w:val="20"/>
          <w:szCs w:val="20"/>
          <w:color w:val="auto"/>
        </w:rPr>
      </w:pPr>
    </w:p>
    <w:p>
      <w:pPr>
        <w:spacing w:after="0"/>
        <w:tabs>
          <w:tab w:leader="none" w:pos="5340" w:val="left"/>
        </w:tabs>
        <w:rPr>
          <w:sz w:val="20"/>
          <w:szCs w:val="20"/>
          <w:color w:val="auto"/>
        </w:rPr>
      </w:pPr>
      <w:r>
        <w:rPr>
          <w:rFonts w:ascii="Arial" w:cs="Arial" w:eastAsia="Arial" w:hAnsi="Arial"/>
          <w:sz w:val="15"/>
          <w:szCs w:val="15"/>
          <w:color w:val="auto"/>
        </w:rPr>
        <w:t>Revision 1</w:t>
      </w:r>
      <w:r>
        <w:rPr>
          <w:sz w:val="20"/>
          <w:szCs w:val="20"/>
          <w:color w:val="auto"/>
        </w:rPr>
        <w:tab/>
      </w:r>
      <w:r>
        <w:rPr>
          <w:rFonts w:ascii="Arial" w:cs="Arial" w:eastAsia="Arial" w:hAnsi="Arial"/>
          <w:sz w:val="14"/>
          <w:szCs w:val="14"/>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31202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100"/>
          </w:cols>
          <w:pgMar w:left="220" w:top="114" w:right="579" w:bottom="1440" w:gutter="0" w:footer="0" w:header="0"/>
          <w:type w:val="continuous"/>
        </w:sectPr>
      </w:pPr>
    </w:p>
    <w:bookmarkStart w:id="261" w:name="page262"/>
    <w:bookmarkEnd w:id="261"/>
    <w:p>
      <w:pPr>
        <w:jc w:val="center"/>
        <w:ind w:right="-379"/>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379"/>
        <w:spacing w:after="0"/>
        <w:rPr>
          <w:sz w:val="20"/>
          <w:szCs w:val="20"/>
          <w:color w:val="auto"/>
        </w:rPr>
      </w:pPr>
      <w:r>
        <w:rPr>
          <w:rFonts w:ascii="Arial" w:cs="Arial" w:eastAsia="Arial" w:hAnsi="Arial"/>
          <w:sz w:val="18"/>
          <w:szCs w:val="18"/>
          <w:b w:val="1"/>
          <w:bCs w:val="1"/>
          <w:color w:val="050405"/>
        </w:rPr>
        <w:t>200 Sidney Street</w:t>
      </w:r>
    </w:p>
    <w:p>
      <w:pPr>
        <w:jc w:val="center"/>
        <w:ind w:right="-379"/>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379"/>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ectPr>
          <w:pgSz w:w="11900" w:h="16838" w:orient="portrait"/>
          <w:cols w:equalWidth="0" w:num="1">
            <w:col w:w="11080"/>
          </w:cols>
          <w:pgMar w:left="220" w:top="114" w:right="599" w:bottom="1440" w:gutter="0" w:footer="0" w:header="0"/>
        </w:sectPr>
      </w:pP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2140" w:type="dxa"/>
            <w:vAlign w:val="bottom"/>
          </w:tcPr>
          <w:p>
            <w:pPr>
              <w:jc w:val="center"/>
              <w:ind w:right="387"/>
              <w:spacing w:after="0"/>
              <w:rPr>
                <w:sz w:val="20"/>
                <w:szCs w:val="20"/>
                <w:color w:val="auto"/>
              </w:rPr>
            </w:pPr>
            <w:r>
              <w:rPr>
                <w:rFonts w:ascii="Arial" w:cs="Arial" w:eastAsia="Arial" w:hAnsi="Arial"/>
                <w:sz w:val="15"/>
                <w:szCs w:val="15"/>
                <w:b w:val="1"/>
                <w:bCs w:val="1"/>
                <w:color w:val="auto"/>
                <w:w w:val="95"/>
              </w:rPr>
              <w:t>Area</w:t>
            </w:r>
          </w:p>
        </w:tc>
        <w:tc>
          <w:tcPr>
            <w:tcW w:w="1700" w:type="dxa"/>
            <w:vAlign w:val="bottom"/>
          </w:tcPr>
          <w:p>
            <w:pPr>
              <w:ind w:left="480"/>
              <w:spacing w:after="0"/>
              <w:rPr>
                <w:sz w:val="20"/>
                <w:szCs w:val="20"/>
                <w:color w:val="auto"/>
              </w:rPr>
            </w:pPr>
            <w:r>
              <w:rPr>
                <w:rFonts w:ascii="Arial" w:cs="Arial" w:eastAsia="Arial" w:hAnsi="Arial"/>
                <w:sz w:val="15"/>
                <w:szCs w:val="15"/>
                <w:b w:val="1"/>
                <w:bCs w:val="1"/>
                <w:color w:val="auto"/>
              </w:rPr>
              <w:t>Section</w:t>
            </w: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 xml:space="preserve">UR </w:t>
            </w:r>
            <w:r>
              <w:rPr>
                <w:rFonts w:ascii="Arial" w:cs="Arial" w:eastAsia="Arial" w:hAnsi="Arial"/>
                <w:sz w:val="15"/>
                <w:szCs w:val="15"/>
                <w:color w:val="auto"/>
              </w:rPr>
              <w:t>#</w:t>
            </w:r>
          </w:p>
        </w:tc>
      </w:tr>
      <w:tr>
        <w:trPr>
          <w:trHeight w:val="241"/>
        </w:trPr>
        <w:tc>
          <w:tcPr>
            <w:tcW w:w="2140" w:type="dxa"/>
            <w:vAlign w:val="bottom"/>
          </w:tcPr>
          <w:p>
            <w:pPr>
              <w:jc w:val="center"/>
              <w:ind w:right="367"/>
              <w:spacing w:after="0"/>
              <w:rPr>
                <w:sz w:val="20"/>
                <w:szCs w:val="20"/>
                <w:color w:val="auto"/>
              </w:rPr>
            </w:pPr>
            <w:r>
              <w:rPr>
                <w:rFonts w:ascii="Arial" w:cs="Arial" w:eastAsia="Arial" w:hAnsi="Arial"/>
                <w:sz w:val="15"/>
                <w:szCs w:val="15"/>
                <w:color w:val="auto"/>
                <w:w w:val="97"/>
              </w:rPr>
              <w:t>Automation</w:t>
            </w:r>
          </w:p>
        </w:tc>
        <w:tc>
          <w:tcPr>
            <w:tcW w:w="1700" w:type="dxa"/>
            <w:vAlign w:val="bottom"/>
          </w:tcPr>
          <w:p>
            <w:pPr>
              <w:jc w:val="center"/>
              <w:spacing w:after="0"/>
              <w:rPr>
                <w:sz w:val="20"/>
                <w:szCs w:val="20"/>
                <w:color w:val="auto"/>
              </w:rPr>
            </w:pPr>
            <w:r>
              <w:rPr>
                <w:rFonts w:ascii="Arial" w:cs="Arial" w:eastAsia="Arial" w:hAnsi="Arial"/>
                <w:sz w:val="15"/>
                <w:szCs w:val="15"/>
                <w:color w:val="auto"/>
                <w:w w:val="98"/>
              </w:rPr>
              <w:t>EMS</w:t>
            </w:r>
          </w:p>
        </w:tc>
        <w:tc>
          <w:tcPr>
            <w:tcW w:w="940" w:type="dxa"/>
            <w:vAlign w:val="bottom"/>
          </w:tcPr>
          <w:p>
            <w:pPr>
              <w:jc w:val="right"/>
              <w:spacing w:after="0"/>
              <w:rPr>
                <w:sz w:val="20"/>
                <w:szCs w:val="20"/>
                <w:color w:val="auto"/>
              </w:rPr>
            </w:pPr>
            <w:r>
              <w:rPr>
                <w:rFonts w:ascii="Arial" w:cs="Arial" w:eastAsia="Arial" w:hAnsi="Arial"/>
                <w:sz w:val="15"/>
                <w:szCs w:val="15"/>
                <w:color w:val="auto"/>
              </w:rPr>
              <w:t>00046</w:t>
            </w:r>
          </w:p>
        </w:tc>
      </w:tr>
      <w:tr>
        <w:trPr>
          <w:trHeight w:val="656"/>
        </w:trPr>
        <w:tc>
          <w:tcPr>
            <w:tcW w:w="2140" w:type="dxa"/>
            <w:vAlign w:val="bottom"/>
          </w:tcPr>
          <w:p>
            <w:pPr>
              <w:jc w:val="center"/>
              <w:ind w:right="367"/>
              <w:spacing w:after="0"/>
              <w:rPr>
                <w:sz w:val="20"/>
                <w:szCs w:val="20"/>
                <w:color w:val="auto"/>
              </w:rPr>
            </w:pPr>
            <w:r>
              <w:rPr>
                <w:rFonts w:ascii="Arial" w:cs="Arial" w:eastAsia="Arial" w:hAnsi="Arial"/>
                <w:sz w:val="15"/>
                <w:szCs w:val="15"/>
                <w:color w:val="auto"/>
                <w:w w:val="97"/>
              </w:rPr>
              <w:t>Automation</w:t>
            </w:r>
          </w:p>
        </w:tc>
        <w:tc>
          <w:tcPr>
            <w:tcW w:w="1700" w:type="dxa"/>
            <w:vAlign w:val="bottom"/>
          </w:tcPr>
          <w:p>
            <w:pPr>
              <w:jc w:val="center"/>
              <w:spacing w:after="0"/>
              <w:rPr>
                <w:sz w:val="20"/>
                <w:szCs w:val="20"/>
                <w:color w:val="auto"/>
              </w:rPr>
            </w:pPr>
            <w:r>
              <w:rPr>
                <w:rFonts w:ascii="Arial" w:cs="Arial" w:eastAsia="Arial" w:hAnsi="Arial"/>
                <w:sz w:val="15"/>
                <w:szCs w:val="15"/>
                <w:color w:val="auto"/>
                <w:w w:val="98"/>
              </w:rPr>
              <w:t>EMS</w:t>
            </w:r>
          </w:p>
        </w:tc>
        <w:tc>
          <w:tcPr>
            <w:tcW w:w="940" w:type="dxa"/>
            <w:vAlign w:val="bottom"/>
          </w:tcPr>
          <w:p>
            <w:pPr>
              <w:jc w:val="right"/>
              <w:spacing w:after="0"/>
              <w:rPr>
                <w:sz w:val="20"/>
                <w:szCs w:val="20"/>
                <w:color w:val="auto"/>
              </w:rPr>
            </w:pPr>
            <w:r>
              <w:rPr>
                <w:rFonts w:ascii="Arial" w:cs="Arial" w:eastAsia="Arial" w:hAnsi="Arial"/>
                <w:sz w:val="15"/>
                <w:szCs w:val="15"/>
                <w:color w:val="auto"/>
              </w:rPr>
              <w:t>00047</w:t>
            </w:r>
          </w:p>
        </w:tc>
      </w:tr>
      <w:tr>
        <w:trPr>
          <w:trHeight w:val="656"/>
        </w:trPr>
        <w:tc>
          <w:tcPr>
            <w:tcW w:w="2140" w:type="dxa"/>
            <w:vAlign w:val="bottom"/>
          </w:tcPr>
          <w:p>
            <w:pPr>
              <w:jc w:val="center"/>
              <w:ind w:right="367"/>
              <w:spacing w:after="0"/>
              <w:rPr>
                <w:sz w:val="20"/>
                <w:szCs w:val="20"/>
                <w:color w:val="auto"/>
              </w:rPr>
            </w:pPr>
            <w:r>
              <w:rPr>
                <w:rFonts w:ascii="Arial" w:cs="Arial" w:eastAsia="Arial" w:hAnsi="Arial"/>
                <w:sz w:val="15"/>
                <w:szCs w:val="15"/>
                <w:color w:val="auto"/>
                <w:w w:val="97"/>
              </w:rPr>
              <w:t>Automation</w:t>
            </w:r>
          </w:p>
        </w:tc>
        <w:tc>
          <w:tcPr>
            <w:tcW w:w="1700" w:type="dxa"/>
            <w:vAlign w:val="bottom"/>
          </w:tcPr>
          <w:p>
            <w:pPr>
              <w:jc w:val="center"/>
              <w:spacing w:after="0"/>
              <w:rPr>
                <w:sz w:val="20"/>
                <w:szCs w:val="20"/>
                <w:color w:val="auto"/>
              </w:rPr>
            </w:pPr>
            <w:r>
              <w:rPr>
                <w:rFonts w:ascii="Arial" w:cs="Arial" w:eastAsia="Arial" w:hAnsi="Arial"/>
                <w:sz w:val="15"/>
                <w:szCs w:val="15"/>
                <w:color w:val="auto"/>
                <w:w w:val="98"/>
              </w:rPr>
              <w:t>EMS</w:t>
            </w:r>
          </w:p>
        </w:tc>
        <w:tc>
          <w:tcPr>
            <w:tcW w:w="940" w:type="dxa"/>
            <w:vAlign w:val="bottom"/>
          </w:tcPr>
          <w:p>
            <w:pPr>
              <w:jc w:val="right"/>
              <w:spacing w:after="0"/>
              <w:rPr>
                <w:sz w:val="20"/>
                <w:szCs w:val="20"/>
                <w:color w:val="auto"/>
              </w:rPr>
            </w:pPr>
            <w:r>
              <w:rPr>
                <w:rFonts w:ascii="Arial" w:cs="Arial" w:eastAsia="Arial" w:hAnsi="Arial"/>
                <w:sz w:val="15"/>
                <w:szCs w:val="15"/>
                <w:color w:val="auto"/>
              </w:rPr>
              <w:t>00048</w:t>
            </w:r>
          </w:p>
        </w:tc>
      </w:tr>
      <w:tr>
        <w:trPr>
          <w:trHeight w:val="416"/>
        </w:trPr>
        <w:tc>
          <w:tcPr>
            <w:tcW w:w="2140" w:type="dxa"/>
            <w:vAlign w:val="bottom"/>
          </w:tcPr>
          <w:p>
            <w:pPr>
              <w:jc w:val="center"/>
              <w:ind w:right="367"/>
              <w:spacing w:after="0"/>
              <w:rPr>
                <w:sz w:val="20"/>
                <w:szCs w:val="20"/>
                <w:color w:val="auto"/>
              </w:rPr>
            </w:pPr>
            <w:r>
              <w:rPr>
                <w:rFonts w:ascii="Arial" w:cs="Arial" w:eastAsia="Arial" w:hAnsi="Arial"/>
                <w:sz w:val="15"/>
                <w:szCs w:val="15"/>
                <w:color w:val="auto"/>
                <w:w w:val="97"/>
              </w:rPr>
              <w:t>Automation</w:t>
            </w:r>
          </w:p>
        </w:tc>
        <w:tc>
          <w:tcPr>
            <w:tcW w:w="1700" w:type="dxa"/>
            <w:vAlign w:val="bottom"/>
          </w:tcPr>
          <w:p>
            <w:pPr>
              <w:jc w:val="center"/>
              <w:spacing w:after="0"/>
              <w:rPr>
                <w:sz w:val="20"/>
                <w:szCs w:val="20"/>
                <w:color w:val="auto"/>
              </w:rPr>
            </w:pPr>
            <w:r>
              <w:rPr>
                <w:rFonts w:ascii="Arial" w:cs="Arial" w:eastAsia="Arial" w:hAnsi="Arial"/>
                <w:sz w:val="15"/>
                <w:szCs w:val="15"/>
                <w:color w:val="auto"/>
                <w:w w:val="98"/>
              </w:rPr>
              <w:t>EMS</w:t>
            </w:r>
          </w:p>
        </w:tc>
        <w:tc>
          <w:tcPr>
            <w:tcW w:w="940" w:type="dxa"/>
            <w:vAlign w:val="bottom"/>
          </w:tcPr>
          <w:p>
            <w:pPr>
              <w:jc w:val="right"/>
              <w:spacing w:after="0"/>
              <w:rPr>
                <w:sz w:val="20"/>
                <w:szCs w:val="20"/>
                <w:color w:val="auto"/>
              </w:rPr>
            </w:pPr>
            <w:r>
              <w:rPr>
                <w:rFonts w:ascii="Arial" w:cs="Arial" w:eastAsia="Arial" w:hAnsi="Arial"/>
                <w:sz w:val="15"/>
                <w:szCs w:val="15"/>
                <w:color w:val="auto"/>
              </w:rPr>
              <w:t>00049</w:t>
            </w:r>
          </w:p>
        </w:tc>
      </w:tr>
      <w:tr>
        <w:trPr>
          <w:trHeight w:val="405"/>
        </w:trPr>
        <w:tc>
          <w:tcPr>
            <w:tcW w:w="2140" w:type="dxa"/>
            <w:vAlign w:val="bottom"/>
          </w:tcPr>
          <w:p>
            <w:pPr>
              <w:jc w:val="center"/>
              <w:ind w:right="367"/>
              <w:spacing w:after="0"/>
              <w:rPr>
                <w:sz w:val="20"/>
                <w:szCs w:val="20"/>
                <w:color w:val="auto"/>
              </w:rPr>
            </w:pPr>
            <w:r>
              <w:rPr>
                <w:rFonts w:ascii="Arial" w:cs="Arial" w:eastAsia="Arial" w:hAnsi="Arial"/>
                <w:sz w:val="15"/>
                <w:szCs w:val="15"/>
                <w:color w:val="auto"/>
                <w:w w:val="97"/>
              </w:rPr>
              <w:t>Automation</w:t>
            </w:r>
          </w:p>
        </w:tc>
        <w:tc>
          <w:tcPr>
            <w:tcW w:w="1700" w:type="dxa"/>
            <w:vAlign w:val="bottom"/>
          </w:tcPr>
          <w:p>
            <w:pPr>
              <w:jc w:val="center"/>
              <w:spacing w:after="0"/>
              <w:rPr>
                <w:sz w:val="20"/>
                <w:szCs w:val="20"/>
                <w:color w:val="auto"/>
              </w:rPr>
            </w:pPr>
            <w:r>
              <w:rPr>
                <w:rFonts w:ascii="Arial" w:cs="Arial" w:eastAsia="Arial" w:hAnsi="Arial"/>
                <w:sz w:val="15"/>
                <w:szCs w:val="15"/>
                <w:color w:val="auto"/>
                <w:w w:val="95"/>
              </w:rPr>
              <w:t>Security</w:t>
            </w:r>
          </w:p>
        </w:tc>
        <w:tc>
          <w:tcPr>
            <w:tcW w:w="940" w:type="dxa"/>
            <w:vAlign w:val="bottom"/>
          </w:tcPr>
          <w:p>
            <w:pPr>
              <w:jc w:val="right"/>
              <w:spacing w:after="0"/>
              <w:rPr>
                <w:sz w:val="20"/>
                <w:szCs w:val="20"/>
                <w:color w:val="auto"/>
              </w:rPr>
            </w:pPr>
            <w:r>
              <w:rPr>
                <w:rFonts w:ascii="Arial" w:cs="Arial" w:eastAsia="Arial" w:hAnsi="Arial"/>
                <w:sz w:val="15"/>
                <w:szCs w:val="15"/>
                <w:color w:val="auto"/>
              </w:rPr>
              <w:t>00050</w:t>
            </w:r>
          </w:p>
        </w:tc>
      </w:tr>
      <w:tr>
        <w:trPr>
          <w:trHeight w:val="416"/>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00051</w:t>
            </w:r>
          </w:p>
        </w:tc>
      </w:tr>
      <w:tr>
        <w:trPr>
          <w:trHeight w:val="405"/>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00052</w:t>
            </w:r>
          </w:p>
        </w:tc>
      </w:tr>
      <w:tr>
        <w:trPr>
          <w:trHeight w:val="416"/>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00053</w:t>
            </w:r>
          </w:p>
        </w:tc>
      </w:tr>
      <w:tr>
        <w:trPr>
          <w:trHeight w:val="492"/>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6"/>
              </w:rPr>
              <w:t>Manufacturing Operation</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00054</w:t>
            </w:r>
          </w:p>
        </w:tc>
      </w:tr>
      <w:tr>
        <w:trPr>
          <w:trHeight w:val="492"/>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00055</w:t>
            </w:r>
          </w:p>
        </w:tc>
      </w:tr>
      <w:tr>
        <w:trPr>
          <w:trHeight w:val="492"/>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00056</w:t>
            </w:r>
          </w:p>
        </w:tc>
      </w:tr>
      <w:tr>
        <w:trPr>
          <w:trHeight w:val="569"/>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00057</w:t>
            </w:r>
          </w:p>
        </w:tc>
      </w:tr>
      <w:tr>
        <w:trPr>
          <w:trHeight w:val="427"/>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00058</w:t>
            </w:r>
          </w:p>
        </w:tc>
      </w:tr>
      <w:tr>
        <w:trPr>
          <w:trHeight w:val="197"/>
        </w:trPr>
        <w:tc>
          <w:tcPr>
            <w:tcW w:w="2140" w:type="dxa"/>
            <w:vAlign w:val="bottom"/>
          </w:tcPr>
          <w:p>
            <w:pPr>
              <w:jc w:val="center"/>
              <w:ind w:right="387"/>
              <w:spacing w:after="0"/>
              <w:rPr>
                <w:sz w:val="20"/>
                <w:szCs w:val="20"/>
                <w:color w:val="auto"/>
              </w:rPr>
            </w:pPr>
            <w:r>
              <w:rPr>
                <w:rFonts w:ascii="Arial" w:cs="Arial" w:eastAsia="Arial" w:hAnsi="Arial"/>
                <w:sz w:val="15"/>
                <w:szCs w:val="15"/>
                <w:color w:val="auto"/>
                <w:w w:val="97"/>
              </w:rPr>
              <w:t>Manufacturing Operations</w:t>
            </w:r>
          </w:p>
        </w:tc>
        <w:tc>
          <w:tcPr>
            <w:tcW w:w="170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940" w:type="dxa"/>
            <w:vAlign w:val="bottom"/>
          </w:tcPr>
          <w:p>
            <w:pPr>
              <w:jc w:val="right"/>
              <w:spacing w:after="0"/>
              <w:rPr>
                <w:sz w:val="20"/>
                <w:szCs w:val="20"/>
                <w:color w:val="auto"/>
              </w:rPr>
            </w:pPr>
            <w:r>
              <w:rPr>
                <w:rFonts w:ascii="Arial" w:cs="Arial" w:eastAsia="Arial" w:hAnsi="Arial"/>
                <w:sz w:val="15"/>
                <w:szCs w:val="15"/>
                <w:color w:val="auto"/>
              </w:rPr>
              <w:t>00059</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color w:val="auto"/>
        </w:rPr>
        <w:t>Revision 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0" w:lineRule="exact"/>
        <w:rPr>
          <w:sz w:val="20"/>
          <w:szCs w:val="20"/>
          <w:color w:val="auto"/>
        </w:rPr>
      </w:pPr>
    </w:p>
    <w:p>
      <w:pPr>
        <w:ind w:left="80"/>
        <w:spacing w:after="0" w:line="228" w:lineRule="auto"/>
        <w:rPr>
          <w:sz w:val="20"/>
          <w:szCs w:val="20"/>
          <w:color w:val="auto"/>
        </w:rPr>
      </w:pPr>
      <w:r>
        <w:rPr>
          <w:rFonts w:ascii="Arial" w:cs="Arial" w:eastAsia="Arial" w:hAnsi="Arial"/>
          <w:sz w:val="15"/>
          <w:szCs w:val="15"/>
          <w:color w:val="auto"/>
        </w:rPr>
        <w:t>Remote access to the EMS to authorized users will be provided, including remote notification of alarms and warnings and access to graphics. Alarms and warnings will be reconfigurable by authorized users. Alarms and warnings may be configured for each point with any combination of alarms or warnings used (for example, only low warning, or only low alarm and high warning, etc.). Each alarm/warning will have a configurable delay; for example, a low warning may have a different delay from a high alarm for the same point.</w:t>
      </w:r>
    </w:p>
    <w:p>
      <w:pPr>
        <w:spacing w:after="0" w:line="2" w:lineRule="exact"/>
        <w:rPr>
          <w:sz w:val="20"/>
          <w:szCs w:val="20"/>
          <w:color w:val="auto"/>
        </w:rPr>
      </w:pPr>
    </w:p>
    <w:p>
      <w:pPr>
        <w:ind w:left="80"/>
        <w:spacing w:after="0" w:line="228" w:lineRule="auto"/>
        <w:rPr>
          <w:sz w:val="20"/>
          <w:szCs w:val="20"/>
          <w:color w:val="auto"/>
        </w:rPr>
      </w:pPr>
      <w:r>
        <w:rPr>
          <w:rFonts w:ascii="Arial" w:cs="Arial" w:eastAsia="Arial" w:hAnsi="Arial"/>
          <w:sz w:val="15"/>
          <w:szCs w:val="15"/>
          <w:color w:val="auto"/>
        </w:rPr>
        <w:t>Local Uninterruptible Power Supplies (UPS) will provide emergency power to maintain EMS data collection and recording.</w:t>
      </w:r>
    </w:p>
    <w:p>
      <w:pPr>
        <w:ind w:left="80"/>
        <w:spacing w:after="0" w:line="228" w:lineRule="auto"/>
        <w:rPr>
          <w:sz w:val="20"/>
          <w:szCs w:val="20"/>
          <w:color w:val="auto"/>
        </w:rPr>
      </w:pPr>
      <w:r>
        <w:rPr>
          <w:rFonts w:ascii="Arial" w:cs="Arial" w:eastAsia="Arial" w:hAnsi="Arial"/>
          <w:sz w:val="15"/>
          <w:szCs w:val="15"/>
          <w:color w:val="auto"/>
        </w:rPr>
        <w:t>Following a restart or loss of power, all EMS setpoint values (including any control setpoints, alarm/warning setpoints, time delays, etc.) will be automatically restored .</w:t>
      </w:r>
    </w:p>
    <w:p>
      <w:pPr>
        <w:spacing w:after="0" w:line="1" w:lineRule="exact"/>
        <w:rPr>
          <w:sz w:val="20"/>
          <w:szCs w:val="20"/>
          <w:color w:val="auto"/>
        </w:rPr>
      </w:pPr>
    </w:p>
    <w:p>
      <w:pPr>
        <w:ind w:left="80" w:right="320"/>
        <w:spacing w:after="0" w:line="228" w:lineRule="auto"/>
        <w:rPr>
          <w:sz w:val="20"/>
          <w:szCs w:val="20"/>
          <w:color w:val="auto"/>
        </w:rPr>
      </w:pPr>
      <w:r>
        <w:rPr>
          <w:rFonts w:ascii="Arial" w:cs="Arial" w:eastAsia="Arial" w:hAnsi="Arial"/>
          <w:sz w:val="15"/>
          <w:szCs w:val="15"/>
          <w:color w:val="auto"/>
        </w:rPr>
        <w:t>Key cards will limit access to processing and support areas, including automation equipment, to authorized personnel.</w:t>
      </w:r>
    </w:p>
    <w:p>
      <w:pPr>
        <w:jc w:val="both"/>
        <w:ind w:left="80" w:right="480"/>
        <w:spacing w:after="0" w:line="228" w:lineRule="auto"/>
        <w:rPr>
          <w:sz w:val="20"/>
          <w:szCs w:val="20"/>
          <w:color w:val="auto"/>
        </w:rPr>
      </w:pPr>
      <w:r>
        <w:rPr>
          <w:rFonts w:ascii="Arial" w:cs="Arial" w:eastAsia="Arial" w:hAnsi="Arial"/>
          <w:sz w:val="15"/>
          <w:szCs w:val="15"/>
          <w:color w:val="auto"/>
        </w:rPr>
        <w:t>Floor drains will be installed in Controlled Non-Classified areas as necessary to facilitate liquid disposal. Grade C and D areas will not contain floor drains.</w:t>
      </w:r>
    </w:p>
    <w:p>
      <w:pPr>
        <w:spacing w:after="0" w:line="1" w:lineRule="exact"/>
        <w:rPr>
          <w:sz w:val="20"/>
          <w:szCs w:val="20"/>
          <w:color w:val="auto"/>
        </w:rPr>
      </w:pPr>
    </w:p>
    <w:p>
      <w:pPr>
        <w:ind w:left="80" w:right="80"/>
        <w:spacing w:after="0" w:line="228" w:lineRule="auto"/>
        <w:rPr>
          <w:sz w:val="20"/>
          <w:szCs w:val="20"/>
          <w:color w:val="auto"/>
        </w:rPr>
      </w:pPr>
      <w:r>
        <w:rPr>
          <w:rFonts w:ascii="Arial" w:cs="Arial" w:eastAsia="Arial" w:hAnsi="Arial"/>
          <w:sz w:val="15"/>
          <w:szCs w:val="15"/>
          <w:color w:val="auto"/>
        </w:rPr>
        <w:t>Cleaning in classified areas will be performed with USP purified or higher quality water.</w:t>
      </w:r>
    </w:p>
    <w:p>
      <w:pPr>
        <w:ind w:left="80" w:right="40"/>
        <w:spacing w:after="0" w:line="228" w:lineRule="auto"/>
        <w:rPr>
          <w:sz w:val="20"/>
          <w:szCs w:val="20"/>
          <w:color w:val="auto"/>
        </w:rPr>
      </w:pPr>
      <w:r>
        <w:rPr>
          <w:rFonts w:ascii="Arial" w:cs="Arial" w:eastAsia="Arial" w:hAnsi="Arial"/>
          <w:sz w:val="15"/>
          <w:szCs w:val="15"/>
          <w:color w:val="auto"/>
        </w:rPr>
        <w:t>All finishes and equipment in classified spaces will be cleanable, compatible with SporKlenz and Vaporized Hydrogen Peroxide (VHP), and suitable for pressure containment (balancing).</w:t>
      </w:r>
    </w:p>
    <w:p>
      <w:pPr>
        <w:spacing w:after="0" w:line="1" w:lineRule="exact"/>
        <w:rPr>
          <w:sz w:val="20"/>
          <w:szCs w:val="20"/>
          <w:color w:val="auto"/>
        </w:rPr>
      </w:pPr>
    </w:p>
    <w:p>
      <w:pPr>
        <w:ind w:left="80" w:right="340"/>
        <w:spacing w:after="0" w:line="228" w:lineRule="auto"/>
        <w:rPr>
          <w:sz w:val="20"/>
          <w:szCs w:val="20"/>
          <w:color w:val="auto"/>
        </w:rPr>
      </w:pPr>
      <w:r>
        <w:rPr>
          <w:rFonts w:ascii="Arial" w:cs="Arial" w:eastAsia="Arial" w:hAnsi="Arial"/>
          <w:sz w:val="15"/>
          <w:szCs w:val="15"/>
          <w:color w:val="auto"/>
        </w:rPr>
        <w:t>Initial gowning will be performed in locker room(s), consisting of manufacturing area shoes, tech suit, shoe covers, gloves, and safety glasses.</w:t>
      </w:r>
    </w:p>
    <w:p>
      <w:pPr>
        <w:spacing w:after="0" w:line="1" w:lineRule="exact"/>
        <w:rPr>
          <w:sz w:val="20"/>
          <w:szCs w:val="20"/>
          <w:color w:val="auto"/>
        </w:rPr>
      </w:pPr>
    </w:p>
    <w:p>
      <w:pPr>
        <w:jc w:val="both"/>
        <w:ind w:left="80" w:right="120"/>
        <w:spacing w:after="0" w:line="228" w:lineRule="auto"/>
        <w:rPr>
          <w:sz w:val="20"/>
          <w:szCs w:val="20"/>
          <w:color w:val="auto"/>
        </w:rPr>
      </w:pPr>
      <w:r>
        <w:rPr>
          <w:rFonts w:ascii="Arial" w:cs="Arial" w:eastAsia="Arial" w:hAnsi="Arial"/>
          <w:sz w:val="15"/>
          <w:szCs w:val="15"/>
          <w:color w:val="auto"/>
        </w:rPr>
        <w:t>Secondary gowning will be performed in entrance air locks, consisting of new gloves, disposable coveralls, disposable boot covers, hair net, and beard cover (when applicable)</w:t>
      </w:r>
    </w:p>
    <w:p>
      <w:pPr>
        <w:spacing w:after="0" w:line="1" w:lineRule="exact"/>
        <w:rPr>
          <w:sz w:val="20"/>
          <w:szCs w:val="20"/>
          <w:color w:val="auto"/>
        </w:rPr>
      </w:pPr>
    </w:p>
    <w:p>
      <w:pPr>
        <w:jc w:val="both"/>
        <w:ind w:left="80" w:right="160"/>
        <w:spacing w:after="0" w:line="228" w:lineRule="auto"/>
        <w:rPr>
          <w:sz w:val="20"/>
          <w:szCs w:val="20"/>
          <w:color w:val="auto"/>
        </w:rPr>
      </w:pPr>
      <w:r>
        <w:rPr>
          <w:rFonts w:ascii="Arial" w:cs="Arial" w:eastAsia="Arial" w:hAnsi="Arial"/>
          <w:sz w:val="15"/>
          <w:szCs w:val="15"/>
          <w:color w:val="auto"/>
        </w:rPr>
        <w:t>Initial degowning will be performed in exit air locks, including disposal of hair net, beard cover, and coveralls and replacement of gloves and boot covers, including gloves and boot covers.</w:t>
      </w:r>
    </w:p>
    <w:p>
      <w:pPr>
        <w:spacing w:after="0" w:line="1" w:lineRule="exact"/>
        <w:rPr>
          <w:sz w:val="20"/>
          <w:szCs w:val="20"/>
          <w:color w:val="auto"/>
        </w:rPr>
      </w:pPr>
    </w:p>
    <w:p>
      <w:pPr>
        <w:ind w:left="80" w:right="80"/>
        <w:spacing w:after="0" w:line="232" w:lineRule="auto"/>
        <w:rPr>
          <w:sz w:val="20"/>
          <w:szCs w:val="20"/>
          <w:color w:val="auto"/>
        </w:rPr>
      </w:pPr>
      <w:r>
        <w:rPr>
          <w:rFonts w:ascii="Arial" w:cs="Arial" w:eastAsia="Arial" w:hAnsi="Arial"/>
          <w:sz w:val="15"/>
          <w:szCs w:val="15"/>
          <w:color w:val="auto"/>
        </w:rPr>
        <w:t>Final degowning will be performed in locker room(s), consisting of doffing and storage of manufacturing area shoes (covered with fresh disposable shoe covers), safety glasses, and tech suit, disposal of gloves, and donning of street clothes and shoes.</w:t>
      </w:r>
    </w:p>
    <w:p>
      <w:pPr>
        <w:ind w:left="80"/>
        <w:spacing w:after="0"/>
        <w:rPr>
          <w:sz w:val="20"/>
          <w:szCs w:val="20"/>
          <w:color w:val="auto"/>
        </w:rPr>
      </w:pPr>
      <w:r>
        <w:rPr>
          <w:rFonts w:ascii="Arial" w:cs="Arial" w:eastAsia="Arial" w:hAnsi="Arial"/>
          <w:sz w:val="15"/>
          <w:szCs w:val="15"/>
          <w:color w:val="auto"/>
        </w:rPr>
        <w:t>Sterilizing autoclave in equipment preparation room.</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Washing equipment for small parts in equipment preparation room.</w:t>
      </w: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177165</wp:posOffset>
            </wp:positionV>
            <wp:extent cx="731202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Category</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UR</w:t>
      </w: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DR</w:t>
      </w:r>
    </w:p>
    <w:p>
      <w:pPr>
        <w:spacing w:after="0" w:line="32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DR</w:t>
      </w:r>
    </w:p>
    <w:p>
      <w:pPr>
        <w:spacing w:after="0" w:line="39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DR</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ectPr>
          <w:pgSz w:w="11900" w:h="16838" w:orient="portrait"/>
          <w:cols w:equalWidth="0" w:num="3">
            <w:col w:w="4860" w:space="320"/>
            <w:col w:w="4860" w:space="400"/>
            <w:col w:w="640"/>
          </w:cols>
          <w:pgMar w:left="220" w:top="114" w:right="599" w:bottom="1440" w:gutter="0" w:footer="0" w:header="0"/>
          <w:type w:val="continuous"/>
        </w:sectPr>
      </w:pPr>
    </w:p>
    <w:bookmarkStart w:id="262" w:name="page263"/>
    <w:bookmarkEnd w:id="262"/>
    <w:p>
      <w:pPr>
        <w:jc w:val="center"/>
        <w:ind w:right="-379"/>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050405"/>
        </w:rPr>
        <w:t>200 Sidney Street</w:t>
      </w:r>
    </w:p>
    <w:p>
      <w:pPr>
        <w:jc w:val="center"/>
        <w:ind w:right="-379"/>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379"/>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ectPr>
          <w:pgSz w:w="11900" w:h="16838" w:orient="portrait"/>
          <w:cols w:equalWidth="0" w:num="1">
            <w:col w:w="11080"/>
          </w:cols>
          <w:pgMar w:left="220" w:top="114" w:right="599" w:bottom="1440" w:gutter="0" w:footer="0" w:header="0"/>
        </w:sectPr>
      </w:pP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93"/>
        </w:trPr>
        <w:tc>
          <w:tcPr>
            <w:tcW w:w="2000" w:type="dxa"/>
            <w:vAlign w:val="bottom"/>
          </w:tcPr>
          <w:p>
            <w:pPr>
              <w:jc w:val="center"/>
              <w:ind w:right="247"/>
              <w:spacing w:after="0"/>
              <w:rPr>
                <w:sz w:val="20"/>
                <w:szCs w:val="20"/>
                <w:color w:val="auto"/>
              </w:rPr>
            </w:pPr>
            <w:r>
              <w:rPr>
                <w:rFonts w:ascii="Arial" w:cs="Arial" w:eastAsia="Arial" w:hAnsi="Arial"/>
                <w:sz w:val="15"/>
                <w:szCs w:val="15"/>
                <w:b w:val="1"/>
                <w:bCs w:val="1"/>
                <w:color w:val="auto"/>
                <w:w w:val="95"/>
              </w:rPr>
              <w:t>Area</w:t>
            </w:r>
          </w:p>
        </w:tc>
        <w:tc>
          <w:tcPr>
            <w:tcW w:w="1980" w:type="dxa"/>
            <w:vAlign w:val="bottom"/>
          </w:tcPr>
          <w:p>
            <w:pPr>
              <w:ind w:left="620"/>
              <w:spacing w:after="0"/>
              <w:rPr>
                <w:sz w:val="20"/>
                <w:szCs w:val="20"/>
                <w:color w:val="auto"/>
              </w:rPr>
            </w:pPr>
            <w:r>
              <w:rPr>
                <w:rFonts w:ascii="Arial" w:cs="Arial" w:eastAsia="Arial" w:hAnsi="Arial"/>
                <w:sz w:val="15"/>
                <w:szCs w:val="15"/>
                <w:b w:val="1"/>
                <w:bCs w:val="1"/>
                <w:color w:val="auto"/>
              </w:rPr>
              <w:t>Section</w:t>
            </w:r>
          </w:p>
        </w:tc>
        <w:tc>
          <w:tcPr>
            <w:tcW w:w="780" w:type="dxa"/>
            <w:vAlign w:val="bottom"/>
          </w:tcPr>
          <w:p>
            <w:pPr>
              <w:ind w:left="360"/>
              <w:spacing w:after="0"/>
              <w:rPr>
                <w:sz w:val="20"/>
                <w:szCs w:val="20"/>
                <w:color w:val="auto"/>
              </w:rPr>
            </w:pPr>
            <w:r>
              <w:rPr>
                <w:rFonts w:ascii="Arial" w:cs="Arial" w:eastAsia="Arial" w:hAnsi="Arial"/>
                <w:sz w:val="15"/>
                <w:szCs w:val="15"/>
                <w:b w:val="1"/>
                <w:bCs w:val="1"/>
                <w:color w:val="auto"/>
              </w:rPr>
              <w:t xml:space="preserve">UR </w:t>
            </w:r>
            <w:r>
              <w:rPr>
                <w:rFonts w:ascii="Arial" w:cs="Arial" w:eastAsia="Arial" w:hAnsi="Arial"/>
                <w:sz w:val="15"/>
                <w:szCs w:val="15"/>
                <w:color w:val="auto"/>
              </w:rPr>
              <w:t>#</w:t>
            </w:r>
          </w:p>
        </w:tc>
      </w:tr>
      <w:tr>
        <w:trPr>
          <w:trHeight w:val="176"/>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Cleanliness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00060</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Media &amp; Buffer Prep</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00061</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Media &amp; Buffer Prep</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00062</w:t>
            </w:r>
          </w:p>
        </w:tc>
      </w:tr>
      <w:tr>
        <w:trPr>
          <w:trHeight w:val="197"/>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Media &amp; Buffer Prep</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00063</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Media &amp; Buffer Prep</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00064</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Media &amp; Buffer Prep</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00065</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7"/>
              </w:rPr>
              <w:t>Media &amp; Buffer Prep</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00066</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00067</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00068</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00069</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00070</w:t>
            </w:r>
          </w:p>
        </w:tc>
      </w:tr>
      <w:tr>
        <w:trPr>
          <w:trHeight w:val="416"/>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00071</w:t>
            </w:r>
          </w:p>
        </w:tc>
      </w:tr>
      <w:tr>
        <w:trPr>
          <w:trHeight w:val="405"/>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00072</w:t>
            </w:r>
          </w:p>
        </w:tc>
      </w:tr>
      <w:tr>
        <w:trPr>
          <w:trHeight w:val="416"/>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00073</w:t>
            </w:r>
          </w:p>
        </w:tc>
      </w:tr>
      <w:tr>
        <w:trPr>
          <w:trHeight w:val="339"/>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00074</w:t>
            </w:r>
          </w:p>
        </w:tc>
      </w:tr>
      <w:tr>
        <w:trPr>
          <w:trHeight w:val="197"/>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00075</w:t>
            </w:r>
          </w:p>
        </w:tc>
      </w:tr>
      <w:tr>
        <w:trPr>
          <w:trHeight w:val="263"/>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00076</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0077</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00078</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00079</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00080</w:t>
            </w:r>
          </w:p>
        </w:tc>
      </w:tr>
      <w:tr>
        <w:trPr>
          <w:trHeight w:val="328"/>
        </w:trPr>
        <w:tc>
          <w:tcPr>
            <w:tcW w:w="2000" w:type="dxa"/>
            <w:vAlign w:val="bottom"/>
          </w:tcPr>
          <w:p>
            <w:pPr>
              <w:jc w:val="center"/>
              <w:ind w:right="247"/>
              <w:spacing w:after="0"/>
              <w:rPr>
                <w:sz w:val="20"/>
                <w:szCs w:val="20"/>
                <w:color w:val="auto"/>
              </w:rPr>
            </w:pPr>
            <w:r>
              <w:rPr>
                <w:rFonts w:ascii="Arial" w:cs="Arial" w:eastAsia="Arial" w:hAnsi="Arial"/>
                <w:sz w:val="15"/>
                <w:szCs w:val="15"/>
                <w:color w:val="auto"/>
                <w:w w:val="97"/>
              </w:rPr>
              <w:t>Manufacturing Operations</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DS</w:t>
            </w:r>
          </w:p>
        </w:tc>
        <w:tc>
          <w:tcPr>
            <w:tcW w:w="780" w:type="dxa"/>
            <w:vAlign w:val="bottom"/>
          </w:tcPr>
          <w:p>
            <w:pPr>
              <w:jc w:val="center"/>
              <w:ind w:left="307"/>
              <w:spacing w:after="0"/>
              <w:rPr>
                <w:sz w:val="20"/>
                <w:szCs w:val="20"/>
                <w:color w:val="auto"/>
              </w:rPr>
            </w:pPr>
            <w:r>
              <w:rPr>
                <w:rFonts w:ascii="Arial" w:cs="Arial" w:eastAsia="Arial" w:hAnsi="Arial"/>
                <w:sz w:val="15"/>
                <w:szCs w:val="15"/>
                <w:color w:val="auto"/>
                <w:w w:val="95"/>
              </w:rPr>
              <w:t>00081</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Disinfecting autoclave for waste.</w:t>
      </w:r>
    </w:p>
    <w:p>
      <w:pPr>
        <w:spacing w:after="0" w:line="13" w:lineRule="exact"/>
        <w:rPr>
          <w:sz w:val="20"/>
          <w:szCs w:val="20"/>
          <w:color w:val="auto"/>
        </w:rPr>
      </w:pPr>
    </w:p>
    <w:p>
      <w:pPr>
        <w:ind w:left="80" w:right="280"/>
        <w:spacing w:after="0" w:line="235" w:lineRule="auto"/>
        <w:rPr>
          <w:sz w:val="20"/>
          <w:szCs w:val="20"/>
          <w:color w:val="auto"/>
        </w:rPr>
      </w:pPr>
      <w:r>
        <w:rPr>
          <w:rFonts w:ascii="Arial" w:cs="Arial" w:eastAsia="Arial" w:hAnsi="Arial"/>
          <w:sz w:val="15"/>
          <w:szCs w:val="15"/>
          <w:color w:val="auto"/>
        </w:rPr>
        <w:t>Media &amp; buffer prep in Grade Croom to accommodate open transfer of powders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Media and buffers will be mixed using USP purified water or better.</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Incubators available to heat shake flasks to 60C.</w:t>
      </w:r>
    </w:p>
    <w:p>
      <w:pPr>
        <w:spacing w:after="0" w:line="13" w:lineRule="exact"/>
        <w:rPr>
          <w:sz w:val="20"/>
          <w:szCs w:val="20"/>
          <w:color w:val="auto"/>
        </w:rPr>
      </w:pPr>
    </w:p>
    <w:p>
      <w:pPr>
        <w:ind w:left="80"/>
        <w:spacing w:after="0" w:line="228" w:lineRule="auto"/>
        <w:rPr>
          <w:sz w:val="20"/>
          <w:szCs w:val="20"/>
          <w:color w:val="auto"/>
        </w:rPr>
      </w:pPr>
      <w:r>
        <w:rPr>
          <w:rFonts w:ascii="Arial" w:cs="Arial" w:eastAsia="Arial" w:hAnsi="Arial"/>
          <w:sz w:val="15"/>
          <w:szCs w:val="15"/>
          <w:color w:val="auto"/>
        </w:rPr>
        <w:t>Agitation available for media sufficient to dissolve components and put into solution.</w:t>
      </w:r>
    </w:p>
    <w:p>
      <w:pPr>
        <w:ind w:left="80" w:right="60"/>
        <w:spacing w:after="0" w:line="235" w:lineRule="auto"/>
        <w:rPr>
          <w:sz w:val="20"/>
          <w:szCs w:val="20"/>
          <w:color w:val="auto"/>
        </w:rPr>
      </w:pPr>
      <w:r>
        <w:rPr>
          <w:rFonts w:ascii="Arial" w:cs="Arial" w:eastAsia="Arial" w:hAnsi="Arial"/>
          <w:sz w:val="15"/>
          <w:szCs w:val="15"/>
          <w:color w:val="auto"/>
        </w:rPr>
        <w:t>Provision is made to move 250L batches of media/buffer from preparation to processing suites.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Media and buffers will be sterile filtered.</w:t>
      </w:r>
    </w:p>
    <w:p>
      <w:pPr>
        <w:spacing w:after="0" w:line="13" w:lineRule="exact"/>
        <w:rPr>
          <w:sz w:val="20"/>
          <w:szCs w:val="20"/>
          <w:color w:val="auto"/>
        </w:rPr>
      </w:pPr>
    </w:p>
    <w:p>
      <w:pPr>
        <w:ind w:left="80" w:right="60"/>
        <w:spacing w:after="0" w:line="235" w:lineRule="auto"/>
        <w:rPr>
          <w:sz w:val="20"/>
          <w:szCs w:val="20"/>
          <w:color w:val="auto"/>
        </w:rPr>
      </w:pPr>
      <w:r>
        <w:rPr>
          <w:rFonts w:ascii="Arial" w:cs="Arial" w:eastAsia="Arial" w:hAnsi="Arial"/>
          <w:sz w:val="15"/>
          <w:szCs w:val="15"/>
          <w:color w:val="auto"/>
        </w:rPr>
        <w:t>Disposable bioreactors with aseptic connections will be used; .no CIP/SIP required.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Bioreactor exhaust filters must be protected to prevent condensation</w:t>
      </w:r>
    </w:p>
    <w:p>
      <w:pPr>
        <w:spacing w:after="0" w:line="13" w:lineRule="exact"/>
        <w:rPr>
          <w:sz w:val="20"/>
          <w:szCs w:val="20"/>
          <w:color w:val="auto"/>
        </w:rPr>
      </w:pPr>
    </w:p>
    <w:p>
      <w:pPr>
        <w:ind w:left="80" w:right="280"/>
        <w:spacing w:after="0" w:line="228" w:lineRule="auto"/>
        <w:rPr>
          <w:sz w:val="20"/>
          <w:szCs w:val="20"/>
          <w:color w:val="auto"/>
        </w:rPr>
      </w:pPr>
      <w:r>
        <w:rPr>
          <w:rFonts w:ascii="Arial" w:cs="Arial" w:eastAsia="Arial" w:hAnsi="Arial"/>
          <w:sz w:val="15"/>
          <w:szCs w:val="15"/>
          <w:color w:val="auto"/>
        </w:rPr>
        <w:t>Sampling of bioreactors, media, and buffer tanks to be in Grade C and conducted aseptically.</w:t>
      </w:r>
    </w:p>
    <w:p>
      <w:pPr>
        <w:ind w:left="80" w:right="560"/>
        <w:spacing w:after="0" w:line="228" w:lineRule="auto"/>
        <w:rPr>
          <w:sz w:val="20"/>
          <w:szCs w:val="20"/>
          <w:color w:val="auto"/>
        </w:rPr>
      </w:pPr>
      <w:r>
        <w:rPr>
          <w:rFonts w:ascii="Arial" w:cs="Arial" w:eastAsia="Arial" w:hAnsi="Arial"/>
          <w:sz w:val="15"/>
          <w:szCs w:val="15"/>
          <w:color w:val="auto"/>
        </w:rPr>
        <w:t>Bioreactors will have self-contained DeltaV controllers. These ,will interface with the EMS for monitoring only.</w:t>
      </w:r>
    </w:p>
    <w:p>
      <w:pPr>
        <w:ind w:left="80" w:right="40"/>
        <w:spacing w:after="0" w:line="228" w:lineRule="auto"/>
        <w:rPr>
          <w:sz w:val="20"/>
          <w:szCs w:val="20"/>
          <w:color w:val="auto"/>
        </w:rPr>
      </w:pPr>
      <w:r>
        <w:rPr>
          <w:rFonts w:ascii="Arial" w:cs="Arial" w:eastAsia="Arial" w:hAnsi="Arial"/>
          <w:sz w:val="15"/>
          <w:szCs w:val="15"/>
          <w:color w:val="auto"/>
        </w:rPr>
        <w:t>Bioreactor controllers continuously monitor temperature, pH, and agitation speed. Provision is made for Part 11 compliant archival data storage, preferably on the EMS.</w:t>
      </w:r>
    </w:p>
    <w:p>
      <w:pPr>
        <w:spacing w:after="0" w:line="1" w:lineRule="exact"/>
        <w:rPr>
          <w:sz w:val="20"/>
          <w:szCs w:val="20"/>
          <w:color w:val="auto"/>
        </w:rPr>
      </w:pPr>
    </w:p>
    <w:p>
      <w:pPr>
        <w:ind w:left="80" w:right="120"/>
        <w:spacing w:after="0" w:line="228" w:lineRule="auto"/>
        <w:rPr>
          <w:sz w:val="20"/>
          <w:szCs w:val="20"/>
          <w:color w:val="auto"/>
        </w:rPr>
      </w:pPr>
      <w:r>
        <w:rPr>
          <w:rFonts w:ascii="Arial" w:cs="Arial" w:eastAsia="Arial" w:hAnsi="Arial"/>
          <w:sz w:val="15"/>
          <w:szCs w:val="15"/>
          <w:color w:val="auto"/>
        </w:rPr>
        <w:t>Bioreactor pH probes will be cleaned, autoclaved, and calibration verified prior to use .</w:t>
      </w:r>
    </w:p>
    <w:p>
      <w:pPr>
        <w:ind w:left="80" w:right="100"/>
        <w:spacing w:after="0" w:line="233" w:lineRule="auto"/>
        <w:rPr>
          <w:sz w:val="20"/>
          <w:szCs w:val="20"/>
          <w:color w:val="auto"/>
        </w:rPr>
      </w:pPr>
      <w:r>
        <w:rPr>
          <w:rFonts w:ascii="Arial" w:cs="Arial" w:eastAsia="Arial" w:hAnsi="Arial"/>
          <w:sz w:val="15"/>
          <w:szCs w:val="15"/>
          <w:color w:val="auto"/>
        </w:rPr>
        <w:t>Bioreactors will be maintained at slight positive pressure (~0.5 psi) during culture using compressed nitrogen. Pressure is not monitored or controlled by the bioreactor.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MCB/pre-MCB will be transferred from thawing to incubator manually.</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Shaking incubators will be provided for each DS manufacturing suite.</w:t>
      </w:r>
    </w:p>
    <w:p>
      <w:pPr>
        <w:spacing w:after="0" w:line="13" w:lineRule="exact"/>
        <w:rPr>
          <w:sz w:val="20"/>
          <w:szCs w:val="20"/>
          <w:color w:val="auto"/>
        </w:rPr>
      </w:pPr>
    </w:p>
    <w:p>
      <w:pPr>
        <w:ind w:left="80" w:right="360"/>
        <w:spacing w:after="0" w:line="228" w:lineRule="auto"/>
        <w:rPr>
          <w:sz w:val="20"/>
          <w:szCs w:val="20"/>
          <w:color w:val="auto"/>
        </w:rPr>
      </w:pPr>
      <w:r>
        <w:rPr>
          <w:rFonts w:ascii="Arial" w:cs="Arial" w:eastAsia="Arial" w:hAnsi="Arial"/>
          <w:sz w:val="15"/>
          <w:szCs w:val="15"/>
          <w:color w:val="auto"/>
        </w:rPr>
        <w:t>Shaking incubator temperature and agitation rate will be alarmed and monitored on EMS.</w:t>
      </w:r>
    </w:p>
    <w:p>
      <w:pPr>
        <w:ind w:left="80" w:right="100"/>
        <w:spacing w:after="0" w:line="228" w:lineRule="auto"/>
        <w:rPr>
          <w:sz w:val="20"/>
          <w:szCs w:val="20"/>
          <w:color w:val="auto"/>
        </w:rPr>
      </w:pPr>
      <w:r>
        <w:rPr>
          <w:rFonts w:ascii="Arial" w:cs="Arial" w:eastAsia="Arial" w:hAnsi="Arial"/>
          <w:sz w:val="15"/>
          <w:szCs w:val="15"/>
          <w:color w:val="auto"/>
        </w:rPr>
        <w:t>Provision will be made to supply bottled compressed air and compressed nitrogen to incubators.</w:t>
      </w:r>
    </w:p>
    <w:p>
      <w:pPr>
        <w:ind w:left="80" w:right="160"/>
        <w:spacing w:after="0" w:line="228" w:lineRule="auto"/>
        <w:rPr>
          <w:sz w:val="20"/>
          <w:szCs w:val="20"/>
          <w:color w:val="auto"/>
        </w:rPr>
      </w:pPr>
      <w:r>
        <w:rPr>
          <w:rFonts w:ascii="Arial" w:cs="Arial" w:eastAsia="Arial" w:hAnsi="Arial"/>
          <w:sz w:val="15"/>
          <w:szCs w:val="15"/>
          <w:color w:val="auto"/>
        </w:rPr>
        <w:t>Nitrogen supplied to incubators and bioreactors will be as low oxygen as possible and of a quality suitable for product contact.</w:t>
      </w:r>
    </w:p>
    <w:p>
      <w:pPr>
        <w:ind w:left="80" w:right="80"/>
        <w:spacing w:after="0" w:line="228" w:lineRule="auto"/>
        <w:rPr>
          <w:sz w:val="20"/>
          <w:szCs w:val="20"/>
          <w:color w:val="auto"/>
        </w:rPr>
      </w:pPr>
      <w:r>
        <w:rPr>
          <w:rFonts w:ascii="Arial" w:cs="Arial" w:eastAsia="Arial" w:hAnsi="Arial"/>
          <w:sz w:val="15"/>
          <w:szCs w:val="15"/>
          <w:color w:val="auto"/>
        </w:rPr>
        <w:t>Compressed air supplied to incubators and bioreactors will be of a quality suitable for product contact.</w:t>
      </w:r>
    </w:p>
    <w:p>
      <w:pPr>
        <w:ind w:left="80" w:right="360"/>
        <w:spacing w:after="0" w:line="228" w:lineRule="auto"/>
        <w:rPr>
          <w:sz w:val="20"/>
          <w:szCs w:val="20"/>
          <w:color w:val="auto"/>
        </w:rPr>
      </w:pPr>
      <w:r>
        <w:rPr>
          <w:rFonts w:ascii="Arial" w:cs="Arial" w:eastAsia="Arial" w:hAnsi="Arial"/>
          <w:sz w:val="15"/>
          <w:szCs w:val="15"/>
          <w:color w:val="auto"/>
        </w:rPr>
        <w:t>Nitrogen will have the capacity to sparge reactors at 0.1 to 0.5 vessel volumes per minute.</w:t>
      </w:r>
    </w:p>
    <w:p>
      <w:pPr>
        <w:ind w:left="80" w:right="140"/>
        <w:spacing w:after="0" w:line="236" w:lineRule="auto"/>
        <w:rPr>
          <w:sz w:val="20"/>
          <w:szCs w:val="20"/>
          <w:color w:val="auto"/>
        </w:rPr>
      </w:pPr>
      <w:r>
        <w:rPr>
          <w:rFonts w:ascii="Arial" w:cs="Arial" w:eastAsia="Arial" w:hAnsi="Arial"/>
          <w:sz w:val="15"/>
          <w:szCs w:val="15"/>
          <w:color w:val="auto"/>
        </w:rPr>
        <w:t>Compressed air will have the capacity to sparge bioreactor at 0.04 to 0.2 vessel volumes per minute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Category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DR</w:t>
      </w:r>
    </w:p>
    <w:p>
      <w:pPr>
        <w:spacing w:after="0" w:line="290" w:lineRule="exact"/>
        <w:rPr>
          <w:sz w:val="20"/>
          <w:szCs w:val="20"/>
          <w:color w:val="auto"/>
        </w:rPr>
      </w:pPr>
    </w:p>
    <w:p>
      <w:pPr>
        <w:sectPr>
          <w:pgSz w:w="11900" w:h="16838" w:orient="portrait"/>
          <w:cols w:equalWidth="0" w:num="3">
            <w:col w:w="4840" w:space="320"/>
            <w:col w:w="4900" w:space="380"/>
            <w:col w:w="640"/>
          </w:cols>
          <w:pgMar w:left="220" w:top="114" w:right="599" w:bottom="1440" w:gutter="0" w:footer="0" w:header="0"/>
          <w:type w:val="continuous"/>
        </w:sectPr>
      </w:pPr>
    </w:p>
    <w:p>
      <w:pPr>
        <w:spacing w:after="0" w:line="336" w:lineRule="exact"/>
        <w:rPr>
          <w:sz w:val="20"/>
          <w:szCs w:val="20"/>
          <w:color w:val="auto"/>
        </w:rPr>
      </w:pPr>
    </w:p>
    <w:p>
      <w:pPr>
        <w:spacing w:after="0"/>
        <w:tabs>
          <w:tab w:leader="none" w:pos="5340" w:val="left"/>
        </w:tabs>
        <w:rPr>
          <w:sz w:val="20"/>
          <w:szCs w:val="20"/>
          <w:color w:val="auto"/>
        </w:rPr>
      </w:pPr>
      <w:r>
        <w:rPr>
          <w:rFonts w:ascii="Arial" w:cs="Arial" w:eastAsia="Arial" w:hAnsi="Arial"/>
          <w:sz w:val="15"/>
          <w:szCs w:val="15"/>
          <w:color w:val="auto"/>
        </w:rPr>
        <w:t>Revision 1</w:t>
      </w:r>
      <w:r>
        <w:rPr>
          <w:sz w:val="20"/>
          <w:szCs w:val="20"/>
          <w:color w:val="auto"/>
        </w:rPr>
        <w:tab/>
      </w:r>
      <w:r>
        <w:rPr>
          <w:rFonts w:ascii="Arial" w:cs="Arial" w:eastAsia="Arial" w:hAnsi="Arial"/>
          <w:sz w:val="14"/>
          <w:szCs w:val="14"/>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31202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80"/>
          </w:cols>
          <w:pgMar w:left="220" w:top="114" w:right="599" w:bottom="1440" w:gutter="0" w:footer="0" w:header="0"/>
          <w:type w:val="continuous"/>
        </w:sectPr>
      </w:pPr>
    </w:p>
    <w:bookmarkStart w:id="263" w:name="page264"/>
    <w:bookmarkEnd w:id="263"/>
    <w:p>
      <w:pPr>
        <w:jc w:val="center"/>
        <w:ind w:right="-479"/>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479"/>
        <w:spacing w:after="0"/>
        <w:rPr>
          <w:sz w:val="20"/>
          <w:szCs w:val="20"/>
          <w:color w:val="auto"/>
        </w:rPr>
      </w:pPr>
      <w:r>
        <w:rPr>
          <w:rFonts w:ascii="Arial" w:cs="Arial" w:eastAsia="Arial" w:hAnsi="Arial"/>
          <w:sz w:val="18"/>
          <w:szCs w:val="18"/>
          <w:b w:val="1"/>
          <w:bCs w:val="1"/>
          <w:color w:val="050405"/>
        </w:rPr>
        <w:t>200 Sidney Street</w:t>
      </w:r>
    </w:p>
    <w:p>
      <w:pPr>
        <w:jc w:val="center"/>
        <w:ind w:right="-479"/>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479"/>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ectPr>
          <w:pgSz w:w="11900" w:h="16838" w:orient="portrait"/>
          <w:cols w:equalWidth="0" w:num="1">
            <w:col w:w="10980"/>
          </w:cols>
          <w:pgMar w:left="220" w:top="114" w:right="699" w:bottom="1440" w:gutter="0" w:footer="0" w:header="0"/>
        </w:sectPr>
      </w:pPr>
    </w:p>
    <w:p>
      <w:pPr>
        <w:spacing w:after="0" w:line="196"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Area</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Manufacturing Operations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Manufacturing Operations</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Manufacturing Operations</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Manufacturing Operations</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Manufacturing Operations</w:t>
      </w:r>
    </w:p>
    <w:p>
      <w:pPr>
        <w:spacing w:after="0" w:line="167" w:lineRule="exact"/>
        <w:rPr>
          <w:sz w:val="20"/>
          <w:szCs w:val="20"/>
          <w:color w:val="auto"/>
        </w:rPr>
      </w:pPr>
    </w:p>
    <w:p>
      <w:pPr>
        <w:ind w:left="80" w:right="220"/>
        <w:spacing w:after="0" w:line="413" w:lineRule="auto"/>
        <w:rPr>
          <w:sz w:val="20"/>
          <w:szCs w:val="20"/>
          <w:color w:val="auto"/>
        </w:rPr>
      </w:pPr>
      <w:r>
        <w:rPr>
          <w:rFonts w:ascii="Arial" w:cs="Arial" w:eastAsia="Arial" w:hAnsi="Arial"/>
          <w:sz w:val="14"/>
          <w:szCs w:val="14"/>
          <w:color w:val="auto"/>
        </w:rPr>
        <w:t>Manufacturing Operations Manufacturing Operations</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Manufacturing Operations</w:t>
      </w:r>
    </w:p>
    <w:p>
      <w:pPr>
        <w:spacing w:after="0" w:line="399"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Quality &amp;</w:t>
      </w:r>
    </w:p>
    <w:p>
      <w:pPr>
        <w:jc w:val="center"/>
        <w:ind w:right="140"/>
        <w:spacing w:after="0" w:line="228" w:lineRule="auto"/>
        <w:rPr>
          <w:sz w:val="20"/>
          <w:szCs w:val="20"/>
          <w:color w:val="auto"/>
        </w:rPr>
      </w:pPr>
      <w:r>
        <w:rPr>
          <w:rFonts w:ascii="Arial" w:cs="Arial" w:eastAsia="Arial" w:hAnsi="Arial"/>
          <w:sz w:val="15"/>
          <w:szCs w:val="15"/>
          <w:color w:val="auto"/>
        </w:rPr>
        <w:t>Regulatory</w:t>
      </w:r>
    </w:p>
    <w:p>
      <w:pPr>
        <w:jc w:val="center"/>
        <w:ind w:right="140"/>
        <w:spacing w:after="0"/>
        <w:rPr>
          <w:sz w:val="20"/>
          <w:szCs w:val="20"/>
          <w:color w:val="auto"/>
        </w:rPr>
      </w:pPr>
      <w:r>
        <w:rPr>
          <w:rFonts w:ascii="Arial" w:cs="Arial" w:eastAsia="Arial" w:hAnsi="Arial"/>
          <w:sz w:val="15"/>
          <w:szCs w:val="15"/>
          <w:color w:val="auto"/>
        </w:rPr>
        <w:t>Compliance</w:t>
      </w:r>
    </w:p>
    <w:p>
      <w:pPr>
        <w:spacing w:after="0" w:line="147"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Quality &amp;</w:t>
      </w:r>
    </w:p>
    <w:p>
      <w:pPr>
        <w:jc w:val="center"/>
        <w:ind w:right="140"/>
        <w:spacing w:after="0" w:line="228" w:lineRule="auto"/>
        <w:rPr>
          <w:sz w:val="20"/>
          <w:szCs w:val="20"/>
          <w:color w:val="auto"/>
        </w:rPr>
      </w:pPr>
      <w:r>
        <w:rPr>
          <w:rFonts w:ascii="Arial" w:cs="Arial" w:eastAsia="Arial" w:hAnsi="Arial"/>
          <w:sz w:val="15"/>
          <w:szCs w:val="15"/>
          <w:color w:val="auto"/>
        </w:rPr>
        <w:t>Regulatory</w:t>
      </w:r>
    </w:p>
    <w:p>
      <w:pPr>
        <w:jc w:val="center"/>
        <w:ind w:right="140"/>
        <w:spacing w:after="0"/>
        <w:rPr>
          <w:sz w:val="20"/>
          <w:szCs w:val="20"/>
          <w:color w:val="auto"/>
        </w:rPr>
      </w:pPr>
      <w:r>
        <w:rPr>
          <w:rFonts w:ascii="Arial" w:cs="Arial" w:eastAsia="Arial" w:hAnsi="Arial"/>
          <w:sz w:val="15"/>
          <w:szCs w:val="15"/>
          <w:color w:val="auto"/>
        </w:rPr>
        <w:t>Compliance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Quality &amp;</w:t>
      </w:r>
    </w:p>
    <w:p>
      <w:pPr>
        <w:jc w:val="center"/>
        <w:ind w:right="140"/>
        <w:spacing w:after="0" w:line="228" w:lineRule="auto"/>
        <w:rPr>
          <w:sz w:val="20"/>
          <w:szCs w:val="20"/>
          <w:color w:val="auto"/>
        </w:rPr>
      </w:pPr>
      <w:r>
        <w:rPr>
          <w:rFonts w:ascii="Arial" w:cs="Arial" w:eastAsia="Arial" w:hAnsi="Arial"/>
          <w:sz w:val="15"/>
          <w:szCs w:val="15"/>
          <w:color w:val="auto"/>
        </w:rPr>
        <w:t>Regulatory</w:t>
      </w:r>
    </w:p>
    <w:p>
      <w:pPr>
        <w:jc w:val="center"/>
        <w:ind w:right="140"/>
        <w:spacing w:after="0" w:line="228" w:lineRule="auto"/>
        <w:rPr>
          <w:sz w:val="20"/>
          <w:szCs w:val="20"/>
          <w:color w:val="auto"/>
        </w:rPr>
      </w:pPr>
      <w:r>
        <w:rPr>
          <w:rFonts w:ascii="Arial" w:cs="Arial" w:eastAsia="Arial" w:hAnsi="Arial"/>
          <w:sz w:val="15"/>
          <w:szCs w:val="15"/>
          <w:color w:val="auto"/>
        </w:rPr>
        <w:t>Compliance</w:t>
      </w:r>
    </w:p>
    <w:p>
      <w:pPr>
        <w:jc w:val="center"/>
        <w:ind w:right="140"/>
        <w:spacing w:after="0" w:line="228" w:lineRule="auto"/>
        <w:rPr>
          <w:sz w:val="20"/>
          <w:szCs w:val="20"/>
          <w:color w:val="auto"/>
        </w:rPr>
      </w:pPr>
      <w:r>
        <w:rPr>
          <w:rFonts w:ascii="Arial" w:cs="Arial" w:eastAsia="Arial" w:hAnsi="Arial"/>
          <w:sz w:val="15"/>
          <w:szCs w:val="15"/>
          <w:color w:val="auto"/>
        </w:rPr>
        <w:t>Quality &amp;</w:t>
      </w:r>
    </w:p>
    <w:p>
      <w:pPr>
        <w:jc w:val="center"/>
        <w:ind w:right="140"/>
        <w:spacing w:after="0" w:line="229" w:lineRule="auto"/>
        <w:rPr>
          <w:sz w:val="20"/>
          <w:szCs w:val="20"/>
          <w:color w:val="auto"/>
        </w:rPr>
      </w:pPr>
      <w:r>
        <w:rPr>
          <w:rFonts w:ascii="Arial" w:cs="Arial" w:eastAsia="Arial" w:hAnsi="Arial"/>
          <w:sz w:val="15"/>
          <w:szCs w:val="15"/>
          <w:color w:val="auto"/>
        </w:rPr>
        <w:t>Regulatory</w:t>
      </w:r>
    </w:p>
    <w:p>
      <w:pPr>
        <w:jc w:val="center"/>
        <w:ind w:right="140"/>
        <w:spacing w:after="0" w:line="228" w:lineRule="auto"/>
        <w:rPr>
          <w:sz w:val="20"/>
          <w:szCs w:val="20"/>
          <w:color w:val="auto"/>
        </w:rPr>
      </w:pPr>
      <w:r>
        <w:rPr>
          <w:rFonts w:ascii="Arial" w:cs="Arial" w:eastAsia="Arial" w:hAnsi="Arial"/>
          <w:sz w:val="15"/>
          <w:szCs w:val="15"/>
          <w:color w:val="auto"/>
        </w:rPr>
        <w:t>Compliance</w:t>
      </w:r>
    </w:p>
    <w:p>
      <w:pPr>
        <w:jc w:val="center"/>
        <w:ind w:right="140"/>
        <w:spacing w:after="0" w:line="228" w:lineRule="auto"/>
        <w:rPr>
          <w:sz w:val="20"/>
          <w:szCs w:val="20"/>
          <w:color w:val="auto"/>
        </w:rPr>
      </w:pPr>
      <w:r>
        <w:rPr>
          <w:rFonts w:ascii="Arial" w:cs="Arial" w:eastAsia="Arial" w:hAnsi="Arial"/>
          <w:sz w:val="15"/>
          <w:szCs w:val="15"/>
          <w:color w:val="auto"/>
        </w:rPr>
        <w:t>Quality &amp;</w:t>
      </w:r>
    </w:p>
    <w:p>
      <w:pPr>
        <w:jc w:val="center"/>
        <w:ind w:right="140"/>
        <w:spacing w:after="0" w:line="229" w:lineRule="auto"/>
        <w:rPr>
          <w:sz w:val="20"/>
          <w:szCs w:val="20"/>
          <w:color w:val="auto"/>
        </w:rPr>
      </w:pPr>
      <w:r>
        <w:rPr>
          <w:rFonts w:ascii="Arial" w:cs="Arial" w:eastAsia="Arial" w:hAnsi="Arial"/>
          <w:sz w:val="15"/>
          <w:szCs w:val="15"/>
          <w:color w:val="auto"/>
        </w:rPr>
        <w:t>Regulatory</w:t>
      </w:r>
    </w:p>
    <w:p>
      <w:pPr>
        <w:jc w:val="center"/>
        <w:ind w:right="140"/>
        <w:spacing w:after="0" w:line="228" w:lineRule="auto"/>
        <w:rPr>
          <w:sz w:val="20"/>
          <w:szCs w:val="20"/>
          <w:color w:val="auto"/>
        </w:rPr>
      </w:pPr>
      <w:r>
        <w:rPr>
          <w:rFonts w:ascii="Arial" w:cs="Arial" w:eastAsia="Arial" w:hAnsi="Arial"/>
          <w:sz w:val="15"/>
          <w:szCs w:val="15"/>
          <w:color w:val="auto"/>
        </w:rPr>
        <w:t>Compliance</w:t>
      </w:r>
    </w:p>
    <w:p>
      <w:pPr>
        <w:jc w:val="center"/>
        <w:ind w:right="140"/>
        <w:spacing w:after="0" w:line="228" w:lineRule="auto"/>
        <w:rPr>
          <w:sz w:val="20"/>
          <w:szCs w:val="20"/>
          <w:color w:val="auto"/>
        </w:rPr>
      </w:pPr>
      <w:r>
        <w:rPr>
          <w:rFonts w:ascii="Arial" w:cs="Arial" w:eastAsia="Arial" w:hAnsi="Arial"/>
          <w:sz w:val="15"/>
          <w:szCs w:val="15"/>
          <w:color w:val="auto"/>
        </w:rPr>
        <w:t>Quality &amp;</w:t>
      </w:r>
    </w:p>
    <w:p>
      <w:pPr>
        <w:jc w:val="center"/>
        <w:ind w:right="140"/>
        <w:spacing w:after="0" w:line="229" w:lineRule="auto"/>
        <w:rPr>
          <w:sz w:val="20"/>
          <w:szCs w:val="20"/>
          <w:color w:val="auto"/>
        </w:rPr>
      </w:pPr>
      <w:r>
        <w:rPr>
          <w:rFonts w:ascii="Arial" w:cs="Arial" w:eastAsia="Arial" w:hAnsi="Arial"/>
          <w:sz w:val="15"/>
          <w:szCs w:val="15"/>
          <w:color w:val="auto"/>
        </w:rPr>
        <w:t>Regulatory</w:t>
      </w:r>
    </w:p>
    <w:p>
      <w:pPr>
        <w:jc w:val="center"/>
        <w:ind w:right="140"/>
        <w:spacing w:after="0" w:line="228" w:lineRule="auto"/>
        <w:rPr>
          <w:sz w:val="20"/>
          <w:szCs w:val="20"/>
          <w:color w:val="auto"/>
        </w:rPr>
      </w:pPr>
      <w:r>
        <w:rPr>
          <w:rFonts w:ascii="Arial" w:cs="Arial" w:eastAsia="Arial" w:hAnsi="Arial"/>
          <w:sz w:val="15"/>
          <w:szCs w:val="15"/>
          <w:color w:val="auto"/>
        </w:rPr>
        <w:t>Compliance</w:t>
      </w:r>
    </w:p>
    <w:p>
      <w:pPr>
        <w:jc w:val="center"/>
        <w:ind w:right="140"/>
        <w:spacing w:after="0" w:line="228" w:lineRule="auto"/>
        <w:rPr>
          <w:sz w:val="20"/>
          <w:szCs w:val="20"/>
          <w:color w:val="auto"/>
        </w:rPr>
      </w:pPr>
      <w:r>
        <w:rPr>
          <w:rFonts w:ascii="Arial" w:cs="Arial" w:eastAsia="Arial" w:hAnsi="Arial"/>
          <w:sz w:val="15"/>
          <w:szCs w:val="15"/>
          <w:color w:val="auto"/>
        </w:rPr>
        <w:t>Quality &amp;</w:t>
      </w:r>
    </w:p>
    <w:p>
      <w:pPr>
        <w:jc w:val="center"/>
        <w:ind w:right="140"/>
        <w:spacing w:after="0" w:line="229" w:lineRule="auto"/>
        <w:rPr>
          <w:sz w:val="20"/>
          <w:szCs w:val="20"/>
          <w:color w:val="auto"/>
        </w:rPr>
      </w:pPr>
      <w:r>
        <w:rPr>
          <w:rFonts w:ascii="Arial" w:cs="Arial" w:eastAsia="Arial" w:hAnsi="Arial"/>
          <w:sz w:val="15"/>
          <w:szCs w:val="15"/>
          <w:color w:val="auto"/>
        </w:rPr>
        <w:t>Regulatory</w:t>
      </w:r>
    </w:p>
    <w:p>
      <w:pPr>
        <w:jc w:val="center"/>
        <w:ind w:right="140"/>
        <w:spacing w:after="0"/>
        <w:rPr>
          <w:sz w:val="20"/>
          <w:szCs w:val="20"/>
          <w:color w:val="auto"/>
        </w:rPr>
      </w:pPr>
      <w:r>
        <w:rPr>
          <w:rFonts w:ascii="Arial" w:cs="Arial" w:eastAsia="Arial" w:hAnsi="Arial"/>
          <w:sz w:val="15"/>
          <w:szCs w:val="15"/>
          <w:color w:val="auto"/>
        </w:rPr>
        <w:t>Compliance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20"/>
                <w:szCs w:val="20"/>
                <w:color w:val="auto"/>
              </w:rPr>
            </w:pPr>
            <w:r>
              <w:rPr>
                <w:rFonts w:ascii="Arial" w:cs="Arial" w:eastAsia="Arial" w:hAnsi="Arial"/>
                <w:sz w:val="15"/>
                <w:szCs w:val="15"/>
                <w:b w:val="1"/>
                <w:bCs w:val="1"/>
                <w:color w:val="auto"/>
              </w:rPr>
              <w:t>Section</w:t>
            </w:r>
          </w:p>
        </w:tc>
        <w:tc>
          <w:tcPr>
            <w:tcW w:w="1000" w:type="dxa"/>
            <w:vAlign w:val="bottom"/>
          </w:tcPr>
          <w:p>
            <w:pPr>
              <w:jc w:val="right"/>
              <w:ind w:right="27"/>
              <w:spacing w:after="0"/>
              <w:rPr>
                <w:sz w:val="20"/>
                <w:szCs w:val="20"/>
                <w:color w:val="auto"/>
              </w:rPr>
            </w:pPr>
            <w:r>
              <w:rPr>
                <w:rFonts w:ascii="Arial" w:cs="Arial" w:eastAsia="Arial" w:hAnsi="Arial"/>
                <w:sz w:val="15"/>
                <w:szCs w:val="15"/>
                <w:b w:val="1"/>
                <w:bCs w:val="1"/>
                <w:color w:val="auto"/>
              </w:rPr>
              <w:t xml:space="preserve">UR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DS</w:t>
            </w:r>
          </w:p>
        </w:tc>
        <w:tc>
          <w:tcPr>
            <w:tcW w:w="1000" w:type="dxa"/>
            <w:vAlign w:val="bottom"/>
          </w:tcPr>
          <w:p>
            <w:pPr>
              <w:jc w:val="right"/>
              <w:spacing w:after="0"/>
              <w:rPr>
                <w:sz w:val="20"/>
                <w:szCs w:val="20"/>
                <w:color w:val="auto"/>
              </w:rPr>
            </w:pPr>
            <w:r>
              <w:rPr>
                <w:rFonts w:ascii="Arial" w:cs="Arial" w:eastAsia="Arial" w:hAnsi="Arial"/>
                <w:sz w:val="15"/>
                <w:szCs w:val="15"/>
                <w:color w:val="auto"/>
              </w:rPr>
              <w:t>00082</w:t>
            </w:r>
          </w:p>
        </w:tc>
        <w:tc>
          <w:tcPr>
            <w:tcW w:w="0" w:type="dxa"/>
            <w:vAlign w:val="bottom"/>
          </w:tcPr>
          <w:p>
            <w:pPr>
              <w:spacing w:after="0"/>
              <w:rPr>
                <w:sz w:val="1"/>
                <w:szCs w:val="1"/>
                <w:color w:val="auto"/>
              </w:rPr>
            </w:pPr>
          </w:p>
        </w:tc>
      </w:tr>
      <w:tr>
        <w:trPr>
          <w:trHeight w:val="197"/>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DS</w:t>
            </w:r>
          </w:p>
        </w:tc>
        <w:tc>
          <w:tcPr>
            <w:tcW w:w="1000" w:type="dxa"/>
            <w:vAlign w:val="bottom"/>
          </w:tcPr>
          <w:p>
            <w:pPr>
              <w:jc w:val="right"/>
              <w:spacing w:after="0"/>
              <w:rPr>
                <w:sz w:val="20"/>
                <w:szCs w:val="20"/>
                <w:color w:val="auto"/>
              </w:rPr>
            </w:pPr>
            <w:r>
              <w:rPr>
                <w:rFonts w:ascii="Arial" w:cs="Arial" w:eastAsia="Arial" w:hAnsi="Arial"/>
                <w:sz w:val="15"/>
                <w:szCs w:val="15"/>
                <w:color w:val="auto"/>
              </w:rPr>
              <w:t>00083</w:t>
            </w:r>
          </w:p>
        </w:tc>
        <w:tc>
          <w:tcPr>
            <w:tcW w:w="0" w:type="dxa"/>
            <w:vAlign w:val="bottom"/>
          </w:tcPr>
          <w:p>
            <w:pPr>
              <w:spacing w:after="0"/>
              <w:rPr>
                <w:sz w:val="1"/>
                <w:szCs w:val="1"/>
                <w:color w:val="auto"/>
              </w:rPr>
            </w:pPr>
          </w:p>
        </w:tc>
      </w:tr>
      <w:tr>
        <w:trPr>
          <w:trHeight w:val="263"/>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DS</w:t>
            </w:r>
          </w:p>
        </w:tc>
        <w:tc>
          <w:tcPr>
            <w:tcW w:w="1000" w:type="dxa"/>
            <w:vAlign w:val="bottom"/>
          </w:tcPr>
          <w:p>
            <w:pPr>
              <w:jc w:val="right"/>
              <w:spacing w:after="0"/>
              <w:rPr>
                <w:sz w:val="20"/>
                <w:szCs w:val="20"/>
                <w:color w:val="auto"/>
              </w:rPr>
            </w:pPr>
            <w:r>
              <w:rPr>
                <w:rFonts w:ascii="Arial" w:cs="Arial" w:eastAsia="Arial" w:hAnsi="Arial"/>
                <w:sz w:val="15"/>
                <w:szCs w:val="15"/>
                <w:color w:val="auto"/>
              </w:rPr>
              <w:t>00084</w:t>
            </w:r>
          </w:p>
        </w:tc>
        <w:tc>
          <w:tcPr>
            <w:tcW w:w="0" w:type="dxa"/>
            <w:vAlign w:val="bottom"/>
          </w:tcPr>
          <w:p>
            <w:pPr>
              <w:spacing w:after="0"/>
              <w:rPr>
                <w:sz w:val="1"/>
                <w:szCs w:val="1"/>
                <w:color w:val="auto"/>
              </w:rPr>
            </w:pPr>
          </w:p>
        </w:tc>
      </w:tr>
      <w:tr>
        <w:trPr>
          <w:trHeight w:val="328"/>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DP</w:t>
            </w:r>
          </w:p>
        </w:tc>
        <w:tc>
          <w:tcPr>
            <w:tcW w:w="1000" w:type="dxa"/>
            <w:vAlign w:val="bottom"/>
          </w:tcPr>
          <w:p>
            <w:pPr>
              <w:jc w:val="right"/>
              <w:spacing w:after="0"/>
              <w:rPr>
                <w:sz w:val="20"/>
                <w:szCs w:val="20"/>
                <w:color w:val="auto"/>
              </w:rPr>
            </w:pPr>
            <w:r>
              <w:rPr>
                <w:rFonts w:ascii="Arial" w:cs="Arial" w:eastAsia="Arial" w:hAnsi="Arial"/>
                <w:sz w:val="15"/>
                <w:szCs w:val="15"/>
                <w:color w:val="auto"/>
              </w:rPr>
              <w:t>00085</w:t>
            </w:r>
          </w:p>
        </w:tc>
        <w:tc>
          <w:tcPr>
            <w:tcW w:w="0" w:type="dxa"/>
            <w:vAlign w:val="bottom"/>
          </w:tcPr>
          <w:p>
            <w:pPr>
              <w:spacing w:after="0"/>
              <w:rPr>
                <w:sz w:val="1"/>
                <w:szCs w:val="1"/>
                <w:color w:val="auto"/>
              </w:rPr>
            </w:pPr>
          </w:p>
        </w:tc>
      </w:tr>
      <w:tr>
        <w:trPr>
          <w:trHeight w:val="328"/>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DP</w:t>
            </w:r>
          </w:p>
        </w:tc>
        <w:tc>
          <w:tcPr>
            <w:tcW w:w="1000" w:type="dxa"/>
            <w:vAlign w:val="bottom"/>
          </w:tcPr>
          <w:p>
            <w:pPr>
              <w:jc w:val="right"/>
              <w:spacing w:after="0"/>
              <w:rPr>
                <w:sz w:val="20"/>
                <w:szCs w:val="20"/>
                <w:color w:val="auto"/>
              </w:rPr>
            </w:pPr>
            <w:r>
              <w:rPr>
                <w:rFonts w:ascii="Arial" w:cs="Arial" w:eastAsia="Arial" w:hAnsi="Arial"/>
                <w:sz w:val="15"/>
                <w:szCs w:val="15"/>
                <w:color w:val="auto"/>
              </w:rPr>
              <w:t>00086</w:t>
            </w:r>
          </w:p>
        </w:tc>
        <w:tc>
          <w:tcPr>
            <w:tcW w:w="0" w:type="dxa"/>
            <w:vAlign w:val="bottom"/>
          </w:tcPr>
          <w:p>
            <w:pPr>
              <w:spacing w:after="0"/>
              <w:rPr>
                <w:sz w:val="1"/>
                <w:szCs w:val="1"/>
                <w:color w:val="auto"/>
              </w:rPr>
            </w:pPr>
          </w:p>
        </w:tc>
      </w:tr>
      <w:tr>
        <w:trPr>
          <w:trHeight w:val="328"/>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DP</w:t>
            </w:r>
          </w:p>
        </w:tc>
        <w:tc>
          <w:tcPr>
            <w:tcW w:w="1000" w:type="dxa"/>
            <w:vAlign w:val="bottom"/>
          </w:tcPr>
          <w:p>
            <w:pPr>
              <w:jc w:val="right"/>
              <w:spacing w:after="0"/>
              <w:rPr>
                <w:sz w:val="20"/>
                <w:szCs w:val="20"/>
                <w:color w:val="auto"/>
              </w:rPr>
            </w:pPr>
            <w:r>
              <w:rPr>
                <w:rFonts w:ascii="Arial" w:cs="Arial" w:eastAsia="Arial" w:hAnsi="Arial"/>
                <w:sz w:val="15"/>
                <w:szCs w:val="15"/>
                <w:color w:val="auto"/>
              </w:rPr>
              <w:t>00087</w:t>
            </w:r>
          </w:p>
        </w:tc>
        <w:tc>
          <w:tcPr>
            <w:tcW w:w="0" w:type="dxa"/>
            <w:vAlign w:val="bottom"/>
          </w:tcPr>
          <w:p>
            <w:pPr>
              <w:spacing w:after="0"/>
              <w:rPr>
                <w:sz w:val="1"/>
                <w:szCs w:val="1"/>
                <w:color w:val="auto"/>
              </w:rPr>
            </w:pPr>
          </w:p>
        </w:tc>
      </w:tr>
      <w:tr>
        <w:trPr>
          <w:trHeight w:val="263"/>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DP</w:t>
            </w:r>
          </w:p>
        </w:tc>
        <w:tc>
          <w:tcPr>
            <w:tcW w:w="1000" w:type="dxa"/>
            <w:vAlign w:val="bottom"/>
          </w:tcPr>
          <w:p>
            <w:pPr>
              <w:jc w:val="right"/>
              <w:spacing w:after="0"/>
              <w:rPr>
                <w:sz w:val="20"/>
                <w:szCs w:val="20"/>
                <w:color w:val="auto"/>
              </w:rPr>
            </w:pPr>
            <w:r>
              <w:rPr>
                <w:rFonts w:ascii="Arial" w:cs="Arial" w:eastAsia="Arial" w:hAnsi="Arial"/>
                <w:sz w:val="15"/>
                <w:szCs w:val="15"/>
                <w:color w:val="auto"/>
              </w:rPr>
              <w:t>00088</w:t>
            </w:r>
          </w:p>
        </w:tc>
        <w:tc>
          <w:tcPr>
            <w:tcW w:w="0" w:type="dxa"/>
            <w:vAlign w:val="bottom"/>
          </w:tcPr>
          <w:p>
            <w:pPr>
              <w:spacing w:after="0"/>
              <w:rPr>
                <w:sz w:val="1"/>
                <w:szCs w:val="1"/>
                <w:color w:val="auto"/>
              </w:rPr>
            </w:pPr>
          </w:p>
        </w:tc>
      </w:tr>
      <w:tr>
        <w:trPr>
          <w:trHeight w:val="514"/>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5"/>
              </w:rPr>
              <w:t>MCB</w:t>
            </w:r>
          </w:p>
        </w:tc>
        <w:tc>
          <w:tcPr>
            <w:tcW w:w="1000" w:type="dxa"/>
            <w:vAlign w:val="bottom"/>
          </w:tcPr>
          <w:p>
            <w:pPr>
              <w:jc w:val="right"/>
              <w:spacing w:after="0"/>
              <w:rPr>
                <w:sz w:val="20"/>
                <w:szCs w:val="20"/>
                <w:color w:val="auto"/>
              </w:rPr>
            </w:pPr>
            <w:r>
              <w:rPr>
                <w:rFonts w:ascii="Arial" w:cs="Arial" w:eastAsia="Arial" w:hAnsi="Arial"/>
                <w:sz w:val="15"/>
                <w:szCs w:val="15"/>
                <w:color w:val="auto"/>
              </w:rPr>
              <w:t>00089</w:t>
            </w:r>
          </w:p>
        </w:tc>
        <w:tc>
          <w:tcPr>
            <w:tcW w:w="0" w:type="dxa"/>
            <w:vAlign w:val="bottom"/>
          </w:tcPr>
          <w:p>
            <w:pPr>
              <w:spacing w:after="0"/>
              <w:rPr>
                <w:sz w:val="1"/>
                <w:szCs w:val="1"/>
                <w:color w:val="auto"/>
              </w:rPr>
            </w:pPr>
          </w:p>
        </w:tc>
      </w:tr>
      <w:tr>
        <w:trPr>
          <w:trHeight w:val="644"/>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General</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00090</w:t>
            </w:r>
          </w:p>
        </w:tc>
        <w:tc>
          <w:tcPr>
            <w:tcW w:w="0" w:type="dxa"/>
            <w:vAlign w:val="bottom"/>
          </w:tcPr>
          <w:p>
            <w:pPr>
              <w:spacing w:after="0"/>
              <w:rPr>
                <w:sz w:val="1"/>
                <w:szCs w:val="1"/>
                <w:color w:val="auto"/>
              </w:rPr>
            </w:pPr>
          </w:p>
        </w:tc>
      </w:tr>
      <w:tr>
        <w:trPr>
          <w:trHeight w:val="88"/>
        </w:trPr>
        <w:tc>
          <w:tcPr>
            <w:tcW w:w="1160" w:type="dxa"/>
            <w:vAlign w:val="bottom"/>
            <w:vMerge w:val="restart"/>
          </w:tcPr>
          <w:p>
            <w:pPr>
              <w:jc w:val="center"/>
              <w:ind w:right="407"/>
              <w:spacing w:after="0"/>
              <w:rPr>
                <w:sz w:val="20"/>
                <w:szCs w:val="20"/>
                <w:color w:val="auto"/>
              </w:rPr>
            </w:pPr>
            <w:r>
              <w:rPr>
                <w:rFonts w:ascii="Arial" w:cs="Arial" w:eastAsia="Arial" w:hAnsi="Arial"/>
                <w:sz w:val="15"/>
                <w:szCs w:val="15"/>
                <w:color w:val="auto"/>
                <w:w w:val="94"/>
              </w:rPr>
              <w:t>Quality</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6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General</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00091</w:t>
            </w:r>
          </w:p>
        </w:tc>
        <w:tc>
          <w:tcPr>
            <w:tcW w:w="0" w:type="dxa"/>
            <w:vAlign w:val="bottom"/>
          </w:tcPr>
          <w:p>
            <w:pPr>
              <w:spacing w:after="0"/>
              <w:rPr>
                <w:sz w:val="1"/>
                <w:szCs w:val="1"/>
                <w:color w:val="auto"/>
              </w:rPr>
            </w:pPr>
          </w:p>
        </w:tc>
      </w:tr>
      <w:tr>
        <w:trPr>
          <w:trHeight w:val="88"/>
        </w:trPr>
        <w:tc>
          <w:tcPr>
            <w:tcW w:w="1160" w:type="dxa"/>
            <w:vAlign w:val="bottom"/>
            <w:vMerge w:val="restart"/>
          </w:tcPr>
          <w:p>
            <w:pPr>
              <w:jc w:val="center"/>
              <w:ind w:right="407"/>
              <w:spacing w:after="0"/>
              <w:rPr>
                <w:sz w:val="20"/>
                <w:szCs w:val="20"/>
                <w:color w:val="auto"/>
              </w:rPr>
            </w:pPr>
            <w:r>
              <w:rPr>
                <w:rFonts w:ascii="Arial" w:cs="Arial" w:eastAsia="Arial" w:hAnsi="Arial"/>
                <w:sz w:val="15"/>
                <w:szCs w:val="15"/>
                <w:color w:val="auto"/>
                <w:w w:val="94"/>
              </w:rPr>
              <w:t>Quality</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6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General</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00092</w:t>
            </w:r>
          </w:p>
        </w:tc>
        <w:tc>
          <w:tcPr>
            <w:tcW w:w="0" w:type="dxa"/>
            <w:vAlign w:val="bottom"/>
          </w:tcPr>
          <w:p>
            <w:pPr>
              <w:spacing w:after="0"/>
              <w:rPr>
                <w:sz w:val="1"/>
                <w:szCs w:val="1"/>
                <w:color w:val="auto"/>
              </w:rPr>
            </w:pPr>
          </w:p>
        </w:tc>
      </w:tr>
      <w:tr>
        <w:trPr>
          <w:trHeight w:val="99"/>
        </w:trPr>
        <w:tc>
          <w:tcPr>
            <w:tcW w:w="1160" w:type="dxa"/>
            <w:vAlign w:val="bottom"/>
            <w:vMerge w:val="restart"/>
          </w:tcPr>
          <w:p>
            <w:pPr>
              <w:jc w:val="center"/>
              <w:ind w:right="407"/>
              <w:spacing w:after="0"/>
              <w:rPr>
                <w:sz w:val="20"/>
                <w:szCs w:val="20"/>
                <w:color w:val="auto"/>
              </w:rPr>
            </w:pPr>
            <w:r>
              <w:rPr>
                <w:rFonts w:ascii="Arial" w:cs="Arial" w:eastAsia="Arial" w:hAnsi="Arial"/>
                <w:sz w:val="15"/>
                <w:szCs w:val="15"/>
                <w:color w:val="auto"/>
                <w:w w:val="94"/>
              </w:rPr>
              <w:t>Quality</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1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EH&amp;S</w:t>
            </w:r>
          </w:p>
        </w:tc>
        <w:tc>
          <w:tcPr>
            <w:tcW w:w="1000" w:type="dxa"/>
            <w:vAlign w:val="bottom"/>
          </w:tcPr>
          <w:p>
            <w:pPr>
              <w:jc w:val="right"/>
              <w:spacing w:after="0"/>
              <w:rPr>
                <w:sz w:val="20"/>
                <w:szCs w:val="20"/>
                <w:color w:val="auto"/>
              </w:rPr>
            </w:pPr>
            <w:r>
              <w:rPr>
                <w:rFonts w:ascii="Arial" w:cs="Arial" w:eastAsia="Arial" w:hAnsi="Arial"/>
                <w:sz w:val="15"/>
                <w:szCs w:val="15"/>
                <w:color w:val="auto"/>
              </w:rPr>
              <w:t>00093</w:t>
            </w:r>
          </w:p>
        </w:tc>
        <w:tc>
          <w:tcPr>
            <w:tcW w:w="0" w:type="dxa"/>
            <w:vAlign w:val="bottom"/>
          </w:tcPr>
          <w:p>
            <w:pPr>
              <w:spacing w:after="0"/>
              <w:rPr>
                <w:sz w:val="1"/>
                <w:szCs w:val="1"/>
                <w:color w:val="auto"/>
              </w:rPr>
            </w:pPr>
          </w:p>
        </w:tc>
      </w:tr>
      <w:tr>
        <w:trPr>
          <w:trHeight w:val="492"/>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EH&amp;S</w:t>
            </w:r>
          </w:p>
        </w:tc>
        <w:tc>
          <w:tcPr>
            <w:tcW w:w="1000" w:type="dxa"/>
            <w:vAlign w:val="bottom"/>
          </w:tcPr>
          <w:p>
            <w:pPr>
              <w:jc w:val="right"/>
              <w:spacing w:after="0"/>
              <w:rPr>
                <w:sz w:val="20"/>
                <w:szCs w:val="20"/>
                <w:color w:val="auto"/>
              </w:rPr>
            </w:pPr>
            <w:r>
              <w:rPr>
                <w:rFonts w:ascii="Arial" w:cs="Arial" w:eastAsia="Arial" w:hAnsi="Arial"/>
                <w:sz w:val="15"/>
                <w:szCs w:val="15"/>
                <w:color w:val="auto"/>
              </w:rPr>
              <w:t>00094</w:t>
            </w:r>
          </w:p>
        </w:tc>
        <w:tc>
          <w:tcPr>
            <w:tcW w:w="0" w:type="dxa"/>
            <w:vAlign w:val="bottom"/>
          </w:tcPr>
          <w:p>
            <w:pPr>
              <w:spacing w:after="0"/>
              <w:rPr>
                <w:sz w:val="1"/>
                <w:szCs w:val="1"/>
                <w:color w:val="auto"/>
              </w:rPr>
            </w:pPr>
          </w:p>
        </w:tc>
      </w:tr>
      <w:tr>
        <w:trPr>
          <w:trHeight w:val="492"/>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EH&amp;S</w:t>
            </w:r>
          </w:p>
        </w:tc>
        <w:tc>
          <w:tcPr>
            <w:tcW w:w="1000" w:type="dxa"/>
            <w:vAlign w:val="bottom"/>
          </w:tcPr>
          <w:p>
            <w:pPr>
              <w:jc w:val="right"/>
              <w:spacing w:after="0"/>
              <w:rPr>
                <w:sz w:val="20"/>
                <w:szCs w:val="20"/>
                <w:color w:val="auto"/>
              </w:rPr>
            </w:pPr>
            <w:r>
              <w:rPr>
                <w:rFonts w:ascii="Arial" w:cs="Arial" w:eastAsia="Arial" w:hAnsi="Arial"/>
                <w:sz w:val="15"/>
                <w:szCs w:val="15"/>
                <w:color w:val="auto"/>
              </w:rPr>
              <w:t>00095</w:t>
            </w:r>
          </w:p>
        </w:tc>
        <w:tc>
          <w:tcPr>
            <w:tcW w:w="0" w:type="dxa"/>
            <w:vAlign w:val="bottom"/>
          </w:tcPr>
          <w:p>
            <w:pPr>
              <w:spacing w:after="0"/>
              <w:rPr>
                <w:sz w:val="1"/>
                <w:szCs w:val="1"/>
                <w:color w:val="auto"/>
              </w:rPr>
            </w:pPr>
          </w:p>
        </w:tc>
      </w:tr>
      <w:tr>
        <w:trPr>
          <w:trHeight w:val="492"/>
        </w:trPr>
        <w:tc>
          <w:tcPr>
            <w:tcW w:w="1160" w:type="dxa"/>
            <w:vAlign w:val="bottom"/>
          </w:tcPr>
          <w:p>
            <w:pPr>
              <w:jc w:val="center"/>
              <w:ind w:right="407"/>
              <w:spacing w:after="0"/>
              <w:rPr>
                <w:sz w:val="20"/>
                <w:szCs w:val="20"/>
                <w:color w:val="auto"/>
              </w:rPr>
            </w:pPr>
            <w:r>
              <w:rPr>
                <w:rFonts w:ascii="Arial" w:cs="Arial" w:eastAsia="Arial" w:hAnsi="Arial"/>
                <w:sz w:val="15"/>
                <w:szCs w:val="15"/>
                <w:color w:val="auto"/>
                <w:w w:val="97"/>
              </w:rPr>
              <w:t>EH&amp;S</w:t>
            </w:r>
          </w:p>
        </w:tc>
        <w:tc>
          <w:tcPr>
            <w:tcW w:w="1000" w:type="dxa"/>
            <w:vAlign w:val="bottom"/>
          </w:tcPr>
          <w:p>
            <w:pPr>
              <w:jc w:val="right"/>
              <w:spacing w:after="0"/>
              <w:rPr>
                <w:sz w:val="20"/>
                <w:szCs w:val="20"/>
                <w:color w:val="auto"/>
              </w:rPr>
            </w:pPr>
            <w:r>
              <w:rPr>
                <w:rFonts w:ascii="Arial" w:cs="Arial" w:eastAsia="Arial" w:hAnsi="Arial"/>
                <w:sz w:val="15"/>
                <w:szCs w:val="15"/>
                <w:color w:val="auto"/>
              </w:rPr>
              <w:t>00096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404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Category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Vacuum will be available for shake flash preparation.</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Bioreactor controllers are on local UPS power.</w:t>
      </w:r>
    </w:p>
    <w:p>
      <w:pPr>
        <w:spacing w:after="0" w:line="13" w:lineRule="exact"/>
        <w:rPr>
          <w:sz w:val="20"/>
          <w:szCs w:val="20"/>
          <w:color w:val="auto"/>
        </w:rPr>
      </w:pPr>
    </w:p>
    <w:p>
      <w:pPr>
        <w:ind w:left="80" w:right="440"/>
        <w:spacing w:after="0" w:line="228" w:lineRule="auto"/>
        <w:rPr>
          <w:sz w:val="20"/>
          <w:szCs w:val="20"/>
          <w:color w:val="auto"/>
        </w:rPr>
      </w:pPr>
      <w:r>
        <w:rPr>
          <w:rFonts w:ascii="Arial" w:cs="Arial" w:eastAsia="Arial" w:hAnsi="Arial"/>
          <w:sz w:val="15"/>
          <w:szCs w:val="15"/>
          <w:color w:val="auto"/>
        </w:rPr>
        <w:t>Compressed air will be available at a suitable pressure for TFF filter integrity testing.</w:t>
      </w:r>
    </w:p>
    <w:p>
      <w:pPr>
        <w:ind w:left="80" w:right="40"/>
        <w:spacing w:after="0" w:line="228" w:lineRule="auto"/>
        <w:rPr>
          <w:sz w:val="20"/>
          <w:szCs w:val="20"/>
          <w:color w:val="auto"/>
        </w:rPr>
      </w:pPr>
      <w:r>
        <w:rPr>
          <w:rFonts w:ascii="Arial" w:cs="Arial" w:eastAsia="Arial" w:hAnsi="Arial"/>
          <w:sz w:val="15"/>
          <w:szCs w:val="15"/>
          <w:color w:val="auto"/>
        </w:rPr>
        <w:t>Space for drug product initial processing prior to encapsulation in a Grade C room with biosafety cabinet.</w:t>
      </w:r>
    </w:p>
    <w:p>
      <w:pPr>
        <w:ind w:left="80" w:right="60"/>
        <w:spacing w:after="0" w:line="228" w:lineRule="auto"/>
        <w:rPr>
          <w:sz w:val="20"/>
          <w:szCs w:val="20"/>
          <w:color w:val="auto"/>
        </w:rPr>
      </w:pPr>
      <w:r>
        <w:rPr>
          <w:rFonts w:ascii="Arial" w:cs="Arial" w:eastAsia="Arial" w:hAnsi="Arial"/>
          <w:sz w:val="15"/>
          <w:szCs w:val="15"/>
          <w:color w:val="auto"/>
        </w:rPr>
        <w:t>Encapsulation is within an isolator at Grade A in a Grade C room, either a separate room or included in a manufacturing suite.</w:t>
      </w:r>
    </w:p>
    <w:p>
      <w:pPr>
        <w:ind w:left="80" w:right="260"/>
        <w:spacing w:after="0" w:line="235" w:lineRule="auto"/>
        <w:rPr>
          <w:sz w:val="20"/>
          <w:szCs w:val="20"/>
          <w:color w:val="auto"/>
        </w:rPr>
      </w:pPr>
      <w:r>
        <w:rPr>
          <w:rFonts w:ascii="Arial" w:cs="Arial" w:eastAsia="Arial" w:hAnsi="Arial"/>
          <w:sz w:val="15"/>
          <w:szCs w:val="15"/>
          <w:color w:val="auto"/>
        </w:rPr>
        <w:t>Space for manual bottling, including torquing of container lids and heat sealing, in the same room as the isolator.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Space &amp; utilities for future lyophilizer in same room as encapsulation.</w:t>
      </w:r>
    </w:p>
    <w:p>
      <w:pPr>
        <w:spacing w:after="0" w:line="13" w:lineRule="exact"/>
        <w:rPr>
          <w:sz w:val="20"/>
          <w:szCs w:val="20"/>
          <w:color w:val="auto"/>
        </w:rPr>
      </w:pPr>
    </w:p>
    <w:p>
      <w:pPr>
        <w:ind w:left="80" w:right="140"/>
        <w:spacing w:after="0" w:line="228" w:lineRule="auto"/>
        <w:rPr>
          <w:sz w:val="20"/>
          <w:szCs w:val="20"/>
          <w:color w:val="auto"/>
        </w:rPr>
      </w:pPr>
      <w:r>
        <w:rPr>
          <w:rFonts w:ascii="Arial" w:cs="Arial" w:eastAsia="Arial" w:hAnsi="Arial"/>
          <w:sz w:val="15"/>
          <w:szCs w:val="15"/>
          <w:color w:val="auto"/>
        </w:rPr>
        <w:t>MCB/pre-MCB to be stored in LN2 freezer with central alarm and monitoring in EMS. Backup dewars will be provided on a manifold, with alarms for dewar level/pressure. 02 monitor will be provided in the room. Access to the room and to the individual freezers will be controlled (key/card access).</w:t>
      </w:r>
    </w:p>
    <w:p>
      <w:pPr>
        <w:spacing w:after="0" w:line="1" w:lineRule="exact"/>
        <w:rPr>
          <w:sz w:val="20"/>
          <w:szCs w:val="20"/>
          <w:color w:val="auto"/>
        </w:rPr>
      </w:pPr>
    </w:p>
    <w:p>
      <w:pPr>
        <w:ind w:left="80" w:right="60"/>
        <w:spacing w:after="0" w:line="244" w:lineRule="auto"/>
        <w:rPr>
          <w:sz w:val="20"/>
          <w:szCs w:val="20"/>
          <w:color w:val="auto"/>
        </w:rPr>
      </w:pPr>
      <w:r>
        <w:rPr>
          <w:rFonts w:ascii="Arial" w:cs="Arial" w:eastAsia="Arial" w:hAnsi="Arial"/>
          <w:sz w:val="14"/>
          <w:szCs w:val="14"/>
          <w:color w:val="auto"/>
        </w:rPr>
        <w:t>All valves for process utilities and HVAC piping will be tagged with a unique identifier, assigned from a consistent standard, using a permanent valve tag (brass or stainless steel, as appropriate for environment). Tags in the field will match those shown on design drawings.</w:t>
      </w:r>
    </w:p>
    <w:p>
      <w:pPr>
        <w:spacing w:after="0" w:line="2" w:lineRule="exact"/>
        <w:rPr>
          <w:sz w:val="20"/>
          <w:szCs w:val="20"/>
          <w:color w:val="auto"/>
        </w:rPr>
      </w:pPr>
    </w:p>
    <w:p>
      <w:pPr>
        <w:ind w:left="80" w:right="120"/>
        <w:spacing w:after="0" w:line="228" w:lineRule="auto"/>
        <w:rPr>
          <w:sz w:val="20"/>
          <w:szCs w:val="20"/>
          <w:color w:val="auto"/>
        </w:rPr>
      </w:pPr>
      <w:r>
        <w:rPr>
          <w:rFonts w:ascii="Arial" w:cs="Arial" w:eastAsia="Arial" w:hAnsi="Arial"/>
          <w:sz w:val="15"/>
          <w:szCs w:val="15"/>
          <w:color w:val="auto"/>
        </w:rPr>
        <w:t>Applicable construction quality activities, such as pressure testing, flushing, infrared scanning, etc., will be performed on all utilities modified or installed as part of the construction process, and documentation provided with the turnover package.</w:t>
      </w:r>
    </w:p>
    <w:p>
      <w:pPr>
        <w:spacing w:after="0" w:line="1" w:lineRule="exact"/>
        <w:rPr>
          <w:sz w:val="20"/>
          <w:szCs w:val="20"/>
          <w:color w:val="auto"/>
        </w:rPr>
      </w:pPr>
    </w:p>
    <w:p>
      <w:pPr>
        <w:jc w:val="both"/>
        <w:ind w:left="80" w:right="280"/>
        <w:spacing w:after="0" w:line="233" w:lineRule="auto"/>
        <w:rPr>
          <w:sz w:val="20"/>
          <w:szCs w:val="20"/>
          <w:color w:val="auto"/>
        </w:rPr>
      </w:pPr>
      <w:r>
        <w:rPr>
          <w:rFonts w:ascii="Arial" w:cs="Arial" w:eastAsia="Arial" w:hAnsi="Arial"/>
          <w:sz w:val="15"/>
          <w:szCs w:val="15"/>
          <w:color w:val="auto"/>
        </w:rPr>
        <w:t>Construction turnover package will include as-built drawings, including incorporation of commissioning redlines, in PDF and native (editable) format.</w:t>
      </w:r>
    </w:p>
    <w:p>
      <w:pPr>
        <w:spacing w:after="0" w:line="66" w:lineRule="exact"/>
        <w:rPr>
          <w:sz w:val="20"/>
          <w:szCs w:val="20"/>
          <w:color w:val="auto"/>
        </w:rPr>
      </w:pPr>
    </w:p>
    <w:p>
      <w:pPr>
        <w:ind w:left="80" w:right="240"/>
        <w:spacing w:after="0" w:line="236" w:lineRule="auto"/>
        <w:rPr>
          <w:sz w:val="20"/>
          <w:szCs w:val="20"/>
          <w:color w:val="auto"/>
        </w:rPr>
      </w:pPr>
      <w:r>
        <w:rPr>
          <w:rFonts w:ascii="Arial" w:cs="Arial" w:eastAsia="Arial" w:hAnsi="Arial"/>
          <w:sz w:val="15"/>
          <w:szCs w:val="15"/>
          <w:color w:val="auto"/>
        </w:rPr>
        <w:t>Noise levels shall not exceed 85 dB; areas exceeding this level require hearing protection</w:t>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Pressure relief valves are directed to safe discharge locations.</w:t>
      </w:r>
    </w:p>
    <w:p>
      <w:pPr>
        <w:spacing w:after="0" w:line="156" w:lineRule="exact"/>
        <w:rPr>
          <w:sz w:val="20"/>
          <w:szCs w:val="20"/>
          <w:color w:val="auto"/>
        </w:rPr>
      </w:pPr>
    </w:p>
    <w:p>
      <w:pPr>
        <w:jc w:val="both"/>
        <w:ind w:left="80" w:right="80"/>
        <w:spacing w:after="0" w:line="233" w:lineRule="auto"/>
        <w:rPr>
          <w:sz w:val="20"/>
          <w:szCs w:val="20"/>
          <w:color w:val="auto"/>
        </w:rPr>
      </w:pPr>
      <w:r>
        <w:rPr>
          <w:rFonts w:ascii="Arial" w:cs="Arial" w:eastAsia="Arial" w:hAnsi="Arial"/>
          <w:sz w:val="15"/>
          <w:szCs w:val="15"/>
          <w:color w:val="auto"/>
        </w:rPr>
        <w:t>No floor drains under emergency showers in classified areas. Emergency showers to be located in lower classification or unclassified rooms where possible.</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5"/>
          <w:szCs w:val="15"/>
          <w:color w:val="auto"/>
        </w:rPr>
        <w:t>Tempered circulated water for eyewash and showers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98" w:lineRule="exact"/>
        <w:rPr>
          <w:sz w:val="20"/>
          <w:szCs w:val="20"/>
          <w:color w:val="auto"/>
        </w:rPr>
      </w:pPr>
    </w:p>
    <w:p>
      <w:pPr>
        <w:sectPr>
          <w:pgSz w:w="11900" w:h="16838" w:orient="portrait"/>
          <w:cols w:equalWidth="0" w:num="4">
            <w:col w:w="1980" w:space="720"/>
            <w:col w:w="2160" w:space="320"/>
            <w:col w:w="4880" w:space="720"/>
            <w:col w:w="200"/>
          </w:cols>
          <w:pgMar w:left="220" w:top="114" w:right="69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Revision 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4880"/>
        <w:spacing w:after="0"/>
        <w:rPr>
          <w:sz w:val="20"/>
          <w:szCs w:val="20"/>
          <w:color w:val="auto"/>
        </w:rPr>
      </w:pPr>
      <w:r>
        <w:rPr>
          <w:rFonts w:ascii="Arial" w:cs="Arial" w:eastAsia="Arial" w:hAnsi="Arial"/>
          <w:sz w:val="14"/>
          <w:szCs w:val="14"/>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184150</wp:posOffset>
            </wp:positionV>
            <wp:extent cx="731202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4640" w:space="720"/>
            <w:col w:w="5620"/>
          </w:cols>
          <w:pgMar w:left="220" w:top="114" w:right="699" w:bottom="1440" w:gutter="0" w:footer="0" w:header="0"/>
          <w:type w:val="continuous"/>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Area</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jc w:val="center"/>
        <w:ind w:right="120"/>
        <w:spacing w:after="0"/>
        <w:rPr>
          <w:sz w:val="20"/>
          <w:szCs w:val="20"/>
          <w:color w:val="auto"/>
        </w:rPr>
      </w:pPr>
      <w:r>
        <w:rPr>
          <w:rFonts w:ascii="Arial" w:cs="Arial" w:eastAsia="Arial" w:hAnsi="Arial"/>
          <w:sz w:val="14"/>
          <w:szCs w:val="14"/>
          <w:color w:val="auto"/>
        </w:rPr>
        <w:t>Compliance</w:t>
      </w:r>
    </w:p>
    <w:p>
      <w:pPr>
        <w:jc w:val="center"/>
        <w:ind w:right="120"/>
        <w:spacing w:after="0" w:line="232" w:lineRule="auto"/>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Compliance</w:t>
      </w:r>
    </w:p>
    <w:p>
      <w:pPr>
        <w:jc w:val="center"/>
        <w:ind w:right="120"/>
        <w:spacing w:after="0" w:line="232" w:lineRule="auto"/>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Compliance</w:t>
      </w:r>
    </w:p>
    <w:p>
      <w:pPr>
        <w:jc w:val="center"/>
        <w:ind w:right="120"/>
        <w:spacing w:after="0" w:line="232" w:lineRule="auto"/>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Compliance</w:t>
      </w:r>
    </w:p>
    <w:p>
      <w:pPr>
        <w:jc w:val="center"/>
        <w:ind w:right="120"/>
        <w:spacing w:after="0" w:line="232" w:lineRule="auto"/>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Compliance</w:t>
      </w:r>
    </w:p>
    <w:p>
      <w:pPr>
        <w:jc w:val="center"/>
        <w:ind w:right="120"/>
        <w:spacing w:after="0" w:line="232" w:lineRule="auto"/>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Compliance</w:t>
      </w:r>
    </w:p>
    <w:p>
      <w:pPr>
        <w:jc w:val="center"/>
        <w:ind w:right="120"/>
        <w:spacing w:after="0" w:line="232" w:lineRule="auto"/>
        <w:rPr>
          <w:sz w:val="20"/>
          <w:szCs w:val="20"/>
          <w:color w:val="auto"/>
        </w:rPr>
      </w:pPr>
      <w:r>
        <w:rPr>
          <w:rFonts w:ascii="Arial" w:cs="Arial" w:eastAsia="Arial" w:hAnsi="Arial"/>
          <w:sz w:val="15"/>
          <w:szCs w:val="15"/>
          <w:color w:val="auto"/>
        </w:rPr>
        <w:t>Quality &amp;</w:t>
      </w:r>
    </w:p>
    <w:p>
      <w:pPr>
        <w:jc w:val="center"/>
        <w:ind w:right="120"/>
        <w:spacing w:after="0" w:line="228" w:lineRule="auto"/>
        <w:rPr>
          <w:sz w:val="20"/>
          <w:szCs w:val="20"/>
          <w:color w:val="auto"/>
        </w:rPr>
      </w:pPr>
      <w:r>
        <w:rPr>
          <w:rFonts w:ascii="Arial" w:cs="Arial" w:eastAsia="Arial" w:hAnsi="Arial"/>
          <w:sz w:val="15"/>
          <w:szCs w:val="15"/>
          <w:color w:val="auto"/>
        </w:rPr>
        <w:t>Regulatory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Compliance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Utilities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Revision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Section</w:t>
      </w:r>
    </w:p>
    <w:p>
      <w:pPr>
        <w:spacing w:after="0" w:line="185"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EH&amp;S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EH&amp;S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EH&amp;S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EH&amp;S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EH&amp;S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EH&amp;S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EH&amp;S</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General</w:t>
      </w:r>
    </w:p>
    <w:p>
      <w:pPr>
        <w:ind w:left="100"/>
        <w:spacing w:after="0"/>
        <w:rPr>
          <w:sz w:val="20"/>
          <w:szCs w:val="20"/>
          <w:color w:val="auto"/>
        </w:rPr>
      </w:pPr>
      <w:r>
        <w:rPr>
          <w:rFonts w:ascii="Arial" w:cs="Arial" w:eastAsia="Arial" w:hAnsi="Arial"/>
          <w:sz w:val="15"/>
          <w:szCs w:val="15"/>
          <w:color w:val="auto"/>
        </w:rPr>
        <w:t>Utilities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General</w:t>
      </w:r>
    </w:p>
    <w:p>
      <w:pPr>
        <w:ind w:left="100"/>
        <w:spacing w:after="0"/>
        <w:rPr>
          <w:sz w:val="20"/>
          <w:szCs w:val="20"/>
          <w:color w:val="auto"/>
        </w:rPr>
      </w:pPr>
      <w:r>
        <w:rPr>
          <w:rFonts w:ascii="Arial" w:cs="Arial" w:eastAsia="Arial" w:hAnsi="Arial"/>
          <w:sz w:val="15"/>
          <w:szCs w:val="15"/>
          <w:color w:val="auto"/>
        </w:rPr>
        <w:t>Utilities</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5"/>
          <w:szCs w:val="15"/>
          <w:color w:val="auto"/>
        </w:rPr>
        <w:t>General</w:t>
      </w:r>
    </w:p>
    <w:p>
      <w:pPr>
        <w:ind w:left="100"/>
        <w:spacing w:after="0" w:line="228" w:lineRule="auto"/>
        <w:rPr>
          <w:sz w:val="20"/>
          <w:szCs w:val="20"/>
          <w:color w:val="auto"/>
        </w:rPr>
      </w:pPr>
      <w:r>
        <w:rPr>
          <w:rFonts w:ascii="Arial" w:cs="Arial" w:eastAsia="Arial" w:hAnsi="Arial"/>
          <w:sz w:val="15"/>
          <w:szCs w:val="15"/>
          <w:color w:val="auto"/>
        </w:rPr>
        <w:t>Utilities</w:t>
      </w:r>
    </w:p>
    <w:p>
      <w:pPr>
        <w:ind w:left="80"/>
        <w:spacing w:after="0" w:line="228" w:lineRule="auto"/>
        <w:rPr>
          <w:sz w:val="20"/>
          <w:szCs w:val="20"/>
          <w:color w:val="auto"/>
        </w:rPr>
      </w:pPr>
      <w:r>
        <w:rPr>
          <w:rFonts w:ascii="Arial" w:cs="Arial" w:eastAsia="Arial" w:hAnsi="Arial"/>
          <w:sz w:val="15"/>
          <w:szCs w:val="15"/>
          <w:color w:val="auto"/>
        </w:rPr>
        <w:t>General</w:t>
      </w:r>
    </w:p>
    <w:p>
      <w:pPr>
        <w:ind w:left="100"/>
        <w:spacing w:after="0" w:line="228" w:lineRule="auto"/>
        <w:rPr>
          <w:sz w:val="20"/>
          <w:szCs w:val="20"/>
          <w:color w:val="auto"/>
        </w:rPr>
      </w:pPr>
      <w:r>
        <w:rPr>
          <w:rFonts w:ascii="Arial" w:cs="Arial" w:eastAsia="Arial" w:hAnsi="Arial"/>
          <w:sz w:val="15"/>
          <w:szCs w:val="15"/>
          <w:color w:val="auto"/>
        </w:rPr>
        <w:t>Utilities</w:t>
      </w:r>
    </w:p>
    <w:p>
      <w:pPr>
        <w:ind w:left="80"/>
        <w:spacing w:after="0" w:line="229" w:lineRule="auto"/>
        <w:rPr>
          <w:sz w:val="20"/>
          <w:szCs w:val="20"/>
          <w:color w:val="auto"/>
        </w:rPr>
      </w:pPr>
      <w:r>
        <w:rPr>
          <w:rFonts w:ascii="Arial" w:cs="Arial" w:eastAsia="Arial" w:hAnsi="Arial"/>
          <w:sz w:val="15"/>
          <w:szCs w:val="15"/>
          <w:color w:val="auto"/>
        </w:rPr>
        <w:t>General</w:t>
      </w:r>
    </w:p>
    <w:p>
      <w:pPr>
        <w:ind w:left="100"/>
        <w:spacing w:after="0"/>
        <w:rPr>
          <w:sz w:val="20"/>
          <w:szCs w:val="20"/>
          <w:color w:val="auto"/>
        </w:rPr>
      </w:pPr>
      <w:r>
        <w:rPr>
          <w:rFonts w:ascii="Arial" w:cs="Arial" w:eastAsia="Arial" w:hAnsi="Arial"/>
          <w:sz w:val="15"/>
          <w:szCs w:val="15"/>
          <w:color w:val="auto"/>
        </w:rPr>
        <w:t>Utilities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Electrical</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Electrical</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Electrical</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Electrical</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2640"/>
        <w:spacing w:after="0"/>
        <w:rPr>
          <w:sz w:val="20"/>
          <w:szCs w:val="20"/>
          <w:color w:val="auto"/>
        </w:rPr>
      </w:pPr>
      <w:r>
        <w:rPr>
          <w:rFonts w:ascii="Arial" w:cs="Arial" w:eastAsia="Arial" w:hAnsi="Arial"/>
          <w:sz w:val="18"/>
          <w:szCs w:val="18"/>
          <w:b w:val="1"/>
          <w:bCs w:val="1"/>
          <w:color w:val="050405"/>
        </w:rPr>
        <w:t>200 Sidney Street</w:t>
      </w:r>
    </w:p>
    <w:p>
      <w:pPr>
        <w:jc w:val="center"/>
        <w:ind w:right="2640"/>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2640"/>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600" w:type="dxa"/>
            <w:vAlign w:val="bottom"/>
          </w:tcPr>
          <w:p>
            <w:pPr>
              <w:jc w:val="right"/>
              <w:ind w:right="187"/>
              <w:spacing w:after="0"/>
              <w:rPr>
                <w:sz w:val="20"/>
                <w:szCs w:val="20"/>
                <w:color w:val="auto"/>
              </w:rPr>
            </w:pPr>
            <w:r>
              <w:rPr>
                <w:rFonts w:ascii="Arial" w:cs="Arial" w:eastAsia="Arial" w:hAnsi="Arial"/>
                <w:sz w:val="15"/>
                <w:szCs w:val="15"/>
                <w:b w:val="1"/>
                <w:bCs w:val="1"/>
                <w:color w:val="auto"/>
                <w:w w:val="93"/>
              </w:rPr>
              <w:t xml:space="preserve">UR </w:t>
            </w:r>
            <w:r>
              <w:rPr>
                <w:rFonts w:ascii="Arial" w:cs="Arial" w:eastAsia="Arial" w:hAnsi="Arial"/>
                <w:sz w:val="15"/>
                <w:szCs w:val="15"/>
                <w:color w:val="auto"/>
                <w:w w:val="93"/>
              </w:rPr>
              <w:t>#</w:t>
            </w:r>
          </w:p>
        </w:tc>
        <w:tc>
          <w:tcPr>
            <w:tcW w:w="4200" w:type="dxa"/>
            <w:vAlign w:val="bottom"/>
          </w:tcPr>
          <w:p>
            <w:pPr>
              <w:ind w:left="160"/>
              <w:spacing w:after="0"/>
              <w:rPr>
                <w:sz w:val="20"/>
                <w:szCs w:val="20"/>
                <w:color w:val="auto"/>
              </w:rPr>
            </w:pPr>
            <w:r>
              <w:rPr>
                <w:rFonts w:ascii="Arial" w:cs="Arial" w:eastAsia="Arial" w:hAnsi="Arial"/>
                <w:sz w:val="15"/>
                <w:szCs w:val="15"/>
                <w:b w:val="1"/>
                <w:bCs w:val="1"/>
                <w:color w:val="auto"/>
              </w:rPr>
              <w:t>Description</w:t>
            </w:r>
          </w:p>
        </w:tc>
        <w:tc>
          <w:tcPr>
            <w:tcW w:w="840" w:type="dxa"/>
            <w:vAlign w:val="bottom"/>
          </w:tcPr>
          <w:p>
            <w:pPr>
              <w:ind w:left="20"/>
              <w:spacing w:after="0"/>
              <w:rPr>
                <w:sz w:val="20"/>
                <w:szCs w:val="20"/>
                <w:color w:val="auto"/>
              </w:rPr>
            </w:pPr>
            <w:r>
              <w:rPr>
                <w:rFonts w:ascii="Arial" w:cs="Arial" w:eastAsia="Arial" w:hAnsi="Arial"/>
                <w:sz w:val="15"/>
                <w:szCs w:val="15"/>
                <w:b w:val="1"/>
                <w:bCs w:val="1"/>
                <w:color w:val="auto"/>
              </w:rPr>
              <w:t>Category</w:t>
            </w:r>
          </w:p>
        </w:tc>
        <w:tc>
          <w:tcPr>
            <w:tcW w:w="0" w:type="dxa"/>
            <w:vAlign w:val="bottom"/>
          </w:tcPr>
          <w:p>
            <w:pPr>
              <w:spacing w:after="0"/>
              <w:rPr>
                <w:sz w:val="1"/>
                <w:szCs w:val="1"/>
                <w:color w:val="auto"/>
              </w:rPr>
            </w:pPr>
          </w:p>
        </w:tc>
      </w:tr>
      <w:tr>
        <w:trPr>
          <w:trHeight w:val="328"/>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00097</w:t>
            </w: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rPr>
              <w:t>Piping will be insulated as process and safety requirements dictate.</w:t>
            </w:r>
          </w:p>
        </w:tc>
        <w:tc>
          <w:tcPr>
            <w:tcW w:w="0" w:type="dxa"/>
            <w:vAlign w:val="bottom"/>
          </w:tcPr>
          <w:p>
            <w:pPr>
              <w:spacing w:after="0"/>
              <w:rPr>
                <w:sz w:val="1"/>
                <w:szCs w:val="1"/>
                <w:color w:val="auto"/>
              </w:rPr>
            </w:pPr>
          </w:p>
        </w:tc>
      </w:tr>
      <w:tr>
        <w:trPr>
          <w:trHeight w:val="492"/>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00098</w:t>
            </w:r>
          </w:p>
        </w:tc>
        <w:tc>
          <w:tcPr>
            <w:tcW w:w="4200" w:type="dxa"/>
            <w:vAlign w:val="bottom"/>
          </w:tcPr>
          <w:p>
            <w:pPr>
              <w:ind w:left="240"/>
              <w:spacing w:after="0"/>
              <w:rPr>
                <w:sz w:val="20"/>
                <w:szCs w:val="20"/>
                <w:color w:val="auto"/>
              </w:rPr>
            </w:pPr>
            <w:r>
              <w:rPr>
                <w:rFonts w:ascii="Arial" w:cs="Arial" w:eastAsia="Arial" w:hAnsi="Arial"/>
                <w:sz w:val="15"/>
                <w:szCs w:val="15"/>
                <w:color w:val="auto"/>
              </w:rPr>
              <w:t>BSCs must be certified to comply with ASHRAE 110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00099</w:t>
            </w: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w w:val="98"/>
              </w:rPr>
              <w:t>NFPA health ratings of 3 or higher require double containment piping and</w:t>
            </w: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4200" w:type="dxa"/>
            <w:vAlign w:val="bottom"/>
            <w:vMerge w:val="restart"/>
          </w:tcPr>
          <w:p>
            <w:pPr>
              <w:ind w:left="240"/>
              <w:spacing w:after="0"/>
              <w:rPr>
                <w:sz w:val="20"/>
                <w:szCs w:val="20"/>
                <w:color w:val="auto"/>
              </w:rPr>
            </w:pPr>
            <w:r>
              <w:rPr>
                <w:rFonts w:ascii="Arial" w:cs="Arial" w:eastAsia="Arial" w:hAnsi="Arial"/>
                <w:sz w:val="15"/>
                <w:szCs w:val="15"/>
                <w:color w:val="auto"/>
              </w:rPr>
              <w:t>container.</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42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6"/>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00100</w:t>
            </w: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rPr>
              <w:t>200 liter tanks and 250 liter bags are the personnel limit for manual</w:t>
            </w: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4200" w:type="dxa"/>
            <w:vAlign w:val="bottom"/>
            <w:vMerge w:val="restart"/>
          </w:tcPr>
          <w:p>
            <w:pPr>
              <w:ind w:left="240"/>
              <w:spacing w:after="0"/>
              <w:rPr>
                <w:sz w:val="20"/>
                <w:szCs w:val="20"/>
                <w:color w:val="auto"/>
              </w:rPr>
            </w:pPr>
            <w:r>
              <w:rPr>
                <w:rFonts w:ascii="Arial" w:cs="Arial" w:eastAsia="Arial" w:hAnsi="Arial"/>
                <w:sz w:val="15"/>
                <w:szCs w:val="15"/>
                <w:color w:val="auto"/>
              </w:rPr>
              <w:t>handling.</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42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00101</w:t>
            </w:r>
          </w:p>
        </w:tc>
        <w:tc>
          <w:tcPr>
            <w:tcW w:w="4200" w:type="dxa"/>
            <w:vAlign w:val="bottom"/>
          </w:tcPr>
          <w:p>
            <w:pPr>
              <w:ind w:left="240"/>
              <w:spacing w:after="0"/>
              <w:rPr>
                <w:sz w:val="20"/>
                <w:szCs w:val="20"/>
                <w:color w:val="auto"/>
              </w:rPr>
            </w:pPr>
            <w:r>
              <w:rPr>
                <w:rFonts w:ascii="Arial" w:cs="Arial" w:eastAsia="Arial" w:hAnsi="Arial"/>
                <w:sz w:val="15"/>
                <w:szCs w:val="15"/>
                <w:color w:val="auto"/>
              </w:rPr>
              <w:t>Two handed lift repetitive limit is 25 pounds.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00102</w:t>
            </w:r>
          </w:p>
        </w:tc>
        <w:tc>
          <w:tcPr>
            <w:tcW w:w="4200" w:type="dxa"/>
            <w:vAlign w:val="bottom"/>
          </w:tcPr>
          <w:p>
            <w:pPr>
              <w:ind w:left="240"/>
              <w:spacing w:after="0"/>
              <w:rPr>
                <w:sz w:val="20"/>
                <w:szCs w:val="20"/>
                <w:color w:val="auto"/>
              </w:rPr>
            </w:pPr>
            <w:r>
              <w:rPr>
                <w:rFonts w:ascii="Arial" w:cs="Arial" w:eastAsia="Arial" w:hAnsi="Arial"/>
                <w:sz w:val="15"/>
                <w:szCs w:val="15"/>
                <w:color w:val="auto"/>
              </w:rPr>
              <w:t>40 pounds is the maximum lift.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00103</w:t>
            </w: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rPr>
              <w:t>Safety showers and eyewash stations need to be located to serve areas</w:t>
            </w: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4200" w:type="dxa"/>
            <w:vAlign w:val="bottom"/>
            <w:vMerge w:val="restart"/>
          </w:tcPr>
          <w:p>
            <w:pPr>
              <w:ind w:left="240"/>
              <w:spacing w:after="0"/>
              <w:rPr>
                <w:sz w:val="20"/>
                <w:szCs w:val="20"/>
                <w:color w:val="auto"/>
              </w:rPr>
            </w:pPr>
            <w:r>
              <w:rPr>
                <w:rFonts w:ascii="Arial" w:cs="Arial" w:eastAsia="Arial" w:hAnsi="Arial"/>
                <w:sz w:val="15"/>
                <w:szCs w:val="15"/>
                <w:color w:val="auto"/>
              </w:rPr>
              <w:t>dealing with chemicals.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42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w w:val="98"/>
              </w:rPr>
              <w:t>Energy efficiency is considered in the design of the new or modified utility</w:t>
            </w:r>
          </w:p>
        </w:tc>
        <w:tc>
          <w:tcPr>
            <w:tcW w:w="0" w:type="dxa"/>
            <w:vAlign w:val="bottom"/>
          </w:tcPr>
          <w:p>
            <w:pPr>
              <w:spacing w:after="0"/>
              <w:rPr>
                <w:sz w:val="1"/>
                <w:szCs w:val="1"/>
                <w:color w:val="auto"/>
              </w:rPr>
            </w:pP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00104</w:t>
            </w: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8"/>
              </w:rPr>
              <w:t>systems, subject to meeting other requirements (cleanliness, air changes</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4200" w:type="dxa"/>
            <w:vAlign w:val="bottom"/>
          </w:tcPr>
          <w:p>
            <w:pPr>
              <w:ind w:left="240"/>
              <w:spacing w:after="0" w:line="164" w:lineRule="exact"/>
              <w:rPr>
                <w:sz w:val="20"/>
                <w:szCs w:val="20"/>
                <w:color w:val="auto"/>
              </w:rPr>
            </w:pPr>
            <w:r>
              <w:rPr>
                <w:rFonts w:ascii="Arial" w:cs="Arial" w:eastAsia="Arial" w:hAnsi="Arial"/>
                <w:sz w:val="15"/>
                <w:szCs w:val="15"/>
                <w:color w:val="auto"/>
              </w:rPr>
              <w:t>per hour, required volumes, etc.)</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9"/>
              </w:rPr>
              <w:t>Automated handwashes, paper towel dispensers, and waste receptacles</w:t>
            </w:r>
          </w:p>
        </w:tc>
        <w:tc>
          <w:tcPr>
            <w:tcW w:w="0" w:type="dxa"/>
            <w:vAlign w:val="bottom"/>
          </w:tcPr>
          <w:p>
            <w:pPr>
              <w:spacing w:after="0"/>
              <w:rPr>
                <w:sz w:val="1"/>
                <w:szCs w:val="1"/>
                <w:color w:val="auto"/>
              </w:rPr>
            </w:pP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00105</w:t>
            </w: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8"/>
              </w:rPr>
              <w:t>will be located in the controlled nonclassified support areas at convenient</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4200" w:type="dxa"/>
            <w:vAlign w:val="bottom"/>
          </w:tcPr>
          <w:p>
            <w:pPr>
              <w:ind w:left="240"/>
              <w:spacing w:after="0" w:line="164" w:lineRule="exact"/>
              <w:rPr>
                <w:sz w:val="20"/>
                <w:szCs w:val="20"/>
                <w:color w:val="auto"/>
              </w:rPr>
            </w:pPr>
            <w:r>
              <w:rPr>
                <w:rFonts w:ascii="Arial" w:cs="Arial" w:eastAsia="Arial" w:hAnsi="Arial"/>
                <w:sz w:val="15"/>
                <w:szCs w:val="15"/>
                <w:color w:val="auto"/>
              </w:rPr>
              <w:t>locations.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00106</w:t>
            </w: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Each major system/equipment can be isolated from utilities without</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00" w:type="dxa"/>
            <w:vAlign w:val="bottom"/>
            <w:vMerge w:val="restart"/>
          </w:tcPr>
          <w:p>
            <w:pPr>
              <w:ind w:left="240"/>
              <w:spacing w:after="0"/>
              <w:rPr>
                <w:sz w:val="20"/>
                <w:szCs w:val="20"/>
                <w:color w:val="auto"/>
              </w:rPr>
            </w:pPr>
            <w:r>
              <w:rPr>
                <w:rFonts w:ascii="Arial" w:cs="Arial" w:eastAsia="Arial" w:hAnsi="Arial"/>
                <w:sz w:val="15"/>
                <w:szCs w:val="15"/>
                <w:color w:val="auto"/>
              </w:rPr>
              <w:t>affecting other systems/equipment.</w:t>
            </w: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4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00107</w:t>
            </w: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rPr>
              <w:t>Utilities to be isolated with safety shut-off valves for each floor.</w:t>
            </w:r>
          </w:p>
        </w:tc>
        <w:tc>
          <w:tcPr>
            <w:tcW w:w="0" w:type="dxa"/>
            <w:vAlign w:val="bottom"/>
          </w:tcPr>
          <w:p>
            <w:pPr>
              <w:spacing w:after="0"/>
              <w:rPr>
                <w:sz w:val="1"/>
                <w:szCs w:val="1"/>
                <w:color w:val="auto"/>
              </w:rPr>
            </w:pPr>
          </w:p>
        </w:tc>
      </w:tr>
      <w:tr>
        <w:trPr>
          <w:trHeight w:val="240"/>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00108</w:t>
            </w: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w w:val="96"/>
              </w:rPr>
              <w:t>Air break or back flow prevention is to be incorporated in all process waste</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0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lines.</w:t>
            </w: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00109</w:t>
            </w: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7"/>
              </w:rPr>
              <w:t>Standby generator (backup) power shall be available. Exact equipment on</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0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generator power to be described in equipment list.</w:t>
            </w: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On a loss of primary electrical power, power must be maintained to all</w:t>
            </w: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00110</w:t>
            </w: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equipment in the drug product processing rooms. If feasible, backup</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5040" w:type="dxa"/>
            <w:vAlign w:val="bottom"/>
            <w:gridSpan w:val="2"/>
            <w:vMerge w:val="restart"/>
          </w:tcPr>
          <w:p>
            <w:pPr>
              <w:ind w:left="240"/>
              <w:spacing w:after="0" w:line="164" w:lineRule="exact"/>
              <w:rPr>
                <w:sz w:val="20"/>
                <w:szCs w:val="20"/>
                <w:color w:val="auto"/>
              </w:rPr>
            </w:pPr>
            <w:r>
              <w:rPr>
                <w:rFonts w:ascii="Arial" w:cs="Arial" w:eastAsia="Arial" w:hAnsi="Arial"/>
                <w:sz w:val="15"/>
                <w:szCs w:val="15"/>
                <w:color w:val="auto"/>
              </w:rPr>
              <w:t>power will also be provided to equipment in drug substance processing</w:t>
            </w: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5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4200" w:type="dxa"/>
            <w:vAlign w:val="bottom"/>
          </w:tcPr>
          <w:p>
            <w:pPr>
              <w:ind w:left="240"/>
              <w:spacing w:after="0" w:line="164" w:lineRule="exact"/>
              <w:rPr>
                <w:sz w:val="20"/>
                <w:szCs w:val="20"/>
                <w:color w:val="auto"/>
              </w:rPr>
            </w:pPr>
            <w:r>
              <w:rPr>
                <w:rFonts w:ascii="Arial" w:cs="Arial" w:eastAsia="Arial" w:hAnsi="Arial"/>
                <w:sz w:val="15"/>
                <w:szCs w:val="15"/>
                <w:color w:val="auto"/>
              </w:rPr>
              <w:t>rooms.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9"/>
              </w:rPr>
              <w:t>On loss of primary electrical power, the environment must be maintained</w:t>
            </w:r>
          </w:p>
        </w:tc>
        <w:tc>
          <w:tcPr>
            <w:tcW w:w="0" w:type="dxa"/>
            <w:vAlign w:val="bottom"/>
          </w:tcPr>
          <w:p>
            <w:pPr>
              <w:spacing w:after="0"/>
              <w:rPr>
                <w:sz w:val="1"/>
                <w:szCs w:val="1"/>
                <w:color w:val="auto"/>
              </w:rPr>
            </w:pP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00111</w:t>
            </w:r>
          </w:p>
        </w:tc>
        <w:tc>
          <w:tcPr>
            <w:tcW w:w="504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throughout the manufacturing area, including differential pressures</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4200" w:type="dxa"/>
            <w:vAlign w:val="bottom"/>
          </w:tcPr>
          <w:p>
            <w:pPr>
              <w:ind w:left="240"/>
              <w:spacing w:after="0" w:line="164" w:lineRule="exact"/>
              <w:rPr>
                <w:sz w:val="20"/>
                <w:szCs w:val="20"/>
                <w:color w:val="auto"/>
              </w:rPr>
            </w:pPr>
            <w:r>
              <w:rPr>
                <w:rFonts w:ascii="Arial" w:cs="Arial" w:eastAsia="Arial" w:hAnsi="Arial"/>
                <w:sz w:val="15"/>
                <w:szCs w:val="15"/>
                <w:color w:val="auto"/>
                <w:w w:val="97"/>
              </w:rPr>
              <w:t>between rooms and temperature/humidity in classified areas.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64"/>
        </w:trPr>
        <w:tc>
          <w:tcPr>
            <w:tcW w:w="620" w:type="dxa"/>
            <w:vAlign w:val="bottom"/>
            <w:vMerge w:val="restart"/>
          </w:tcPr>
          <w:p>
            <w:pPr>
              <w:jc w:val="right"/>
              <w:ind w:right="127"/>
              <w:spacing w:after="0"/>
              <w:rPr>
                <w:sz w:val="20"/>
                <w:szCs w:val="20"/>
                <w:color w:val="auto"/>
              </w:rPr>
            </w:pPr>
            <w:r>
              <w:rPr>
                <w:rFonts w:ascii="Arial" w:cs="Arial" w:eastAsia="Arial" w:hAnsi="Arial"/>
                <w:sz w:val="15"/>
                <w:szCs w:val="15"/>
                <w:color w:val="auto"/>
                <w:w w:val="95"/>
              </w:rPr>
              <w:t>00112</w:t>
            </w:r>
          </w:p>
        </w:tc>
        <w:tc>
          <w:tcPr>
            <w:tcW w:w="4980" w:type="dxa"/>
            <w:vAlign w:val="bottom"/>
          </w:tcPr>
          <w:p>
            <w:pPr>
              <w:ind w:left="200"/>
              <w:spacing w:after="0" w:line="164" w:lineRule="exact"/>
              <w:rPr>
                <w:sz w:val="20"/>
                <w:szCs w:val="20"/>
                <w:color w:val="auto"/>
              </w:rPr>
            </w:pPr>
            <w:r>
              <w:rPr>
                <w:rFonts w:ascii="Arial" w:cs="Arial" w:eastAsia="Arial" w:hAnsi="Arial"/>
                <w:sz w:val="15"/>
                <w:szCs w:val="15"/>
                <w:color w:val="auto"/>
                <w:w w:val="96"/>
              </w:rPr>
              <w:t>Processing suite electrical supplies shall be as required per the equipment</w:t>
            </w:r>
          </w:p>
        </w:tc>
        <w:tc>
          <w:tcPr>
            <w:tcW w:w="0" w:type="dxa"/>
            <w:vAlign w:val="bottom"/>
          </w:tcPr>
          <w:p>
            <w:pPr>
              <w:spacing w:after="0"/>
              <w:rPr>
                <w:sz w:val="1"/>
                <w:szCs w:val="1"/>
                <w:color w:val="auto"/>
              </w:rPr>
            </w:pPr>
          </w:p>
        </w:tc>
      </w:tr>
      <w:tr>
        <w:trPr>
          <w:trHeight w:val="88"/>
        </w:trPr>
        <w:tc>
          <w:tcPr>
            <w:tcW w:w="620" w:type="dxa"/>
            <w:vAlign w:val="bottom"/>
            <w:vMerge w:val="continue"/>
          </w:tcPr>
          <w:p>
            <w:pPr>
              <w:spacing w:after="0"/>
              <w:rPr>
                <w:sz w:val="7"/>
                <w:szCs w:val="7"/>
                <w:color w:val="auto"/>
              </w:rPr>
            </w:pPr>
          </w:p>
        </w:tc>
        <w:tc>
          <w:tcPr>
            <w:tcW w:w="4980" w:type="dxa"/>
            <w:vAlign w:val="bottom"/>
            <w:vMerge w:val="restart"/>
          </w:tcPr>
          <w:p>
            <w:pPr>
              <w:ind w:left="200"/>
              <w:spacing w:after="0"/>
              <w:rPr>
                <w:sz w:val="20"/>
                <w:szCs w:val="20"/>
                <w:color w:val="auto"/>
              </w:rPr>
            </w:pPr>
            <w:r>
              <w:rPr>
                <w:rFonts w:ascii="Arial" w:cs="Arial" w:eastAsia="Arial" w:hAnsi="Arial"/>
                <w:sz w:val="15"/>
                <w:szCs w:val="15"/>
                <w:color w:val="auto"/>
              </w:rPr>
              <w:t>list.</w:t>
            </w:r>
          </w:p>
        </w:tc>
        <w:tc>
          <w:tcPr>
            <w:tcW w:w="0" w:type="dxa"/>
            <w:vAlign w:val="bottom"/>
          </w:tcPr>
          <w:p>
            <w:pPr>
              <w:spacing w:after="0"/>
              <w:rPr>
                <w:sz w:val="1"/>
                <w:szCs w:val="1"/>
                <w:color w:val="auto"/>
              </w:rPr>
            </w:pPr>
          </w:p>
        </w:tc>
      </w:tr>
      <w:tr>
        <w:trPr>
          <w:trHeight w:val="88"/>
        </w:trPr>
        <w:tc>
          <w:tcPr>
            <w:tcW w:w="620" w:type="dxa"/>
            <w:vAlign w:val="bottom"/>
          </w:tcPr>
          <w:p>
            <w:pPr>
              <w:spacing w:after="0"/>
              <w:rPr>
                <w:sz w:val="7"/>
                <w:szCs w:val="7"/>
                <w:color w:val="auto"/>
              </w:rPr>
            </w:pPr>
          </w:p>
        </w:tc>
        <w:tc>
          <w:tcPr>
            <w:tcW w:w="4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1"/>
        </w:trPr>
        <w:tc>
          <w:tcPr>
            <w:tcW w:w="620" w:type="dxa"/>
            <w:vAlign w:val="bottom"/>
          </w:tcPr>
          <w:p>
            <w:pPr>
              <w:spacing w:after="0"/>
              <w:rPr>
                <w:sz w:val="24"/>
                <w:szCs w:val="24"/>
                <w:color w:val="auto"/>
              </w:rPr>
            </w:pPr>
          </w:p>
        </w:tc>
        <w:tc>
          <w:tcPr>
            <w:tcW w:w="4980" w:type="dxa"/>
            <w:vAlign w:val="bottom"/>
          </w:tcPr>
          <w:p>
            <w:pPr>
              <w:ind w:left="300"/>
              <w:spacing w:after="0"/>
              <w:rPr>
                <w:sz w:val="20"/>
                <w:szCs w:val="20"/>
                <w:color w:val="auto"/>
              </w:rPr>
            </w:pPr>
            <w:r>
              <w:rPr>
                <w:rFonts w:ascii="Arial" w:cs="Arial" w:eastAsia="Arial" w:hAnsi="Arial"/>
                <w:sz w:val="15"/>
                <w:szCs w:val="15"/>
                <w:color w:val="auto"/>
              </w:rPr>
              <w:t>Page 7 of 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174625</wp:posOffset>
            </wp:positionV>
            <wp:extent cx="731202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ectPr>
          <w:pgSz w:w="11900" w:h="16838" w:orient="portrait"/>
          <w:cols w:equalWidth="0" w:num="4">
            <w:col w:w="1980" w:space="720"/>
            <w:col w:w="640" w:space="700"/>
            <w:col w:w="6020" w:space="720"/>
            <w:col w:w="200"/>
          </w:cols>
          <w:pgMar w:left="220" w:top="114" w:right="69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1220" w:type="dxa"/>
            <w:vAlign w:val="bottom"/>
          </w:tcPr>
          <w:p>
            <w:pPr>
              <w:jc w:val="center"/>
              <w:ind w:right="707"/>
              <w:spacing w:after="0"/>
              <w:rPr>
                <w:sz w:val="20"/>
                <w:szCs w:val="20"/>
                <w:color w:val="auto"/>
              </w:rPr>
            </w:pPr>
            <w:r>
              <w:rPr>
                <w:rFonts w:ascii="Arial" w:cs="Arial" w:eastAsia="Arial" w:hAnsi="Arial"/>
                <w:sz w:val="15"/>
                <w:szCs w:val="15"/>
                <w:b w:val="1"/>
                <w:bCs w:val="1"/>
                <w:color w:val="auto"/>
                <w:w w:val="95"/>
              </w:rPr>
              <w:t>Area</w:t>
            </w:r>
          </w:p>
        </w:tc>
        <w:tc>
          <w:tcPr>
            <w:tcW w:w="1420" w:type="dxa"/>
            <w:vAlign w:val="bottom"/>
          </w:tcPr>
          <w:p>
            <w:pPr>
              <w:ind w:left="780"/>
              <w:spacing w:after="0"/>
              <w:rPr>
                <w:sz w:val="20"/>
                <w:szCs w:val="20"/>
                <w:color w:val="auto"/>
              </w:rPr>
            </w:pPr>
            <w:r>
              <w:rPr>
                <w:rFonts w:ascii="Arial" w:cs="Arial" w:eastAsia="Arial" w:hAnsi="Arial"/>
                <w:sz w:val="15"/>
                <w:szCs w:val="15"/>
                <w:b w:val="1"/>
                <w:bCs w:val="1"/>
                <w:color w:val="auto"/>
              </w:rPr>
              <w:t>Section</w:t>
            </w:r>
          </w:p>
        </w:tc>
        <w:tc>
          <w:tcPr>
            <w:tcW w:w="0" w:type="dxa"/>
            <w:vAlign w:val="bottom"/>
          </w:tcPr>
          <w:p>
            <w:pPr>
              <w:spacing w:after="0"/>
              <w:rPr>
                <w:sz w:val="1"/>
                <w:szCs w:val="1"/>
                <w:color w:val="auto"/>
              </w:rPr>
            </w:pPr>
          </w:p>
        </w:tc>
      </w:tr>
      <w:tr>
        <w:trPr>
          <w:trHeight w:val="176"/>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8"/>
              </w:rPr>
              <w:t>Electrical</w:t>
            </w:r>
          </w:p>
        </w:tc>
        <w:tc>
          <w:tcPr>
            <w:tcW w:w="0" w:type="dxa"/>
            <w:vAlign w:val="bottom"/>
          </w:tcPr>
          <w:p>
            <w:pPr>
              <w:spacing w:after="0"/>
              <w:rPr>
                <w:sz w:val="1"/>
                <w:szCs w:val="1"/>
                <w:color w:val="auto"/>
              </w:rPr>
            </w:pPr>
          </w:p>
        </w:tc>
      </w:tr>
      <w:tr>
        <w:trPr>
          <w:trHeight w:val="197"/>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263"/>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263"/>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427"/>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427"/>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197"/>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197"/>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263"/>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416"/>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405"/>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328"/>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263"/>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263"/>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328"/>
        </w:trPr>
        <w:tc>
          <w:tcPr>
            <w:tcW w:w="1220" w:type="dxa"/>
            <w:vAlign w:val="bottom"/>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5"/>
              </w:rPr>
              <w:t>HVAC</w:t>
            </w:r>
          </w:p>
        </w:tc>
        <w:tc>
          <w:tcPr>
            <w:tcW w:w="0" w:type="dxa"/>
            <w:vAlign w:val="bottom"/>
          </w:tcPr>
          <w:p>
            <w:pPr>
              <w:spacing w:after="0"/>
              <w:rPr>
                <w:sz w:val="1"/>
                <w:szCs w:val="1"/>
                <w:color w:val="auto"/>
              </w:rPr>
            </w:pPr>
          </w:p>
        </w:tc>
      </w:tr>
      <w:tr>
        <w:trPr>
          <w:trHeight w:val="240"/>
        </w:trPr>
        <w:tc>
          <w:tcPr>
            <w:tcW w:w="1220" w:type="dxa"/>
            <w:vAlign w:val="bottom"/>
            <w:vMerge w:val="restart"/>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7"/>
              </w:rPr>
              <w:t>Liquids &amp;</w:t>
            </w:r>
          </w:p>
        </w:tc>
        <w:tc>
          <w:tcPr>
            <w:tcW w:w="0" w:type="dxa"/>
            <w:vAlign w:val="bottom"/>
          </w:tcPr>
          <w:p>
            <w:pPr>
              <w:spacing w:after="0"/>
              <w:rPr>
                <w:sz w:val="1"/>
                <w:szCs w:val="1"/>
                <w:color w:val="auto"/>
              </w:rPr>
            </w:pPr>
          </w:p>
        </w:tc>
      </w:tr>
      <w:tr>
        <w:trPr>
          <w:trHeight w:val="88"/>
        </w:trPr>
        <w:tc>
          <w:tcPr>
            <w:tcW w:w="1220" w:type="dxa"/>
            <w:vAlign w:val="bottom"/>
            <w:vMerge w:val="continue"/>
          </w:tcPr>
          <w:p>
            <w:pPr>
              <w:spacing w:after="0"/>
              <w:rPr>
                <w:sz w:val="7"/>
                <w:szCs w:val="7"/>
                <w:color w:val="auto"/>
              </w:rPr>
            </w:pPr>
          </w:p>
        </w:tc>
        <w:tc>
          <w:tcPr>
            <w:tcW w:w="1420" w:type="dxa"/>
            <w:vAlign w:val="bottom"/>
            <w:vMerge w:val="restart"/>
          </w:tcPr>
          <w:p>
            <w:pPr>
              <w:jc w:val="center"/>
              <w:ind w:left="727"/>
              <w:spacing w:after="0" w:line="164" w:lineRule="exact"/>
              <w:rPr>
                <w:sz w:val="20"/>
                <w:szCs w:val="20"/>
                <w:color w:val="auto"/>
              </w:rPr>
            </w:pPr>
            <w:r>
              <w:rPr>
                <w:rFonts w:ascii="Arial" w:cs="Arial" w:eastAsia="Arial" w:hAnsi="Arial"/>
                <w:sz w:val="15"/>
                <w:szCs w:val="15"/>
                <w:color w:val="auto"/>
                <w:w w:val="96"/>
              </w:rPr>
              <w:t>Gases</w:t>
            </w:r>
          </w:p>
        </w:tc>
        <w:tc>
          <w:tcPr>
            <w:tcW w:w="0" w:type="dxa"/>
            <w:vAlign w:val="bottom"/>
          </w:tcPr>
          <w:p>
            <w:pPr>
              <w:spacing w:after="0"/>
              <w:rPr>
                <w:sz w:val="1"/>
                <w:szCs w:val="1"/>
                <w:color w:val="auto"/>
              </w:rPr>
            </w:pPr>
          </w:p>
        </w:tc>
      </w:tr>
      <w:tr>
        <w:trPr>
          <w:trHeight w:val="76"/>
        </w:trPr>
        <w:tc>
          <w:tcPr>
            <w:tcW w:w="1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line="164" w:lineRule="exact"/>
              <w:rPr>
                <w:sz w:val="20"/>
                <w:szCs w:val="20"/>
                <w:color w:val="auto"/>
              </w:rPr>
            </w:pPr>
            <w:r>
              <w:rPr>
                <w:rFonts w:ascii="Arial" w:cs="Arial" w:eastAsia="Arial" w:hAnsi="Arial"/>
                <w:sz w:val="15"/>
                <w:szCs w:val="15"/>
                <w:color w:val="auto"/>
                <w:w w:val="97"/>
              </w:rPr>
              <w:t>Liquids &amp;</w:t>
            </w:r>
          </w:p>
        </w:tc>
        <w:tc>
          <w:tcPr>
            <w:tcW w:w="0" w:type="dxa"/>
            <w:vAlign w:val="bottom"/>
          </w:tcPr>
          <w:p>
            <w:pPr>
              <w:spacing w:after="0"/>
              <w:rPr>
                <w:sz w:val="1"/>
                <w:szCs w:val="1"/>
                <w:color w:val="auto"/>
              </w:rPr>
            </w:pPr>
          </w:p>
        </w:tc>
      </w:tr>
      <w:tr>
        <w:trPr>
          <w:trHeight w:val="88"/>
        </w:trPr>
        <w:tc>
          <w:tcPr>
            <w:tcW w:w="1220" w:type="dxa"/>
            <w:vAlign w:val="bottom"/>
            <w:vMerge w:val="continue"/>
          </w:tcPr>
          <w:p>
            <w:pPr>
              <w:spacing w:after="0"/>
              <w:rPr>
                <w:sz w:val="7"/>
                <w:szCs w:val="7"/>
                <w:color w:val="auto"/>
              </w:rPr>
            </w:pPr>
          </w:p>
        </w:tc>
        <w:tc>
          <w:tcPr>
            <w:tcW w:w="1420" w:type="dxa"/>
            <w:vAlign w:val="bottom"/>
            <w:vMerge w:val="restart"/>
          </w:tcPr>
          <w:p>
            <w:pPr>
              <w:jc w:val="center"/>
              <w:ind w:left="727"/>
              <w:spacing w:after="0"/>
              <w:rPr>
                <w:sz w:val="20"/>
                <w:szCs w:val="20"/>
                <w:color w:val="auto"/>
              </w:rPr>
            </w:pPr>
            <w:r>
              <w:rPr>
                <w:rFonts w:ascii="Arial" w:cs="Arial" w:eastAsia="Arial" w:hAnsi="Arial"/>
                <w:sz w:val="15"/>
                <w:szCs w:val="15"/>
                <w:color w:val="auto"/>
                <w:w w:val="96"/>
              </w:rPr>
              <w:t>Gases</w:t>
            </w: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220" w:type="dxa"/>
            <w:vAlign w:val="bottom"/>
            <w:vMerge w:val="restart"/>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7"/>
              </w:rPr>
              <w:t>Liquids &amp;</w:t>
            </w:r>
          </w:p>
        </w:tc>
        <w:tc>
          <w:tcPr>
            <w:tcW w:w="0" w:type="dxa"/>
            <w:vAlign w:val="bottom"/>
          </w:tcPr>
          <w:p>
            <w:pPr>
              <w:spacing w:after="0"/>
              <w:rPr>
                <w:sz w:val="1"/>
                <w:szCs w:val="1"/>
                <w:color w:val="auto"/>
              </w:rPr>
            </w:pPr>
          </w:p>
        </w:tc>
      </w:tr>
      <w:tr>
        <w:trPr>
          <w:trHeight w:val="99"/>
        </w:trPr>
        <w:tc>
          <w:tcPr>
            <w:tcW w:w="1220" w:type="dxa"/>
            <w:vAlign w:val="bottom"/>
            <w:vMerge w:val="continue"/>
          </w:tcPr>
          <w:p>
            <w:pPr>
              <w:spacing w:after="0"/>
              <w:rPr>
                <w:sz w:val="8"/>
                <w:szCs w:val="8"/>
                <w:color w:val="auto"/>
              </w:rPr>
            </w:pPr>
          </w:p>
        </w:tc>
        <w:tc>
          <w:tcPr>
            <w:tcW w:w="1420" w:type="dxa"/>
            <w:vAlign w:val="bottom"/>
            <w:vMerge w:val="restart"/>
          </w:tcPr>
          <w:p>
            <w:pPr>
              <w:jc w:val="center"/>
              <w:ind w:left="727"/>
              <w:spacing w:after="0"/>
              <w:rPr>
                <w:sz w:val="20"/>
                <w:szCs w:val="20"/>
                <w:color w:val="auto"/>
              </w:rPr>
            </w:pPr>
            <w:r>
              <w:rPr>
                <w:rFonts w:ascii="Arial" w:cs="Arial" w:eastAsia="Arial" w:hAnsi="Arial"/>
                <w:sz w:val="15"/>
                <w:szCs w:val="15"/>
                <w:color w:val="auto"/>
                <w:w w:val="96"/>
              </w:rPr>
              <w:t>Gases</w:t>
            </w: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220" w:type="dxa"/>
            <w:vAlign w:val="bottom"/>
            <w:vMerge w:val="restart"/>
          </w:tcPr>
          <w:p>
            <w:pPr>
              <w:jc w:val="center"/>
              <w:ind w:right="687"/>
              <w:spacing w:after="0"/>
              <w:rPr>
                <w:sz w:val="20"/>
                <w:szCs w:val="20"/>
                <w:color w:val="auto"/>
              </w:rPr>
            </w:pPr>
            <w:r>
              <w:rPr>
                <w:rFonts w:ascii="Arial" w:cs="Arial" w:eastAsia="Arial" w:hAnsi="Arial"/>
                <w:sz w:val="15"/>
                <w:szCs w:val="15"/>
                <w:color w:val="auto"/>
                <w:w w:val="95"/>
              </w:rPr>
              <w:t>Utilities</w:t>
            </w:r>
          </w:p>
        </w:tc>
        <w:tc>
          <w:tcPr>
            <w:tcW w:w="1420" w:type="dxa"/>
            <w:vAlign w:val="bottom"/>
          </w:tcPr>
          <w:p>
            <w:pPr>
              <w:jc w:val="center"/>
              <w:ind w:left="747"/>
              <w:spacing w:after="0"/>
              <w:rPr>
                <w:sz w:val="20"/>
                <w:szCs w:val="20"/>
                <w:color w:val="auto"/>
              </w:rPr>
            </w:pPr>
            <w:r>
              <w:rPr>
                <w:rFonts w:ascii="Arial" w:cs="Arial" w:eastAsia="Arial" w:hAnsi="Arial"/>
                <w:sz w:val="15"/>
                <w:szCs w:val="15"/>
                <w:color w:val="auto"/>
                <w:w w:val="97"/>
              </w:rPr>
              <w:t>Liquids &amp;</w:t>
            </w:r>
          </w:p>
        </w:tc>
        <w:tc>
          <w:tcPr>
            <w:tcW w:w="0" w:type="dxa"/>
            <w:vAlign w:val="bottom"/>
          </w:tcPr>
          <w:p>
            <w:pPr>
              <w:spacing w:after="0"/>
              <w:rPr>
                <w:sz w:val="1"/>
                <w:szCs w:val="1"/>
                <w:color w:val="auto"/>
              </w:rPr>
            </w:pPr>
          </w:p>
        </w:tc>
      </w:tr>
      <w:tr>
        <w:trPr>
          <w:trHeight w:val="88"/>
        </w:trPr>
        <w:tc>
          <w:tcPr>
            <w:tcW w:w="1220" w:type="dxa"/>
            <w:vAlign w:val="bottom"/>
            <w:vMerge w:val="continue"/>
          </w:tcPr>
          <w:p>
            <w:pPr>
              <w:spacing w:after="0"/>
              <w:rPr>
                <w:sz w:val="7"/>
                <w:szCs w:val="7"/>
                <w:color w:val="auto"/>
              </w:rPr>
            </w:pPr>
          </w:p>
        </w:tc>
        <w:tc>
          <w:tcPr>
            <w:tcW w:w="1420" w:type="dxa"/>
            <w:vAlign w:val="bottom"/>
            <w:vMerge w:val="restart"/>
          </w:tcPr>
          <w:p>
            <w:pPr>
              <w:jc w:val="center"/>
              <w:ind w:left="727"/>
              <w:spacing w:after="0"/>
              <w:rPr>
                <w:sz w:val="20"/>
                <w:szCs w:val="20"/>
                <w:color w:val="auto"/>
              </w:rPr>
            </w:pPr>
            <w:r>
              <w:rPr>
                <w:rFonts w:ascii="Arial" w:cs="Arial" w:eastAsia="Arial" w:hAnsi="Arial"/>
                <w:sz w:val="15"/>
                <w:szCs w:val="15"/>
                <w:color w:val="auto"/>
                <w:w w:val="96"/>
              </w:rPr>
              <w:t>Gases</w:t>
            </w: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Revision 1</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2640"/>
        <w:spacing w:after="0"/>
        <w:rPr>
          <w:sz w:val="20"/>
          <w:szCs w:val="20"/>
          <w:color w:val="auto"/>
        </w:rPr>
      </w:pPr>
      <w:r>
        <w:rPr>
          <w:rFonts w:ascii="Arial" w:cs="Arial" w:eastAsia="Arial" w:hAnsi="Arial"/>
          <w:sz w:val="18"/>
          <w:szCs w:val="18"/>
          <w:b w:val="1"/>
          <w:bCs w:val="1"/>
          <w:color w:val="050405"/>
        </w:rPr>
        <w:t>200 Sidney Street</w:t>
      </w:r>
    </w:p>
    <w:p>
      <w:pPr>
        <w:jc w:val="center"/>
        <w:ind w:right="2640"/>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2640"/>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600" w:type="dxa"/>
            <w:vAlign w:val="bottom"/>
          </w:tcPr>
          <w:p>
            <w:pPr>
              <w:jc w:val="right"/>
              <w:ind w:right="187"/>
              <w:spacing w:after="0"/>
              <w:rPr>
                <w:sz w:val="20"/>
                <w:szCs w:val="20"/>
                <w:color w:val="auto"/>
              </w:rPr>
            </w:pPr>
            <w:r>
              <w:rPr>
                <w:rFonts w:ascii="Arial" w:cs="Arial" w:eastAsia="Arial" w:hAnsi="Arial"/>
                <w:sz w:val="15"/>
                <w:szCs w:val="15"/>
                <w:b w:val="1"/>
                <w:bCs w:val="1"/>
                <w:color w:val="auto"/>
                <w:w w:val="93"/>
              </w:rPr>
              <w:t xml:space="preserve">UR </w:t>
            </w:r>
            <w:r>
              <w:rPr>
                <w:rFonts w:ascii="Arial" w:cs="Arial" w:eastAsia="Arial" w:hAnsi="Arial"/>
                <w:sz w:val="15"/>
                <w:szCs w:val="15"/>
                <w:color w:val="auto"/>
                <w:w w:val="93"/>
              </w:rPr>
              <w:t>#</w:t>
            </w:r>
          </w:p>
        </w:tc>
        <w:tc>
          <w:tcPr>
            <w:tcW w:w="4220" w:type="dxa"/>
            <w:vAlign w:val="bottom"/>
          </w:tcPr>
          <w:p>
            <w:pPr>
              <w:ind w:left="160"/>
              <w:spacing w:after="0"/>
              <w:rPr>
                <w:sz w:val="20"/>
                <w:szCs w:val="20"/>
                <w:color w:val="auto"/>
              </w:rPr>
            </w:pPr>
            <w:r>
              <w:rPr>
                <w:rFonts w:ascii="Arial" w:cs="Arial" w:eastAsia="Arial" w:hAnsi="Arial"/>
                <w:sz w:val="15"/>
                <w:szCs w:val="15"/>
                <w:b w:val="1"/>
                <w:bCs w:val="1"/>
                <w:color w:val="auto"/>
              </w:rPr>
              <w:t>Description</w:t>
            </w:r>
          </w:p>
        </w:tc>
        <w:tc>
          <w:tcPr>
            <w:tcW w:w="780" w:type="dxa"/>
            <w:vAlign w:val="bottom"/>
          </w:tcPr>
          <w:p>
            <w:pPr>
              <w:spacing w:after="0"/>
              <w:rPr>
                <w:sz w:val="20"/>
                <w:szCs w:val="20"/>
                <w:color w:val="auto"/>
              </w:rPr>
            </w:pPr>
            <w:r>
              <w:rPr>
                <w:rFonts w:ascii="Arial" w:cs="Arial" w:eastAsia="Arial" w:hAnsi="Arial"/>
                <w:sz w:val="15"/>
                <w:szCs w:val="15"/>
                <w:b w:val="1"/>
                <w:bCs w:val="1"/>
                <w:color w:val="auto"/>
              </w:rPr>
              <w:t>Category</w:t>
            </w:r>
          </w:p>
        </w:tc>
        <w:tc>
          <w:tcPr>
            <w:tcW w:w="0" w:type="dxa"/>
            <w:vAlign w:val="bottom"/>
          </w:tcPr>
          <w:p>
            <w:pPr>
              <w:spacing w:after="0"/>
              <w:rPr>
                <w:sz w:val="1"/>
                <w:szCs w:val="1"/>
                <w:color w:val="auto"/>
              </w:rPr>
            </w:pPr>
          </w:p>
        </w:tc>
      </w:tr>
      <w:tr>
        <w:trPr>
          <w:trHeight w:val="176"/>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00113</w:t>
            </w:r>
          </w:p>
        </w:tc>
        <w:tc>
          <w:tcPr>
            <w:tcW w:w="4220" w:type="dxa"/>
            <w:vAlign w:val="bottom"/>
          </w:tcPr>
          <w:p>
            <w:pPr>
              <w:ind w:left="240"/>
              <w:spacing w:after="0"/>
              <w:rPr>
                <w:sz w:val="20"/>
                <w:szCs w:val="20"/>
                <w:color w:val="auto"/>
              </w:rPr>
            </w:pPr>
            <w:r>
              <w:rPr>
                <w:rFonts w:ascii="Arial" w:cs="Arial" w:eastAsia="Arial" w:hAnsi="Arial"/>
                <w:sz w:val="15"/>
                <w:szCs w:val="15"/>
                <w:color w:val="auto"/>
              </w:rPr>
              <w:t>24 hour fuel oil supply for standby generator</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00114</w:t>
            </w:r>
          </w:p>
        </w:tc>
        <w:tc>
          <w:tcPr>
            <w:tcW w:w="4220" w:type="dxa"/>
            <w:vAlign w:val="bottom"/>
          </w:tcPr>
          <w:p>
            <w:pPr>
              <w:ind w:left="240"/>
              <w:spacing w:after="0"/>
              <w:rPr>
                <w:sz w:val="20"/>
                <w:szCs w:val="20"/>
                <w:color w:val="auto"/>
              </w:rPr>
            </w:pPr>
            <w:r>
              <w:rPr>
                <w:rFonts w:ascii="Arial" w:cs="Arial" w:eastAsia="Arial" w:hAnsi="Arial"/>
                <w:sz w:val="15"/>
                <w:szCs w:val="15"/>
                <w:color w:val="auto"/>
              </w:rPr>
              <w:t>Processing suite temperatures maintained 20C +/-1.5C</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00115</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Processing support areas (gowning, airlocks, etc.) temperatures</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rPr>
                <w:sz w:val="20"/>
                <w:szCs w:val="20"/>
                <w:color w:val="auto"/>
              </w:rPr>
            </w:pPr>
            <w:r>
              <w:rPr>
                <w:rFonts w:ascii="Arial" w:cs="Arial" w:eastAsia="Arial" w:hAnsi="Arial"/>
                <w:sz w:val="15"/>
                <w:szCs w:val="15"/>
                <w:color w:val="auto"/>
              </w:rPr>
              <w:t>maintained 20C +/-2C</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0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00116</w:t>
            </w:r>
          </w:p>
        </w:tc>
        <w:tc>
          <w:tcPr>
            <w:tcW w:w="4220" w:type="dxa"/>
            <w:vAlign w:val="bottom"/>
          </w:tcPr>
          <w:p>
            <w:pPr>
              <w:ind w:left="240"/>
              <w:spacing w:after="0"/>
              <w:rPr>
                <w:sz w:val="20"/>
                <w:szCs w:val="20"/>
                <w:color w:val="auto"/>
              </w:rPr>
            </w:pPr>
            <w:r>
              <w:rPr>
                <w:rFonts w:ascii="Arial" w:cs="Arial" w:eastAsia="Arial" w:hAnsi="Arial"/>
                <w:sz w:val="15"/>
                <w:szCs w:val="15"/>
                <w:color w:val="auto"/>
                <w:w w:val="96"/>
              </w:rPr>
              <w:t>Processing suite relative humidity will be controlled to 30-70%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0" w:type="dxa"/>
            <w:vAlign w:val="bottom"/>
          </w:tcPr>
          <w:p>
            <w:pPr>
              <w:spacing w:after="0"/>
              <w:rPr>
                <w:sz w:val="15"/>
                <w:szCs w:val="15"/>
                <w:color w:val="auto"/>
              </w:rPr>
            </w:pP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w w:val="97"/>
              </w:rPr>
              <w:t>The room containing the encapsulation isolator will have relative humidity</w:t>
            </w: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00117</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6"/>
              </w:rPr>
              <w:t>controlled to +/-10% from a user-selectable setpoint. The setpoint shall be</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5000" w:type="dxa"/>
            <w:vAlign w:val="bottom"/>
            <w:gridSpan w:val="2"/>
            <w:vMerge w:val="restart"/>
          </w:tcPr>
          <w:p>
            <w:pPr>
              <w:ind w:left="240"/>
              <w:spacing w:after="0" w:line="164" w:lineRule="exact"/>
              <w:rPr>
                <w:sz w:val="20"/>
                <w:szCs w:val="20"/>
                <w:color w:val="auto"/>
              </w:rPr>
            </w:pPr>
            <w:r>
              <w:rPr>
                <w:rFonts w:ascii="Arial" w:cs="Arial" w:eastAsia="Arial" w:hAnsi="Arial"/>
                <w:sz w:val="15"/>
                <w:szCs w:val="15"/>
                <w:color w:val="auto"/>
              </w:rPr>
              <w:t>selectable from 30% to 60%. Access to change the setpoint will be</w:t>
            </w: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5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4220" w:type="dxa"/>
            <w:vAlign w:val="bottom"/>
          </w:tcPr>
          <w:p>
            <w:pPr>
              <w:ind w:left="240"/>
              <w:spacing w:after="0"/>
              <w:rPr>
                <w:sz w:val="20"/>
                <w:szCs w:val="20"/>
                <w:color w:val="auto"/>
              </w:rPr>
            </w:pPr>
            <w:r>
              <w:rPr>
                <w:rFonts w:ascii="Arial" w:cs="Arial" w:eastAsia="Arial" w:hAnsi="Arial"/>
                <w:sz w:val="15"/>
                <w:szCs w:val="15"/>
                <w:color w:val="auto"/>
              </w:rPr>
              <w:t>controlled.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00118</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Classified areas will have a minimum of 6 outside air changes per hour.</w:t>
            </w:r>
          </w:p>
        </w:tc>
        <w:tc>
          <w:tcPr>
            <w:tcW w:w="0" w:type="dxa"/>
            <w:vAlign w:val="bottom"/>
          </w:tcPr>
          <w:p>
            <w:pPr>
              <w:spacing w:after="0"/>
              <w:rPr>
                <w:sz w:val="1"/>
                <w:szCs w:val="1"/>
                <w:color w:val="auto"/>
              </w:rPr>
            </w:pPr>
          </w:p>
        </w:tc>
      </w:tr>
      <w:tr>
        <w:trPr>
          <w:trHeight w:val="197"/>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00119</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Grade C areas will have a minimum of 45 air changes per hour (mixed)</w:t>
            </w:r>
          </w:p>
        </w:tc>
        <w:tc>
          <w:tcPr>
            <w:tcW w:w="0" w:type="dxa"/>
            <w:vAlign w:val="bottom"/>
          </w:tcPr>
          <w:p>
            <w:pPr>
              <w:spacing w:after="0"/>
              <w:rPr>
                <w:sz w:val="1"/>
                <w:szCs w:val="1"/>
                <w:color w:val="auto"/>
              </w:rPr>
            </w:pPr>
          </w:p>
        </w:tc>
      </w:tr>
      <w:tr>
        <w:trPr>
          <w:trHeight w:val="197"/>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00120</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Grade D areas will have a minimum of 20 air changes per hour (mixed)</w:t>
            </w:r>
          </w:p>
        </w:tc>
        <w:tc>
          <w:tcPr>
            <w:tcW w:w="0" w:type="dxa"/>
            <w:vAlign w:val="bottom"/>
          </w:tcPr>
          <w:p>
            <w:pPr>
              <w:spacing w:after="0"/>
              <w:rPr>
                <w:sz w:val="1"/>
                <w:szCs w:val="1"/>
                <w:color w:val="auto"/>
              </w:rPr>
            </w:pPr>
          </w:p>
        </w:tc>
      </w:tr>
      <w:tr>
        <w:trPr>
          <w:trHeight w:val="17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00121</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Air filtration in classified and controlled nonclassified areas provided by</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room side replaceable terminal HEPA filters with test ports.</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7"/>
              </w:rPr>
              <w:t>Balancing dampers will be used to provide differential pressure control for</w:t>
            </w:r>
          </w:p>
        </w:tc>
        <w:tc>
          <w:tcPr>
            <w:tcW w:w="0" w:type="dxa"/>
            <w:vAlign w:val="bottom"/>
          </w:tcPr>
          <w:p>
            <w:pPr>
              <w:spacing w:after="0"/>
              <w:rPr>
                <w:sz w:val="1"/>
                <w:szCs w:val="1"/>
                <w:color w:val="auto"/>
              </w:rPr>
            </w:pP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00122</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7"/>
              </w:rPr>
              <w:t>balancing. Remote actuators will be used for any dampers not accessible</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4220" w:type="dxa"/>
            <w:vAlign w:val="bottom"/>
          </w:tcPr>
          <w:p>
            <w:pPr>
              <w:ind w:left="240"/>
              <w:spacing w:after="0" w:line="164" w:lineRule="exact"/>
              <w:rPr>
                <w:sz w:val="20"/>
                <w:szCs w:val="20"/>
                <w:color w:val="auto"/>
              </w:rPr>
            </w:pPr>
            <w:r>
              <w:rPr>
                <w:rFonts w:ascii="Arial" w:cs="Arial" w:eastAsia="Arial" w:hAnsi="Arial"/>
                <w:sz w:val="15"/>
                <w:szCs w:val="15"/>
                <w:color w:val="auto"/>
              </w:rPr>
              <w:t>by normal means.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00123</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Processing suites will contain separate airlocks for personnel entrance,</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personnel exit, material entrance, and material exit.</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00124</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8"/>
              </w:rPr>
              <w:t>Processing suites will act as their own sinks, with spores to be contained</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rPr>
                <w:sz w:val="20"/>
                <w:szCs w:val="20"/>
                <w:color w:val="auto"/>
              </w:rPr>
            </w:pPr>
            <w:r>
              <w:rPr>
                <w:rFonts w:ascii="Arial" w:cs="Arial" w:eastAsia="Arial" w:hAnsi="Arial"/>
                <w:sz w:val="15"/>
                <w:szCs w:val="15"/>
                <w:color w:val="auto"/>
              </w:rPr>
              <w:t>in suites to the maximum extent feasible</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0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00" w:type="dxa"/>
            <w:vAlign w:val="bottom"/>
          </w:tcPr>
          <w:p>
            <w:pPr>
              <w:jc w:val="right"/>
              <w:ind w:right="87"/>
              <w:spacing w:after="0"/>
              <w:rPr>
                <w:sz w:val="20"/>
                <w:szCs w:val="20"/>
                <w:color w:val="auto"/>
              </w:rPr>
            </w:pPr>
            <w:r>
              <w:rPr>
                <w:rFonts w:ascii="Arial" w:cs="Arial" w:eastAsia="Arial" w:hAnsi="Arial"/>
                <w:sz w:val="15"/>
                <w:szCs w:val="15"/>
                <w:color w:val="auto"/>
              </w:rPr>
              <w:t>00125</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Winter Outdoor Temperature Design Criteria: Minus 18C dry bulb</w:t>
            </w:r>
          </w:p>
        </w:tc>
        <w:tc>
          <w:tcPr>
            <w:tcW w:w="0" w:type="dxa"/>
            <w:vAlign w:val="bottom"/>
          </w:tcPr>
          <w:p>
            <w:pPr>
              <w:spacing w:after="0"/>
              <w:rPr>
                <w:sz w:val="1"/>
                <w:szCs w:val="1"/>
                <w:color w:val="auto"/>
              </w:rPr>
            </w:pPr>
          </w:p>
        </w:tc>
      </w:tr>
      <w:tr>
        <w:trPr>
          <w:trHeight w:val="17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00126</w:t>
            </w:r>
          </w:p>
        </w:tc>
        <w:tc>
          <w:tcPr>
            <w:tcW w:w="5000" w:type="dxa"/>
            <w:vAlign w:val="bottom"/>
            <w:gridSpan w:val="2"/>
          </w:tcPr>
          <w:p>
            <w:pPr>
              <w:ind w:left="240"/>
              <w:spacing w:after="0"/>
              <w:rPr>
                <w:sz w:val="20"/>
                <w:szCs w:val="20"/>
                <w:color w:val="auto"/>
              </w:rPr>
            </w:pPr>
            <w:r>
              <w:rPr>
                <w:rFonts w:ascii="Arial" w:cs="Arial" w:eastAsia="Arial" w:hAnsi="Arial"/>
                <w:sz w:val="15"/>
                <w:szCs w:val="15"/>
                <w:color w:val="auto"/>
              </w:rPr>
              <w:t>Summer Outdoor Temperature Design Criteria: 33C dry bulb, 24C wet</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bulb</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00127</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7"/>
              </w:rPr>
              <w:t>HVAC system design considers VHP containment and exhaust. Pressure</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5000" w:type="dxa"/>
            <w:vAlign w:val="bottom"/>
            <w:gridSpan w:val="2"/>
            <w:vMerge w:val="restart"/>
          </w:tcPr>
          <w:p>
            <w:pPr>
              <w:ind w:left="240"/>
              <w:spacing w:after="0" w:line="164" w:lineRule="exact"/>
              <w:rPr>
                <w:sz w:val="20"/>
                <w:szCs w:val="20"/>
                <w:color w:val="auto"/>
              </w:rPr>
            </w:pPr>
            <w:r>
              <w:rPr>
                <w:rFonts w:ascii="Arial" w:cs="Arial" w:eastAsia="Arial" w:hAnsi="Arial"/>
                <w:sz w:val="15"/>
                <w:szCs w:val="15"/>
                <w:color w:val="auto"/>
                <w:w w:val="98"/>
              </w:rPr>
              <w:t>differentials are maintained during VHP to the maximum extent possible.</w:t>
            </w: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5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00128</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 xml:space="preserve">One nitrogen drop of product contact quality will be </w:t>
            </w:r>
            <w:r>
              <w:rPr>
                <w:rFonts w:ascii="Arial" w:cs="Arial" w:eastAsia="Arial" w:hAnsi="Arial"/>
                <w:sz w:val="15"/>
                <w:szCs w:val="15"/>
                <w:color w:val="151517"/>
              </w:rPr>
              <w:t>provided</w:t>
            </w:r>
            <w:r>
              <w:rPr>
                <w:rFonts w:ascii="Arial" w:cs="Arial" w:eastAsia="Arial" w:hAnsi="Arial"/>
                <w:sz w:val="15"/>
                <w:szCs w:val="15"/>
                <w:color w:val="auto"/>
              </w:rPr>
              <w:t xml:space="preserve"> in each</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processing suite, supplied from bottled gas.</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vMerge w:val="restart"/>
          </w:tcPr>
          <w:p>
            <w:pPr>
              <w:jc w:val="right"/>
              <w:ind w:right="87"/>
              <w:spacing w:after="0"/>
              <w:rPr>
                <w:sz w:val="20"/>
                <w:szCs w:val="20"/>
                <w:color w:val="auto"/>
              </w:rPr>
            </w:pPr>
            <w:r>
              <w:rPr>
                <w:rFonts w:ascii="Arial" w:cs="Arial" w:eastAsia="Arial" w:hAnsi="Arial"/>
                <w:sz w:val="15"/>
                <w:szCs w:val="15"/>
                <w:color w:val="auto"/>
              </w:rPr>
              <w:t>00129</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7"/>
              </w:rPr>
              <w:t>One house vacuum drop will be provided in each processing suite, and in</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4220" w:type="dxa"/>
            <w:vAlign w:val="bottom"/>
            <w:vMerge w:val="restart"/>
          </w:tcPr>
          <w:p>
            <w:pPr>
              <w:ind w:left="240"/>
              <w:spacing w:after="0" w:line="164" w:lineRule="exact"/>
              <w:rPr>
                <w:sz w:val="20"/>
                <w:szCs w:val="20"/>
                <w:color w:val="auto"/>
              </w:rPr>
            </w:pPr>
            <w:r>
              <w:rPr>
                <w:rFonts w:ascii="Arial" w:cs="Arial" w:eastAsia="Arial" w:hAnsi="Arial"/>
                <w:sz w:val="15"/>
                <w:szCs w:val="15"/>
                <w:color w:val="auto"/>
              </w:rPr>
              <w:t>the room where the capsule filling machine is located.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VHP distribution points will be located to provide for decontamination of</w:t>
            </w:r>
          </w:p>
        </w:tc>
        <w:tc>
          <w:tcPr>
            <w:tcW w:w="0" w:type="dxa"/>
            <w:vAlign w:val="bottom"/>
          </w:tcPr>
          <w:p>
            <w:pPr>
              <w:spacing w:after="0"/>
              <w:rPr>
                <w:sz w:val="1"/>
                <w:szCs w:val="1"/>
                <w:color w:val="auto"/>
              </w:rPr>
            </w:pP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00130</w:t>
            </w:r>
          </w:p>
        </w:tc>
        <w:tc>
          <w:tcPr>
            <w:tcW w:w="50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the suites and associated areas, such as air locks. One suite and</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4220" w:type="dxa"/>
            <w:vAlign w:val="bottom"/>
          </w:tcPr>
          <w:p>
            <w:pPr>
              <w:ind w:left="240"/>
              <w:spacing w:after="0" w:line="164" w:lineRule="exact"/>
              <w:rPr>
                <w:sz w:val="20"/>
                <w:szCs w:val="20"/>
                <w:color w:val="auto"/>
              </w:rPr>
            </w:pPr>
            <w:r>
              <w:rPr>
                <w:rFonts w:ascii="Arial" w:cs="Arial" w:eastAsia="Arial" w:hAnsi="Arial"/>
                <w:sz w:val="15"/>
                <w:szCs w:val="15"/>
                <w:color w:val="auto"/>
              </w:rPr>
              <w:t>associated areas will be decontaminated at a time.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64"/>
        </w:trPr>
        <w:tc>
          <w:tcPr>
            <w:tcW w:w="620" w:type="dxa"/>
            <w:vAlign w:val="bottom"/>
            <w:vMerge w:val="restart"/>
          </w:tcPr>
          <w:p>
            <w:pPr>
              <w:jc w:val="right"/>
              <w:ind w:right="127"/>
              <w:spacing w:after="0"/>
              <w:rPr>
                <w:sz w:val="20"/>
                <w:szCs w:val="20"/>
                <w:color w:val="auto"/>
              </w:rPr>
            </w:pPr>
            <w:r>
              <w:rPr>
                <w:rFonts w:ascii="Arial" w:cs="Arial" w:eastAsia="Arial" w:hAnsi="Arial"/>
                <w:sz w:val="15"/>
                <w:szCs w:val="15"/>
                <w:color w:val="auto"/>
                <w:w w:val="95"/>
              </w:rPr>
              <w:t>00131</w:t>
            </w:r>
          </w:p>
        </w:tc>
        <w:tc>
          <w:tcPr>
            <w:tcW w:w="4760" w:type="dxa"/>
            <w:vAlign w:val="bottom"/>
          </w:tcPr>
          <w:p>
            <w:pPr>
              <w:ind w:left="200"/>
              <w:spacing w:after="0" w:line="164" w:lineRule="exact"/>
              <w:rPr>
                <w:sz w:val="20"/>
                <w:szCs w:val="20"/>
                <w:color w:val="auto"/>
              </w:rPr>
            </w:pPr>
            <w:r>
              <w:rPr>
                <w:rFonts w:ascii="Arial" w:cs="Arial" w:eastAsia="Arial" w:hAnsi="Arial"/>
                <w:sz w:val="15"/>
                <w:szCs w:val="15"/>
                <w:color w:val="auto"/>
                <w:w w:val="96"/>
              </w:rPr>
              <w:t>Space for a VHP skid to connect to the distribution system is located in</w:t>
            </w:r>
          </w:p>
        </w:tc>
        <w:tc>
          <w:tcPr>
            <w:tcW w:w="0" w:type="dxa"/>
            <w:vAlign w:val="bottom"/>
          </w:tcPr>
          <w:p>
            <w:pPr>
              <w:spacing w:after="0"/>
              <w:rPr>
                <w:sz w:val="1"/>
                <w:szCs w:val="1"/>
                <w:color w:val="auto"/>
              </w:rPr>
            </w:pPr>
          </w:p>
        </w:tc>
      </w:tr>
      <w:tr>
        <w:trPr>
          <w:trHeight w:val="88"/>
        </w:trPr>
        <w:tc>
          <w:tcPr>
            <w:tcW w:w="620" w:type="dxa"/>
            <w:vAlign w:val="bottom"/>
            <w:vMerge w:val="continue"/>
          </w:tcPr>
          <w:p>
            <w:pPr>
              <w:spacing w:after="0"/>
              <w:rPr>
                <w:sz w:val="7"/>
                <w:szCs w:val="7"/>
                <w:color w:val="auto"/>
              </w:rPr>
            </w:pPr>
          </w:p>
        </w:tc>
        <w:tc>
          <w:tcPr>
            <w:tcW w:w="4760" w:type="dxa"/>
            <w:vAlign w:val="bottom"/>
            <w:vMerge w:val="restart"/>
          </w:tcPr>
          <w:p>
            <w:pPr>
              <w:ind w:left="200"/>
              <w:spacing w:after="0"/>
              <w:rPr>
                <w:sz w:val="20"/>
                <w:szCs w:val="20"/>
                <w:color w:val="auto"/>
              </w:rPr>
            </w:pPr>
            <w:r>
              <w:rPr>
                <w:rFonts w:ascii="Arial" w:cs="Arial" w:eastAsia="Arial" w:hAnsi="Arial"/>
                <w:sz w:val="15"/>
                <w:szCs w:val="15"/>
                <w:color w:val="auto"/>
              </w:rPr>
              <w:t>unclassified space.</w:t>
            </w:r>
          </w:p>
        </w:tc>
        <w:tc>
          <w:tcPr>
            <w:tcW w:w="0" w:type="dxa"/>
            <w:vAlign w:val="bottom"/>
          </w:tcPr>
          <w:p>
            <w:pPr>
              <w:spacing w:after="0"/>
              <w:rPr>
                <w:sz w:val="1"/>
                <w:szCs w:val="1"/>
                <w:color w:val="auto"/>
              </w:rPr>
            </w:pPr>
          </w:p>
        </w:tc>
      </w:tr>
      <w:tr>
        <w:trPr>
          <w:trHeight w:val="88"/>
        </w:trPr>
        <w:tc>
          <w:tcPr>
            <w:tcW w:w="620" w:type="dxa"/>
            <w:vAlign w:val="bottom"/>
          </w:tcPr>
          <w:p>
            <w:pPr>
              <w:spacing w:after="0"/>
              <w:rPr>
                <w:sz w:val="7"/>
                <w:szCs w:val="7"/>
                <w:color w:val="auto"/>
              </w:rPr>
            </w:pPr>
          </w:p>
        </w:tc>
        <w:tc>
          <w:tcPr>
            <w:tcW w:w="4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1"/>
        </w:trPr>
        <w:tc>
          <w:tcPr>
            <w:tcW w:w="62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Arial" w:cs="Arial" w:eastAsia="Arial" w:hAnsi="Arial"/>
                <w:sz w:val="15"/>
                <w:szCs w:val="15"/>
                <w:color w:val="auto"/>
              </w:rPr>
              <w:t>Page 8 of 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174625</wp:posOffset>
            </wp:positionV>
            <wp:extent cx="731202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ectPr>
          <w:pgSz w:w="11900" w:h="16838" w:orient="portrait"/>
          <w:cols w:equalWidth="0" w:num="3">
            <w:col w:w="3340" w:space="700"/>
            <w:col w:w="6020" w:space="720"/>
            <w:col w:w="200"/>
          </w:cols>
          <w:pgMar w:left="220" w:top="114" w:right="69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Area</w:t>
      </w:r>
    </w:p>
    <w:p>
      <w:pPr>
        <w:spacing w:after="0" w:line="174"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Utilities</w:t>
      </w:r>
    </w:p>
    <w:p>
      <w:pPr>
        <w:spacing w:after="0" w:line="331"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Utilities</w:t>
      </w:r>
    </w:p>
    <w:p>
      <w:pPr>
        <w:spacing w:after="0" w:line="396"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Utilities</w:t>
      </w:r>
    </w:p>
    <w:p>
      <w:pPr>
        <w:spacing w:after="0" w:line="320"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Utilities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Revision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Liquids &amp;</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Gases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Liquids &amp;</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Gases</w:t>
      </w:r>
    </w:p>
    <w:p>
      <w:pPr>
        <w:spacing w:after="0" w:line="243"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Liquids &amp;</w:t>
      </w:r>
    </w:p>
    <w:p>
      <w:pPr>
        <w:spacing w:after="0" w:line="3" w:lineRule="exact"/>
        <w:rPr>
          <w:sz w:val="20"/>
          <w:szCs w:val="20"/>
          <w:color w:val="auto"/>
        </w:rPr>
      </w:pPr>
    </w:p>
    <w:p>
      <w:pPr>
        <w:jc w:val="center"/>
        <w:ind w:left="-39"/>
        <w:spacing w:after="0"/>
        <w:rPr>
          <w:sz w:val="20"/>
          <w:szCs w:val="20"/>
          <w:color w:val="auto"/>
        </w:rPr>
      </w:pPr>
      <w:r>
        <w:rPr>
          <w:rFonts w:ascii="Arial" w:cs="Arial" w:eastAsia="Arial" w:hAnsi="Arial"/>
          <w:sz w:val="15"/>
          <w:szCs w:val="15"/>
          <w:color w:val="auto"/>
        </w:rPr>
        <w:t>Gases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Waste</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8"/>
          <w:szCs w:val="18"/>
          <w:b w:val="1"/>
          <w:bCs w:val="1"/>
          <w:color w:val="050405"/>
        </w:rPr>
        <w:t xml:space="preserve">Seres </w:t>
      </w:r>
      <w:r>
        <w:rPr>
          <w:rFonts w:ascii="Arial" w:cs="Arial" w:eastAsia="Arial" w:hAnsi="Arial"/>
          <w:sz w:val="18"/>
          <w:szCs w:val="18"/>
          <w:b w:val="1"/>
          <w:bCs w:val="1"/>
          <w:color w:val="1B1B1D"/>
        </w:rPr>
        <w:t>Therapeutics</w:t>
      </w:r>
    </w:p>
    <w:p>
      <w:pPr>
        <w:jc w:val="center"/>
        <w:ind w:right="2640"/>
        <w:spacing w:after="0"/>
        <w:rPr>
          <w:sz w:val="20"/>
          <w:szCs w:val="20"/>
          <w:color w:val="auto"/>
        </w:rPr>
      </w:pPr>
      <w:r>
        <w:rPr>
          <w:rFonts w:ascii="Arial" w:cs="Arial" w:eastAsia="Arial" w:hAnsi="Arial"/>
          <w:sz w:val="18"/>
          <w:szCs w:val="18"/>
          <w:b w:val="1"/>
          <w:bCs w:val="1"/>
          <w:color w:val="050405"/>
        </w:rPr>
        <w:t>200 Sidney Street</w:t>
      </w:r>
    </w:p>
    <w:p>
      <w:pPr>
        <w:jc w:val="center"/>
        <w:ind w:right="2640"/>
        <w:spacing w:after="0" w:line="228" w:lineRule="auto"/>
        <w:rPr>
          <w:sz w:val="20"/>
          <w:szCs w:val="20"/>
          <w:color w:val="auto"/>
        </w:rPr>
      </w:pPr>
      <w:r>
        <w:rPr>
          <w:rFonts w:ascii="Arial" w:cs="Arial" w:eastAsia="Arial" w:hAnsi="Arial"/>
          <w:sz w:val="18"/>
          <w:szCs w:val="18"/>
          <w:b w:val="1"/>
          <w:bCs w:val="1"/>
          <w:color w:val="050405"/>
        </w:rPr>
        <w:t>GMP Pilot Production Facility</w:t>
      </w:r>
    </w:p>
    <w:p>
      <w:pPr>
        <w:jc w:val="center"/>
        <w:ind w:right="2640"/>
        <w:spacing w:after="0"/>
        <w:rPr>
          <w:sz w:val="20"/>
          <w:szCs w:val="20"/>
          <w:color w:val="auto"/>
        </w:rPr>
      </w:pPr>
      <w:r>
        <w:rPr>
          <w:rFonts w:ascii="Arial" w:cs="Arial" w:eastAsia="Arial" w:hAnsi="Arial"/>
          <w:sz w:val="16"/>
          <w:szCs w:val="16"/>
          <w:b w:val="1"/>
          <w:bCs w:val="1"/>
          <w:color w:val="050405"/>
        </w:rPr>
        <w:t xml:space="preserve">User/Design </w:t>
      </w:r>
      <w:r>
        <w:rPr>
          <w:rFonts w:ascii="Arial" w:cs="Arial" w:eastAsia="Arial" w:hAnsi="Arial"/>
          <w:sz w:val="16"/>
          <w:szCs w:val="16"/>
          <w:b w:val="1"/>
          <w:bCs w:val="1"/>
          <w:color w:val="1B1B1D"/>
        </w:rPr>
        <w:t>Requirements</w:t>
      </w:r>
      <w:r>
        <w:rPr>
          <w:rFonts w:ascii="Arial" w:cs="Arial" w:eastAsia="Arial" w:hAnsi="Arial"/>
          <w:sz w:val="16"/>
          <w:szCs w:val="16"/>
          <w:b w:val="1"/>
          <w:bCs w:val="1"/>
          <w:color w:val="050405"/>
        </w:rPr>
        <w:t xml:space="preserve"> Specification</w:t>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600" w:type="dxa"/>
            <w:vAlign w:val="bottom"/>
          </w:tcPr>
          <w:p>
            <w:pPr>
              <w:jc w:val="right"/>
              <w:ind w:right="187"/>
              <w:spacing w:after="0"/>
              <w:rPr>
                <w:sz w:val="20"/>
                <w:szCs w:val="20"/>
                <w:color w:val="auto"/>
              </w:rPr>
            </w:pPr>
            <w:r>
              <w:rPr>
                <w:rFonts w:ascii="Arial" w:cs="Arial" w:eastAsia="Arial" w:hAnsi="Arial"/>
                <w:sz w:val="15"/>
                <w:szCs w:val="15"/>
                <w:b w:val="1"/>
                <w:bCs w:val="1"/>
                <w:color w:val="auto"/>
                <w:w w:val="93"/>
              </w:rPr>
              <w:t xml:space="preserve">UR </w:t>
            </w:r>
            <w:r>
              <w:rPr>
                <w:rFonts w:ascii="Arial" w:cs="Arial" w:eastAsia="Arial" w:hAnsi="Arial"/>
                <w:sz w:val="15"/>
                <w:szCs w:val="15"/>
                <w:color w:val="auto"/>
                <w:w w:val="93"/>
              </w:rPr>
              <w:t>#</w:t>
            </w:r>
          </w:p>
        </w:tc>
        <w:tc>
          <w:tcPr>
            <w:tcW w:w="2600" w:type="dxa"/>
            <w:vAlign w:val="bottom"/>
          </w:tcPr>
          <w:p>
            <w:pPr>
              <w:ind w:left="160"/>
              <w:spacing w:after="0"/>
              <w:rPr>
                <w:sz w:val="20"/>
                <w:szCs w:val="20"/>
                <w:color w:val="auto"/>
              </w:rPr>
            </w:pPr>
            <w:r>
              <w:rPr>
                <w:rFonts w:ascii="Arial" w:cs="Arial" w:eastAsia="Arial" w:hAnsi="Arial"/>
                <w:sz w:val="15"/>
                <w:szCs w:val="15"/>
                <w:b w:val="1"/>
                <w:bCs w:val="1"/>
                <w:color w:val="auto"/>
              </w:rPr>
              <w:t>Description</w:t>
            </w:r>
          </w:p>
        </w:tc>
        <w:tc>
          <w:tcPr>
            <w:tcW w:w="2340" w:type="dxa"/>
            <w:vAlign w:val="bottom"/>
          </w:tcPr>
          <w:p>
            <w:pPr>
              <w:ind w:left="1620"/>
              <w:spacing w:after="0"/>
              <w:rPr>
                <w:sz w:val="20"/>
                <w:szCs w:val="20"/>
                <w:color w:val="auto"/>
              </w:rPr>
            </w:pPr>
            <w:r>
              <w:rPr>
                <w:rFonts w:ascii="Arial" w:cs="Arial" w:eastAsia="Arial" w:hAnsi="Arial"/>
                <w:sz w:val="15"/>
                <w:szCs w:val="15"/>
                <w:b w:val="1"/>
                <w:bCs w:val="1"/>
                <w:color w:val="auto"/>
              </w:rPr>
              <w:t>Category</w:t>
            </w:r>
          </w:p>
        </w:tc>
      </w:tr>
      <w:tr>
        <w:trPr>
          <w:trHeight w:val="164"/>
        </w:trPr>
        <w:tc>
          <w:tcPr>
            <w:tcW w:w="600" w:type="dxa"/>
            <w:vAlign w:val="bottom"/>
          </w:tcPr>
          <w:p>
            <w:pPr>
              <w:spacing w:after="0"/>
              <w:rPr>
                <w:sz w:val="14"/>
                <w:szCs w:val="14"/>
                <w:color w:val="auto"/>
              </w:rPr>
            </w:pPr>
          </w:p>
        </w:tc>
        <w:tc>
          <w:tcPr>
            <w:tcW w:w="49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6"/>
              </w:rPr>
              <w:t>Monitoring for high level VHP concentration in each processing suite and</w:t>
            </w: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00132</w:t>
            </w:r>
          </w:p>
        </w:tc>
        <w:tc>
          <w:tcPr>
            <w:tcW w:w="494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low level VHP concentration in the area in which the VHP generator is</w:t>
            </w:r>
          </w:p>
        </w:tc>
      </w:tr>
      <w:tr>
        <w:trPr>
          <w:trHeight w:val="164"/>
        </w:trPr>
        <w:tc>
          <w:tcPr>
            <w:tcW w:w="600" w:type="dxa"/>
            <w:vAlign w:val="bottom"/>
          </w:tcPr>
          <w:p>
            <w:pPr>
              <w:spacing w:after="0"/>
              <w:rPr>
                <w:sz w:val="14"/>
                <w:szCs w:val="14"/>
                <w:color w:val="auto"/>
              </w:rPr>
            </w:pPr>
          </w:p>
        </w:tc>
        <w:tc>
          <w:tcPr>
            <w:tcW w:w="2600" w:type="dxa"/>
            <w:vAlign w:val="bottom"/>
          </w:tcPr>
          <w:p>
            <w:pPr>
              <w:ind w:left="240"/>
              <w:spacing w:after="0" w:line="164" w:lineRule="exact"/>
              <w:rPr>
                <w:sz w:val="20"/>
                <w:szCs w:val="20"/>
                <w:color w:val="auto"/>
              </w:rPr>
            </w:pPr>
            <w:r>
              <w:rPr>
                <w:rFonts w:ascii="Arial" w:cs="Arial" w:eastAsia="Arial" w:hAnsi="Arial"/>
                <w:sz w:val="15"/>
                <w:szCs w:val="15"/>
                <w:color w:val="auto"/>
              </w:rPr>
              <w:t>located.</w:t>
            </w:r>
          </w:p>
        </w:tc>
        <w:tc>
          <w:tcPr>
            <w:tcW w:w="2340" w:type="dxa"/>
            <w:vAlign w:val="bottom"/>
          </w:tcPr>
          <w:p>
            <w:pPr>
              <w:spacing w:after="0"/>
              <w:rPr>
                <w:sz w:val="14"/>
                <w:szCs w:val="14"/>
                <w:color w:val="auto"/>
              </w:rPr>
            </w:pPr>
          </w:p>
        </w:tc>
      </w:tr>
      <w:tr>
        <w:trPr>
          <w:trHeight w:val="164"/>
        </w:trPr>
        <w:tc>
          <w:tcPr>
            <w:tcW w:w="600" w:type="dxa"/>
            <w:vAlign w:val="bottom"/>
          </w:tcPr>
          <w:p>
            <w:pPr>
              <w:spacing w:after="0"/>
              <w:rPr>
                <w:sz w:val="14"/>
                <w:szCs w:val="14"/>
                <w:color w:val="auto"/>
              </w:rPr>
            </w:pPr>
          </w:p>
        </w:tc>
        <w:tc>
          <w:tcPr>
            <w:tcW w:w="49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8"/>
              </w:rPr>
              <w:t>Building reverse osmosis water will be used for humidification, provided</w:t>
            </w:r>
          </w:p>
        </w:tc>
      </w:tr>
      <w:tr>
        <w:trPr>
          <w:trHeight w:val="164"/>
        </w:trPr>
        <w:tc>
          <w:tcPr>
            <w:tcW w:w="6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00133</w:t>
            </w:r>
          </w:p>
        </w:tc>
        <w:tc>
          <w:tcPr>
            <w:tcW w:w="494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the quality of the water will not interfere with the identified cleanliness</w:t>
            </w:r>
          </w:p>
        </w:tc>
      </w:tr>
      <w:tr>
        <w:trPr>
          <w:trHeight w:val="164"/>
        </w:trPr>
        <w:tc>
          <w:tcPr>
            <w:tcW w:w="600" w:type="dxa"/>
            <w:vAlign w:val="bottom"/>
          </w:tcPr>
          <w:p>
            <w:pPr>
              <w:spacing w:after="0"/>
              <w:rPr>
                <w:sz w:val="14"/>
                <w:szCs w:val="14"/>
                <w:color w:val="auto"/>
              </w:rPr>
            </w:pPr>
          </w:p>
        </w:tc>
        <w:tc>
          <w:tcPr>
            <w:tcW w:w="2600" w:type="dxa"/>
            <w:vAlign w:val="bottom"/>
          </w:tcPr>
          <w:p>
            <w:pPr>
              <w:ind w:left="240"/>
              <w:spacing w:after="0" w:line="164" w:lineRule="exact"/>
              <w:rPr>
                <w:sz w:val="20"/>
                <w:szCs w:val="20"/>
                <w:color w:val="auto"/>
              </w:rPr>
            </w:pPr>
            <w:r>
              <w:rPr>
                <w:rFonts w:ascii="Arial" w:cs="Arial" w:eastAsia="Arial" w:hAnsi="Arial"/>
                <w:sz w:val="15"/>
                <w:szCs w:val="15"/>
                <w:color w:val="auto"/>
              </w:rPr>
              <w:t>standards.</w:t>
            </w:r>
          </w:p>
        </w:tc>
        <w:tc>
          <w:tcPr>
            <w:tcW w:w="2340" w:type="dxa"/>
            <w:vAlign w:val="bottom"/>
          </w:tcPr>
          <w:p>
            <w:pPr>
              <w:spacing w:after="0"/>
              <w:rPr>
                <w:sz w:val="14"/>
                <w:szCs w:val="14"/>
                <w:color w:val="auto"/>
              </w:rPr>
            </w:pPr>
          </w:p>
        </w:tc>
      </w:tr>
      <w:tr>
        <w:trPr>
          <w:trHeight w:val="164"/>
        </w:trPr>
        <w:tc>
          <w:tcPr>
            <w:tcW w:w="600" w:type="dxa"/>
            <w:vAlign w:val="bottom"/>
          </w:tcPr>
          <w:p>
            <w:pPr>
              <w:spacing w:after="0"/>
              <w:rPr>
                <w:sz w:val="14"/>
                <w:szCs w:val="14"/>
                <w:color w:val="auto"/>
              </w:rPr>
            </w:pPr>
          </w:p>
        </w:tc>
        <w:tc>
          <w:tcPr>
            <w:tcW w:w="494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6"/>
              </w:rPr>
              <w:t>If a USP pure water system is installed, it will produce water at USP pure</w:t>
            </w: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64"/>
        </w:trPr>
        <w:tc>
          <w:tcPr>
            <w:tcW w:w="620" w:type="dxa"/>
            <w:vAlign w:val="bottom"/>
            <w:vMerge w:val="restart"/>
          </w:tcPr>
          <w:p>
            <w:pPr>
              <w:jc w:val="right"/>
              <w:ind w:right="127"/>
              <w:spacing w:after="0"/>
              <w:rPr>
                <w:sz w:val="20"/>
                <w:szCs w:val="20"/>
                <w:color w:val="auto"/>
              </w:rPr>
            </w:pPr>
            <w:r>
              <w:rPr>
                <w:rFonts w:ascii="Arial" w:cs="Arial" w:eastAsia="Arial" w:hAnsi="Arial"/>
                <w:sz w:val="15"/>
                <w:szCs w:val="15"/>
                <w:color w:val="auto"/>
                <w:w w:val="95"/>
              </w:rPr>
              <w:t>00134</w:t>
            </w:r>
          </w:p>
        </w:tc>
        <w:tc>
          <w:tcPr>
            <w:tcW w:w="5000" w:type="dxa"/>
            <w:vAlign w:val="bottom"/>
          </w:tcPr>
          <w:p>
            <w:pPr>
              <w:ind w:left="200"/>
              <w:spacing w:after="0" w:line="164" w:lineRule="exact"/>
              <w:rPr>
                <w:sz w:val="20"/>
                <w:szCs w:val="20"/>
                <w:color w:val="auto"/>
              </w:rPr>
            </w:pPr>
            <w:r>
              <w:rPr>
                <w:rFonts w:ascii="Arial" w:cs="Arial" w:eastAsia="Arial" w:hAnsi="Arial"/>
                <w:sz w:val="15"/>
                <w:szCs w:val="15"/>
                <w:color w:val="auto"/>
                <w:w w:val="97"/>
              </w:rPr>
              <w:t>water grade in volumes sufficient for the uses described in this document.</w:t>
            </w:r>
          </w:p>
        </w:tc>
        <w:tc>
          <w:tcPr>
            <w:tcW w:w="0" w:type="dxa"/>
            <w:vAlign w:val="bottom"/>
          </w:tcPr>
          <w:p>
            <w:pPr>
              <w:spacing w:after="0"/>
              <w:rPr>
                <w:sz w:val="1"/>
                <w:szCs w:val="1"/>
                <w:color w:val="auto"/>
              </w:rPr>
            </w:pPr>
          </w:p>
        </w:tc>
      </w:tr>
      <w:tr>
        <w:trPr>
          <w:trHeight w:val="88"/>
        </w:trPr>
        <w:tc>
          <w:tcPr>
            <w:tcW w:w="620" w:type="dxa"/>
            <w:vAlign w:val="bottom"/>
            <w:vMerge w:val="continue"/>
          </w:tcPr>
          <w:p>
            <w:pPr>
              <w:spacing w:after="0"/>
              <w:rPr>
                <w:sz w:val="7"/>
                <w:szCs w:val="7"/>
                <w:color w:val="auto"/>
              </w:rPr>
            </w:pPr>
          </w:p>
        </w:tc>
        <w:tc>
          <w:tcPr>
            <w:tcW w:w="5000" w:type="dxa"/>
            <w:vAlign w:val="bottom"/>
            <w:vMerge w:val="restart"/>
          </w:tcPr>
          <w:p>
            <w:pPr>
              <w:ind w:left="200"/>
              <w:spacing w:after="0" w:line="164" w:lineRule="exact"/>
              <w:rPr>
                <w:sz w:val="20"/>
                <w:szCs w:val="20"/>
                <w:color w:val="auto"/>
              </w:rPr>
            </w:pPr>
            <w:r>
              <w:rPr>
                <w:rFonts w:ascii="Arial" w:cs="Arial" w:eastAsia="Arial" w:hAnsi="Arial"/>
                <w:sz w:val="15"/>
                <w:szCs w:val="15"/>
                <w:color w:val="auto"/>
                <w:w w:val="99"/>
              </w:rPr>
              <w:t>Adequate information will be recorded , either independently or provided</w:t>
            </w:r>
          </w:p>
        </w:tc>
        <w:tc>
          <w:tcPr>
            <w:tcW w:w="0" w:type="dxa"/>
            <w:vAlign w:val="bottom"/>
          </w:tcPr>
          <w:p>
            <w:pPr>
              <w:spacing w:after="0"/>
              <w:rPr>
                <w:sz w:val="1"/>
                <w:szCs w:val="1"/>
                <w:color w:val="auto"/>
              </w:rPr>
            </w:pPr>
          </w:p>
        </w:tc>
      </w:tr>
      <w:tr>
        <w:trPr>
          <w:trHeight w:val="76"/>
        </w:trPr>
        <w:tc>
          <w:tcPr>
            <w:tcW w:w="620" w:type="dxa"/>
            <w:vAlign w:val="bottom"/>
          </w:tcPr>
          <w:p>
            <w:pPr>
              <w:spacing w:after="0"/>
              <w:rPr>
                <w:sz w:val="6"/>
                <w:szCs w:val="6"/>
                <w:color w:val="auto"/>
              </w:rPr>
            </w:pPr>
          </w:p>
        </w:tc>
        <w:tc>
          <w:tcPr>
            <w:tcW w:w="5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5000" w:type="dxa"/>
            <w:vAlign w:val="bottom"/>
          </w:tcPr>
          <w:p>
            <w:pPr>
              <w:ind w:left="200"/>
              <w:spacing w:after="0" w:line="164" w:lineRule="exact"/>
              <w:rPr>
                <w:sz w:val="20"/>
                <w:szCs w:val="20"/>
                <w:color w:val="auto"/>
              </w:rPr>
            </w:pPr>
            <w:r>
              <w:rPr>
                <w:rFonts w:ascii="Arial" w:cs="Arial" w:eastAsia="Arial" w:hAnsi="Arial"/>
                <w:sz w:val="15"/>
                <w:szCs w:val="15"/>
                <w:color w:val="auto"/>
              </w:rPr>
              <w:t>to the EMS, to prove that water meets the required quality.</w:t>
            </w:r>
          </w:p>
        </w:tc>
        <w:tc>
          <w:tcPr>
            <w:tcW w:w="0" w:type="dxa"/>
            <w:vAlign w:val="bottom"/>
          </w:tcPr>
          <w:p>
            <w:pPr>
              <w:spacing w:after="0"/>
              <w:rPr>
                <w:sz w:val="1"/>
                <w:szCs w:val="1"/>
                <w:color w:val="auto"/>
              </w:rPr>
            </w:pPr>
          </w:p>
        </w:tc>
      </w:tr>
      <w:tr>
        <w:trPr>
          <w:trHeight w:val="164"/>
        </w:trPr>
        <w:tc>
          <w:tcPr>
            <w:tcW w:w="620" w:type="dxa"/>
            <w:vAlign w:val="bottom"/>
            <w:vMerge w:val="restart"/>
          </w:tcPr>
          <w:p>
            <w:pPr>
              <w:jc w:val="right"/>
              <w:ind w:right="127"/>
              <w:spacing w:after="0"/>
              <w:rPr>
                <w:sz w:val="20"/>
                <w:szCs w:val="20"/>
                <w:color w:val="auto"/>
              </w:rPr>
            </w:pPr>
            <w:r>
              <w:rPr>
                <w:rFonts w:ascii="Arial" w:cs="Arial" w:eastAsia="Arial" w:hAnsi="Arial"/>
                <w:sz w:val="15"/>
                <w:szCs w:val="15"/>
                <w:color w:val="auto"/>
                <w:w w:val="95"/>
              </w:rPr>
              <w:t>00135</w:t>
            </w:r>
          </w:p>
        </w:tc>
        <w:tc>
          <w:tcPr>
            <w:tcW w:w="5000" w:type="dxa"/>
            <w:vAlign w:val="bottom"/>
          </w:tcPr>
          <w:p>
            <w:pPr>
              <w:ind w:left="200"/>
              <w:spacing w:after="0" w:line="164" w:lineRule="exact"/>
              <w:rPr>
                <w:sz w:val="20"/>
                <w:szCs w:val="20"/>
                <w:color w:val="auto"/>
              </w:rPr>
            </w:pPr>
            <w:r>
              <w:rPr>
                <w:rFonts w:ascii="Arial" w:cs="Arial" w:eastAsia="Arial" w:hAnsi="Arial"/>
                <w:sz w:val="15"/>
                <w:szCs w:val="15"/>
                <w:color w:val="auto"/>
                <w:w w:val="96"/>
              </w:rPr>
              <w:t>Waste will be disposed of as required by applicable regulations, potentially</w:t>
            </w:r>
          </w:p>
        </w:tc>
        <w:tc>
          <w:tcPr>
            <w:tcW w:w="0" w:type="dxa"/>
            <w:vAlign w:val="bottom"/>
          </w:tcPr>
          <w:p>
            <w:pPr>
              <w:spacing w:after="0"/>
              <w:rPr>
                <w:sz w:val="1"/>
                <w:szCs w:val="1"/>
                <w:color w:val="auto"/>
              </w:rPr>
            </w:pPr>
          </w:p>
        </w:tc>
      </w:tr>
      <w:tr>
        <w:trPr>
          <w:trHeight w:val="88"/>
        </w:trPr>
        <w:tc>
          <w:tcPr>
            <w:tcW w:w="620" w:type="dxa"/>
            <w:vAlign w:val="bottom"/>
            <w:vMerge w:val="continue"/>
          </w:tcPr>
          <w:p>
            <w:pPr>
              <w:spacing w:after="0"/>
              <w:rPr>
                <w:sz w:val="7"/>
                <w:szCs w:val="7"/>
                <w:color w:val="auto"/>
              </w:rPr>
            </w:pPr>
          </w:p>
        </w:tc>
        <w:tc>
          <w:tcPr>
            <w:tcW w:w="5000" w:type="dxa"/>
            <w:vAlign w:val="bottom"/>
            <w:vMerge w:val="restart"/>
          </w:tcPr>
          <w:p>
            <w:pPr>
              <w:ind w:left="200"/>
              <w:spacing w:after="0"/>
              <w:rPr>
                <w:sz w:val="20"/>
                <w:szCs w:val="20"/>
                <w:color w:val="auto"/>
              </w:rPr>
            </w:pPr>
            <w:r>
              <w:rPr>
                <w:rFonts w:ascii="Arial" w:cs="Arial" w:eastAsia="Arial" w:hAnsi="Arial"/>
                <w:sz w:val="15"/>
                <w:szCs w:val="15"/>
                <w:color w:val="auto"/>
              </w:rPr>
              <w:t>including neutralization, kill, and/or storage for off-site disposal.</w:t>
            </w:r>
          </w:p>
        </w:tc>
        <w:tc>
          <w:tcPr>
            <w:tcW w:w="0" w:type="dxa"/>
            <w:vAlign w:val="bottom"/>
          </w:tcPr>
          <w:p>
            <w:pPr>
              <w:spacing w:after="0"/>
              <w:rPr>
                <w:sz w:val="1"/>
                <w:szCs w:val="1"/>
                <w:color w:val="auto"/>
              </w:rPr>
            </w:pPr>
          </w:p>
        </w:tc>
      </w:tr>
      <w:tr>
        <w:trPr>
          <w:trHeight w:val="88"/>
        </w:trPr>
        <w:tc>
          <w:tcPr>
            <w:tcW w:w="620" w:type="dxa"/>
            <w:vAlign w:val="bottom"/>
          </w:tcPr>
          <w:p>
            <w:pPr>
              <w:spacing w:after="0"/>
              <w:rPr>
                <w:sz w:val="7"/>
                <w:szCs w:val="7"/>
                <w:color w:val="auto"/>
              </w:rPr>
            </w:pPr>
          </w:p>
        </w:tc>
        <w:tc>
          <w:tcPr>
            <w:tcW w:w="5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177165</wp:posOffset>
            </wp:positionV>
            <wp:extent cx="731202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DR</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UR</w:t>
      </w:r>
    </w:p>
    <w:p>
      <w:pPr>
        <w:sectPr>
          <w:pgSz w:w="11900" w:h="16838" w:orient="portrait"/>
          <w:cols w:equalWidth="0" w:num="4">
            <w:col w:w="1980" w:space="720"/>
            <w:col w:w="640" w:space="700"/>
            <w:col w:w="6020" w:space="720"/>
            <w:col w:w="200"/>
          </w:cols>
          <w:pgMar w:left="220" w:top="114" w:right="699" w:bottom="1440" w:gutter="0" w:footer="0" w:header="0"/>
        </w:sectPr>
      </w:pPr>
    </w:p>
    <w:bookmarkStart w:id="267" w:name="page268"/>
    <w:bookmarkEnd w:id="267"/>
    <w:p>
      <w:pPr>
        <w:jc w:val="center"/>
        <w:ind w:right="-20"/>
        <w:spacing w:after="0"/>
        <w:rPr>
          <w:sz w:val="20"/>
          <w:szCs w:val="20"/>
          <w:color w:val="auto"/>
        </w:rPr>
      </w:pPr>
      <w:r>
        <w:rPr>
          <w:rFonts w:ascii="Arial" w:cs="Arial" w:eastAsia="Arial" w:hAnsi="Arial"/>
          <w:sz w:val="15"/>
          <w:szCs w:val="15"/>
          <w:b w:val="1"/>
          <w:bCs w:val="1"/>
          <w:color w:val="auto"/>
        </w:rPr>
        <w:t>EXHIBIT B-1-c</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DRAFT MANUFACTURING AREA SCHEMATIC PLANS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607060</wp:posOffset>
            </wp:positionV>
            <wp:extent cx="731202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68" w:name="page269"/>
    <w:bookmarkEnd w:id="268"/>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2846705</wp:posOffset>
            </wp:positionH>
            <wp:positionV relativeFrom="page">
              <wp:posOffset>88900</wp:posOffset>
            </wp:positionV>
            <wp:extent cx="4570730" cy="8058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4570730" cy="80581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b w:val="1"/>
          <w:bCs w:val="1"/>
          <w:u w:val="single" w:color="auto"/>
          <w:color w:val="auto"/>
        </w:rPr>
        <w:t>D R A W I N G L I S 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Cambridge, MA</w:t>
      </w:r>
    </w:p>
    <w:p>
      <w:pPr>
        <w:spacing w:after="0"/>
        <w:rPr>
          <w:sz w:val="20"/>
          <w:szCs w:val="20"/>
          <w:color w:val="auto"/>
        </w:rPr>
      </w:pPr>
      <w:r>
        <w:rPr>
          <w:rFonts w:ascii="Arial" w:cs="Arial" w:eastAsia="Arial" w:hAnsi="Arial"/>
          <w:sz w:val="15"/>
          <w:szCs w:val="15"/>
          <w:b w:val="1"/>
          <w:bCs w:val="1"/>
          <w:color w:val="auto"/>
        </w:rPr>
        <w:t>Seres Lab/Office Package:</w:t>
      </w:r>
    </w:p>
    <w:p>
      <w:pPr>
        <w:spacing w:after="0" w:line="138" w:lineRule="exact"/>
        <w:rPr>
          <w:sz w:val="20"/>
          <w:szCs w:val="20"/>
          <w:color w:val="auto"/>
        </w:rPr>
      </w:pPr>
    </w:p>
    <w:p>
      <w:pPr>
        <w:spacing w:after="0"/>
        <w:tabs>
          <w:tab w:leader="none" w:pos="3720" w:val="left"/>
          <w:tab w:leader="none" w:pos="8960" w:val="left"/>
        </w:tabs>
        <w:rPr>
          <w:sz w:val="20"/>
          <w:szCs w:val="20"/>
          <w:color w:val="auto"/>
        </w:rPr>
      </w:pPr>
      <w:r>
        <w:rPr>
          <w:rFonts w:ascii="Arial" w:cs="Arial" w:eastAsia="Arial" w:hAnsi="Arial"/>
          <w:sz w:val="15"/>
          <w:szCs w:val="15"/>
          <w:b w:val="1"/>
          <w:bCs w:val="1"/>
          <w:color w:val="auto"/>
        </w:rPr>
        <w:t>Drawing List:</w:t>
      </w:r>
      <w:r>
        <w:rPr>
          <w:sz w:val="20"/>
          <w:szCs w:val="20"/>
          <w:color w:val="auto"/>
        </w:rPr>
        <w:tab/>
      </w:r>
      <w:r>
        <w:rPr>
          <w:rFonts w:ascii="Arial" w:cs="Arial" w:eastAsia="Arial" w:hAnsi="Arial"/>
          <w:sz w:val="15"/>
          <w:szCs w:val="15"/>
          <w:color w:val="auto"/>
        </w:rPr>
        <w:t>11/02/2015</w:t>
      </w:r>
      <w:r>
        <w:rPr>
          <w:sz w:val="20"/>
          <w:szCs w:val="20"/>
          <w:color w:val="auto"/>
        </w:rPr>
        <w:tab/>
      </w:r>
      <w:r>
        <w:rPr>
          <w:rFonts w:ascii="Arial" w:cs="Arial" w:eastAsia="Arial" w:hAnsi="Arial"/>
          <w:sz w:val="15"/>
          <w:szCs w:val="15"/>
          <w:color w:val="auto"/>
        </w:rPr>
        <w:t>SD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7265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Plumbing</w:t>
      </w:r>
    </w:p>
    <w:p>
      <w:pPr>
        <w:sectPr>
          <w:pgSz w:w="11900" w:h="16838" w:orient="portrait"/>
          <w:cols w:equalWidth="0" w:num="1">
            <w:col w:w="10239"/>
          </w:cols>
          <w:pgMar w:left="220" w:top="1440" w:right="1440"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P-0.1</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P-0.2</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P-0.3</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P-1.0</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P-1.1B</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P-1.1C</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P-1.1D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P-1.1E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P-1.4A</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Mechanical</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H-0.1</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H-0.2</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H-0.3</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H-0.7</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H-0.8</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H-0.9</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H-0.10</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H-0.11</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H-0.12</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H-0.13</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H-0.14</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H-1.0</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H-1.1</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H-1.4</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H-1.5</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PLUMBING LEGEND &amp; NOTES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SCHEDULES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DETAILS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BASEMENT PLAN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FIRST FLOOR PLAN – AREA B</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FIRST FLOOR PLAN – AREA C</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FIRST FLOOR PLAN – AREA 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FIRST FLOOR PLAN – AREA 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PLUMBING FOURTH FLOOR PLAN – AREA 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HVAC LEGENDS &amp; NOTES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SCHEDULES I OF II</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SCHEDULES II OF II</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HVAC PRESSURIZATION &amp; AHU ZONING PILOT LAB PLAN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HVAC VHP CONTROL SEQUENCE DIAGRAM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AIRFLOW DIAGRAMS I OF III</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AIRFLOW DIAGRAMS II OF III</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AIRFLOW DIAGRAMS III OF III</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HVAC CHILLED WATER PIPING DIAGRAM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HOT WATER PIPING DIAGRAM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HEAT RECOVERY LOOP</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PILOT LAB BASEMENT PLANS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DUCTWORK FIRST FLOOR PLAN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MECHANICAL LEVEL PLAN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HVAC ROOF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328295</wp:posOffset>
            </wp:positionV>
            <wp:extent cx="7312025" cy="686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12025" cy="686435"/>
                    </a:xfrm>
                    <a:prstGeom prst="rect">
                      <a:avLst/>
                    </a:prstGeom>
                    <a:noFill/>
                  </pic:spPr>
                </pic:pic>
              </a:graphicData>
            </a:graphic>
          </wp:anchor>
        </w:drawing>
      </w:r>
    </w:p>
    <w:p>
      <w:pPr>
        <w:sectPr>
          <w:pgSz w:w="11900" w:h="16838" w:orient="portrait"/>
          <w:cols w:equalWidth="0" w:num="2">
            <w:col w:w="800" w:space="480"/>
            <w:col w:w="8959"/>
          </w:cols>
          <w:pgMar w:left="220" w:top="1440" w:right="1440" w:bottom="1440" w:gutter="0" w:footer="0" w:header="0"/>
          <w:type w:val="continuous"/>
        </w:sectPr>
      </w:pPr>
    </w:p>
    <w:bookmarkStart w:id="269" w:name="page270"/>
    <w:bookmarkEnd w:id="269"/>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2846705</wp:posOffset>
            </wp:positionH>
            <wp:positionV relativeFrom="page">
              <wp:posOffset>88900</wp:posOffset>
            </wp:positionV>
            <wp:extent cx="4570730" cy="8058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4570730" cy="805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5640" w:type="dxa"/>
            <w:vAlign w:val="bottom"/>
            <w:gridSpan w:val="2"/>
          </w:tcPr>
          <w:p>
            <w:pPr>
              <w:ind w:left="3920"/>
              <w:spacing w:after="0"/>
              <w:rPr>
                <w:sz w:val="20"/>
                <w:szCs w:val="20"/>
                <w:color w:val="auto"/>
              </w:rPr>
            </w:pPr>
            <w:r>
              <w:rPr>
                <w:rFonts w:ascii="Arial" w:cs="Arial" w:eastAsia="Arial" w:hAnsi="Arial"/>
                <w:sz w:val="18"/>
                <w:szCs w:val="18"/>
                <w:b w:val="1"/>
                <w:bCs w:val="1"/>
                <w:color w:val="auto"/>
                <w:w w:val="96"/>
              </w:rPr>
              <w:t>D R A W I N G L I S T</w:t>
            </w:r>
          </w:p>
        </w:tc>
      </w:tr>
      <w:tr>
        <w:trPr>
          <w:trHeight w:val="385"/>
        </w:trPr>
        <w:tc>
          <w:tcPr>
            <w:tcW w:w="960" w:type="dxa"/>
            <w:vAlign w:val="bottom"/>
          </w:tcPr>
          <w:p>
            <w:pPr>
              <w:spacing w:after="0"/>
              <w:rPr>
                <w:sz w:val="20"/>
                <w:szCs w:val="20"/>
                <w:color w:val="auto"/>
              </w:rPr>
            </w:pPr>
            <w:r>
              <w:rPr>
                <w:rFonts w:ascii="Arial" w:cs="Arial" w:eastAsia="Arial" w:hAnsi="Arial"/>
                <w:sz w:val="15"/>
                <w:szCs w:val="15"/>
                <w:b w:val="1"/>
                <w:bCs w:val="1"/>
                <w:color w:val="auto"/>
              </w:rPr>
              <w:t>Electrical</w:t>
            </w:r>
          </w:p>
        </w:tc>
        <w:tc>
          <w:tcPr>
            <w:tcW w:w="392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95"/>
        </w:trPr>
        <w:tc>
          <w:tcPr>
            <w:tcW w:w="960" w:type="dxa"/>
            <w:vAlign w:val="bottom"/>
          </w:tcPr>
          <w:p>
            <w:pPr>
              <w:spacing w:after="0"/>
              <w:rPr>
                <w:sz w:val="20"/>
                <w:szCs w:val="20"/>
                <w:color w:val="auto"/>
              </w:rPr>
            </w:pPr>
            <w:r>
              <w:rPr>
                <w:rFonts w:ascii="Arial" w:cs="Arial" w:eastAsia="Arial" w:hAnsi="Arial"/>
                <w:sz w:val="15"/>
                <w:szCs w:val="15"/>
                <w:color w:val="auto"/>
              </w:rPr>
              <w:t>E-0.2</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RISER DIAGRAM</w:t>
            </w:r>
          </w:p>
        </w:tc>
      </w:tr>
      <w:tr>
        <w:trPr>
          <w:trHeight w:val="197"/>
        </w:trPr>
        <w:tc>
          <w:tcPr>
            <w:tcW w:w="960" w:type="dxa"/>
            <w:vAlign w:val="bottom"/>
          </w:tcPr>
          <w:p>
            <w:pPr>
              <w:spacing w:after="0"/>
              <w:rPr>
                <w:sz w:val="20"/>
                <w:szCs w:val="20"/>
                <w:color w:val="auto"/>
              </w:rPr>
            </w:pPr>
            <w:r>
              <w:rPr>
                <w:rFonts w:ascii="Arial" w:cs="Arial" w:eastAsia="Arial" w:hAnsi="Arial"/>
                <w:sz w:val="15"/>
                <w:szCs w:val="15"/>
                <w:color w:val="auto"/>
              </w:rPr>
              <w:t>E-2.0A</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BASEMENT PARTIAL POWER PLAN PART A</w:t>
            </w:r>
          </w:p>
        </w:tc>
      </w:tr>
      <w:tr>
        <w:trPr>
          <w:trHeight w:val="197"/>
        </w:trPr>
        <w:tc>
          <w:tcPr>
            <w:tcW w:w="960" w:type="dxa"/>
            <w:vAlign w:val="bottom"/>
          </w:tcPr>
          <w:p>
            <w:pPr>
              <w:spacing w:after="0"/>
              <w:rPr>
                <w:sz w:val="20"/>
                <w:szCs w:val="20"/>
                <w:color w:val="auto"/>
              </w:rPr>
            </w:pPr>
            <w:r>
              <w:rPr>
                <w:rFonts w:ascii="Arial" w:cs="Arial" w:eastAsia="Arial" w:hAnsi="Arial"/>
                <w:sz w:val="15"/>
                <w:szCs w:val="15"/>
                <w:color w:val="auto"/>
              </w:rPr>
              <w:t>E-2.0B</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BASEMENT PARTIAL POWER PLAN PART B</w:t>
            </w:r>
          </w:p>
        </w:tc>
      </w:tr>
      <w:tr>
        <w:trPr>
          <w:trHeight w:val="197"/>
        </w:trPr>
        <w:tc>
          <w:tcPr>
            <w:tcW w:w="960" w:type="dxa"/>
            <w:vAlign w:val="bottom"/>
          </w:tcPr>
          <w:p>
            <w:pPr>
              <w:spacing w:after="0"/>
              <w:rPr>
                <w:sz w:val="20"/>
                <w:szCs w:val="20"/>
                <w:color w:val="auto"/>
              </w:rPr>
            </w:pPr>
            <w:r>
              <w:rPr>
                <w:rFonts w:ascii="Arial" w:cs="Arial" w:eastAsia="Arial" w:hAnsi="Arial"/>
                <w:sz w:val="15"/>
                <w:szCs w:val="15"/>
                <w:color w:val="auto"/>
              </w:rPr>
              <w:t>E-2.1A</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FIRST FLOOR PARTIAL POWER PLAN PART A</w:t>
            </w:r>
          </w:p>
        </w:tc>
      </w:tr>
      <w:tr>
        <w:trPr>
          <w:trHeight w:val="197"/>
        </w:trPr>
        <w:tc>
          <w:tcPr>
            <w:tcW w:w="960" w:type="dxa"/>
            <w:vAlign w:val="bottom"/>
          </w:tcPr>
          <w:p>
            <w:pPr>
              <w:spacing w:after="0"/>
              <w:rPr>
                <w:sz w:val="20"/>
                <w:szCs w:val="20"/>
                <w:color w:val="auto"/>
              </w:rPr>
            </w:pPr>
            <w:r>
              <w:rPr>
                <w:rFonts w:ascii="Arial" w:cs="Arial" w:eastAsia="Arial" w:hAnsi="Arial"/>
                <w:sz w:val="15"/>
                <w:szCs w:val="15"/>
                <w:color w:val="auto"/>
              </w:rPr>
              <w:t>E-2.1B</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FIRST FLOOR PARTIAL POWER PLAN PART B</w:t>
            </w:r>
          </w:p>
        </w:tc>
      </w:tr>
      <w:tr>
        <w:trPr>
          <w:trHeight w:val="197"/>
        </w:trPr>
        <w:tc>
          <w:tcPr>
            <w:tcW w:w="960" w:type="dxa"/>
            <w:vAlign w:val="bottom"/>
          </w:tcPr>
          <w:p>
            <w:pPr>
              <w:spacing w:after="0"/>
              <w:rPr>
                <w:sz w:val="20"/>
                <w:szCs w:val="20"/>
                <w:color w:val="auto"/>
              </w:rPr>
            </w:pPr>
            <w:r>
              <w:rPr>
                <w:rFonts w:ascii="Arial" w:cs="Arial" w:eastAsia="Arial" w:hAnsi="Arial"/>
                <w:sz w:val="15"/>
                <w:szCs w:val="15"/>
                <w:color w:val="auto"/>
              </w:rPr>
              <w:t>E-2.4A</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FOURTH FLOOR PARTIAL POWER PLAN PART A</w:t>
            </w:r>
          </w:p>
        </w:tc>
      </w:tr>
      <w:tr>
        <w:trPr>
          <w:trHeight w:val="197"/>
        </w:trPr>
        <w:tc>
          <w:tcPr>
            <w:tcW w:w="960" w:type="dxa"/>
            <w:vAlign w:val="bottom"/>
          </w:tcPr>
          <w:p>
            <w:pPr>
              <w:spacing w:after="0"/>
              <w:rPr>
                <w:sz w:val="20"/>
                <w:szCs w:val="20"/>
                <w:color w:val="auto"/>
              </w:rPr>
            </w:pPr>
            <w:r>
              <w:rPr>
                <w:rFonts w:ascii="Arial" w:cs="Arial" w:eastAsia="Arial" w:hAnsi="Arial"/>
                <w:sz w:val="15"/>
                <w:szCs w:val="15"/>
                <w:color w:val="auto"/>
              </w:rPr>
              <w:t>E-2.4B</w:t>
            </w:r>
          </w:p>
        </w:tc>
        <w:tc>
          <w:tcPr>
            <w:tcW w:w="5640" w:type="dxa"/>
            <w:vAlign w:val="bottom"/>
            <w:gridSpan w:val="2"/>
          </w:tcPr>
          <w:p>
            <w:pPr>
              <w:ind w:left="320"/>
              <w:spacing w:after="0"/>
              <w:rPr>
                <w:sz w:val="20"/>
                <w:szCs w:val="20"/>
                <w:color w:val="auto"/>
              </w:rPr>
            </w:pPr>
            <w:r>
              <w:rPr>
                <w:rFonts w:ascii="Arial" w:cs="Arial" w:eastAsia="Arial" w:hAnsi="Arial"/>
                <w:sz w:val="15"/>
                <w:szCs w:val="15"/>
                <w:color w:val="auto"/>
              </w:rPr>
              <w:t>ELECTRICAL FOURTH FLOOR PARTIAL POWER PLAN PART B</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\\Aha-engineers.com\ahalexcam\Projects\2015-Boston-Cam-Rep\M0315-010.30\Drawings\x-Dwg Lists\2015-11-2 SD Set Drawing List.doc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312025" cy="6864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12025" cy="686435"/>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7498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12025" cy="4749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749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12025" cy="4749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7637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12025" cy="4763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6526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12025" cy="465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7777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12025" cy="4777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7637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12025" cy="4763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5140325</wp:posOffset>
            </wp:positionV>
            <wp:extent cx="731202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979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12025" cy="497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200025</wp:posOffset>
            </wp:positionV>
            <wp:extent cx="7312025" cy="48609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12025" cy="4860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ind w:right="-177"/>
        <w:spacing w:after="0"/>
        <w:rPr>
          <w:sz w:val="20"/>
          <w:szCs w:val="20"/>
          <w:color w:val="auto"/>
        </w:rPr>
      </w:pPr>
      <w:r>
        <w:rPr>
          <w:rFonts w:ascii="Arial" w:cs="Arial" w:eastAsia="Arial" w:hAnsi="Arial"/>
          <w:sz w:val="15"/>
          <w:szCs w:val="15"/>
          <w:b w:val="1"/>
          <w:bCs w:val="1"/>
          <w:u w:val="single" w:color="auto"/>
          <w:color w:val="auto"/>
        </w:rPr>
        <w:t>EXHIBIT B-2</w:t>
      </w:r>
    </w:p>
    <w:p>
      <w:pPr>
        <w:spacing w:after="0" w:line="178" w:lineRule="exact"/>
        <w:rPr>
          <w:sz w:val="20"/>
          <w:szCs w:val="20"/>
          <w:color w:val="auto"/>
        </w:rPr>
      </w:pPr>
    </w:p>
    <w:p>
      <w:pPr>
        <w:jc w:val="center"/>
        <w:ind w:right="-177"/>
        <w:spacing w:after="0"/>
        <w:rPr>
          <w:sz w:val="20"/>
          <w:szCs w:val="20"/>
          <w:color w:val="auto"/>
        </w:rPr>
      </w:pPr>
      <w:r>
        <w:rPr>
          <w:rFonts w:ascii="Arial" w:cs="Arial" w:eastAsia="Arial" w:hAnsi="Arial"/>
          <w:sz w:val="15"/>
          <w:szCs w:val="15"/>
          <w:b w:val="1"/>
          <w:bCs w:val="1"/>
          <w:u w:val="single" w:color="auto"/>
          <w:color w:val="auto"/>
        </w:rPr>
        <w:t>LANDLORD’S WORK</w:t>
      </w:r>
    </w:p>
    <w:p>
      <w:pPr>
        <w:spacing w:after="0" w:line="182" w:lineRule="exact"/>
        <w:rPr>
          <w:sz w:val="20"/>
          <w:szCs w:val="20"/>
          <w:color w:val="auto"/>
        </w:rPr>
      </w:pPr>
    </w:p>
    <w:p>
      <w:pPr>
        <w:jc w:val="center"/>
        <w:ind w:right="-177"/>
        <w:spacing w:after="0"/>
        <w:rPr>
          <w:sz w:val="20"/>
          <w:szCs w:val="20"/>
          <w:color w:val="auto"/>
        </w:rPr>
      </w:pPr>
      <w:r>
        <w:rPr>
          <w:rFonts w:ascii="Arial" w:cs="Arial" w:eastAsia="Arial" w:hAnsi="Arial"/>
          <w:sz w:val="15"/>
          <w:szCs w:val="15"/>
          <w:u w:val="single" w:color="auto"/>
          <w:color w:val="auto"/>
        </w:rPr>
        <w:t>200 Sidney – Common Area Improvements</w:t>
      </w:r>
    </w:p>
    <w:p>
      <w:pPr>
        <w:spacing w:after="0" w:line="178" w:lineRule="exact"/>
        <w:rPr>
          <w:sz w:val="20"/>
          <w:szCs w:val="20"/>
          <w:color w:val="auto"/>
        </w:rPr>
      </w:pPr>
    </w:p>
    <w:p>
      <w:pPr>
        <w:ind w:left="518" w:hanging="518"/>
        <w:spacing w:after="0"/>
        <w:tabs>
          <w:tab w:leader="none" w:pos="518" w:val="left"/>
        </w:tabs>
        <w:numPr>
          <w:ilvl w:val="0"/>
          <w:numId w:val="190"/>
        </w:numPr>
        <w:rPr>
          <w:rFonts w:ascii="Arial" w:cs="Arial" w:eastAsia="Arial" w:hAnsi="Arial"/>
          <w:sz w:val="12"/>
          <w:szCs w:val="12"/>
          <w:color w:val="auto"/>
        </w:rPr>
      </w:pPr>
      <w:r>
        <w:rPr>
          <w:rFonts w:ascii="Arial" w:cs="Arial" w:eastAsia="Arial" w:hAnsi="Arial"/>
          <w:sz w:val="12"/>
          <w:szCs w:val="12"/>
          <w:color w:val="auto"/>
        </w:rPr>
        <w:t>Modifications to existing Sidney Street vestibule to create useable two story space with linear heating elements at glazing, new exit door, new storefront and glass film</w:t>
      </w:r>
    </w:p>
    <w:p>
      <w:pPr>
        <w:spacing w:after="0" w:line="124" w:lineRule="exact"/>
        <w:rPr>
          <w:rFonts w:ascii="Arial" w:cs="Arial" w:eastAsia="Arial" w:hAnsi="Arial"/>
          <w:sz w:val="12"/>
          <w:szCs w:val="12"/>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Renovations of existing base building entrance to create more direct access along with new exterior lighting and hardscaping at entry door</w:t>
      </w:r>
    </w:p>
    <w:p>
      <w:pPr>
        <w:spacing w:after="0" w:line="90" w:lineRule="exact"/>
        <w:rPr>
          <w:rFonts w:ascii="Arial" w:cs="Arial" w:eastAsia="Arial" w:hAnsi="Arial"/>
          <w:sz w:val="15"/>
          <w:szCs w:val="15"/>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New finishes including flooring, lights, audiovisual panel and entry desk at building common entry located on Erie Street</w:t>
      </w:r>
    </w:p>
    <w:p>
      <w:pPr>
        <w:spacing w:after="0" w:line="90" w:lineRule="exact"/>
        <w:rPr>
          <w:rFonts w:ascii="Arial" w:cs="Arial" w:eastAsia="Arial" w:hAnsi="Arial"/>
          <w:sz w:val="15"/>
          <w:szCs w:val="15"/>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Renovations to existing building common hallway, loading and elevator cabs with new flooring, ceiling and lighting</w:t>
      </w:r>
    </w:p>
    <w:p>
      <w:pPr>
        <w:spacing w:after="0" w:line="90" w:lineRule="exact"/>
        <w:rPr>
          <w:rFonts w:ascii="Arial" w:cs="Arial" w:eastAsia="Arial" w:hAnsi="Arial"/>
          <w:sz w:val="15"/>
          <w:szCs w:val="15"/>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Installaion of two building common shower rooms to support pedestrian commuters</w:t>
      </w:r>
    </w:p>
    <w:p>
      <w:pPr>
        <w:spacing w:after="0" w:line="90" w:lineRule="exact"/>
        <w:rPr>
          <w:rFonts w:ascii="Arial" w:cs="Arial" w:eastAsia="Arial" w:hAnsi="Arial"/>
          <w:sz w:val="15"/>
          <w:szCs w:val="15"/>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At least one set of restrooms on floors one (1) and three (3) to be in good working order</w:t>
      </w:r>
    </w:p>
    <w:p>
      <w:pPr>
        <w:spacing w:after="0" w:line="90" w:lineRule="exact"/>
        <w:rPr>
          <w:rFonts w:ascii="Arial" w:cs="Arial" w:eastAsia="Arial" w:hAnsi="Arial"/>
          <w:sz w:val="15"/>
          <w:szCs w:val="15"/>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Restroom and elevator lobby on floor four (4) to be substantially complete consistent with other restrooms and elevator lobbies in the Building</w:t>
      </w:r>
    </w:p>
    <w:p>
      <w:pPr>
        <w:spacing w:after="0" w:line="90" w:lineRule="exact"/>
        <w:rPr>
          <w:rFonts w:ascii="Arial" w:cs="Arial" w:eastAsia="Arial" w:hAnsi="Arial"/>
          <w:sz w:val="15"/>
          <w:szCs w:val="15"/>
          <w:color w:val="auto"/>
        </w:rPr>
      </w:pPr>
    </w:p>
    <w:p>
      <w:pPr>
        <w:ind w:left="518" w:hanging="518"/>
        <w:spacing w:after="0"/>
        <w:tabs>
          <w:tab w:leader="none" w:pos="518" w:val="left"/>
        </w:tabs>
        <w:numPr>
          <w:ilvl w:val="0"/>
          <w:numId w:val="190"/>
        </w:numPr>
        <w:rPr>
          <w:rFonts w:ascii="Arial" w:cs="Arial" w:eastAsia="Arial" w:hAnsi="Arial"/>
          <w:sz w:val="14"/>
          <w:szCs w:val="14"/>
          <w:color w:val="auto"/>
        </w:rPr>
      </w:pPr>
      <w:r>
        <w:rPr>
          <w:rFonts w:ascii="Arial" w:cs="Arial" w:eastAsia="Arial" w:hAnsi="Arial"/>
          <w:sz w:val="14"/>
          <w:szCs w:val="14"/>
          <w:color w:val="auto"/>
        </w:rPr>
        <w:t>Updated Exterior hardscaping along Erie Street including new exterior base building monument sign (To be completed by Rent Commencement Date)</w:t>
      </w:r>
    </w:p>
    <w:p>
      <w:pPr>
        <w:spacing w:after="0" w:line="101" w:lineRule="exact"/>
        <w:rPr>
          <w:rFonts w:ascii="Arial" w:cs="Arial" w:eastAsia="Arial" w:hAnsi="Arial"/>
          <w:sz w:val="14"/>
          <w:szCs w:val="14"/>
          <w:color w:val="auto"/>
        </w:rPr>
      </w:pPr>
    </w:p>
    <w:p>
      <w:pPr>
        <w:ind w:left="518" w:hanging="518"/>
        <w:spacing w:after="0"/>
        <w:tabs>
          <w:tab w:leader="none" w:pos="51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Landscaping along the alley on Erie Street to provide informal exterior gathering space (To be completed by Rent Commencement Date)</w:t>
      </w:r>
    </w:p>
    <w:p>
      <w:pPr>
        <w:spacing w:after="0" w:line="200" w:lineRule="exact"/>
        <w:rPr>
          <w:sz w:val="20"/>
          <w:szCs w:val="20"/>
          <w:color w:val="auto"/>
        </w:rPr>
      </w:pPr>
    </w:p>
    <w:p>
      <w:pPr>
        <w:spacing w:after="0" w:line="328" w:lineRule="exact"/>
        <w:rPr>
          <w:sz w:val="20"/>
          <w:szCs w:val="20"/>
          <w:color w:val="auto"/>
        </w:rPr>
      </w:pPr>
    </w:p>
    <w:p>
      <w:pPr>
        <w:jc w:val="center"/>
        <w:ind w:right="-177"/>
        <w:spacing w:after="0"/>
        <w:rPr>
          <w:sz w:val="20"/>
          <w:szCs w:val="20"/>
          <w:color w:val="auto"/>
        </w:rPr>
      </w:pPr>
      <w:r>
        <w:rPr>
          <w:rFonts w:ascii="Arial" w:cs="Arial" w:eastAsia="Arial" w:hAnsi="Arial"/>
          <w:sz w:val="15"/>
          <w:szCs w:val="15"/>
          <w:color w:val="auto"/>
        </w:rPr>
        <w:t>Page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51435</wp:posOffset>
            </wp:positionV>
            <wp:extent cx="731202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8"/>
          </w:cols>
          <w:pgMar w:left="742" w:top="300" w:right="91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5"/>
          <w:szCs w:val="15"/>
          <w:b w:val="1"/>
          <w:bCs w:val="1"/>
          <w:color w:val="auto"/>
        </w:rPr>
        <w:t>EXHIBIT B-3-a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BUDGET FOR LAB/OFFICE IMPROVEMENTS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273685</wp:posOffset>
            </wp:positionV>
            <wp:extent cx="731202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05" w:name="page306"/>
    <w:bookmarkEnd w:id="305"/>
    <w:p>
      <w:pPr>
        <w:spacing w:after="0"/>
        <w:rPr>
          <w:sz w:val="20"/>
          <w:szCs w:val="20"/>
          <w:color w:val="auto"/>
        </w:rPr>
      </w:pPr>
      <w:r>
        <w:rPr>
          <w:rFonts w:ascii="Arial" w:cs="Arial" w:eastAsia="Arial" w:hAnsi="Arial"/>
          <w:sz w:val="15"/>
          <w:szCs w:val="15"/>
          <w:b w:val="1"/>
          <w:bCs w:val="1"/>
          <w:color w:val="auto"/>
        </w:rPr>
        <w:t>BioMed Realty Trust</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 Sidney Street Redevelopment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220" w:type="dxa"/>
            <w:vAlign w:val="bottom"/>
          </w:tcPr>
          <w:p>
            <w:pPr>
              <w:spacing w:after="0"/>
              <w:rPr>
                <w:sz w:val="20"/>
                <w:szCs w:val="20"/>
                <w:color w:val="auto"/>
              </w:rPr>
            </w:pPr>
            <w:r>
              <w:rPr>
                <w:rFonts w:ascii="Arial" w:cs="Arial" w:eastAsia="Arial" w:hAnsi="Arial"/>
                <w:sz w:val="12"/>
                <w:szCs w:val="12"/>
                <w:b w:val="1"/>
                <w:bCs w:val="1"/>
                <w:color w:val="auto"/>
              </w:rPr>
              <w:t>200 Sidney Street - Seres Development Budget</w:t>
            </w: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83,396</w:t>
            </w:r>
          </w:p>
        </w:tc>
        <w:tc>
          <w:tcPr>
            <w:tcW w:w="10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rsf</w:t>
            </w:r>
          </w:p>
        </w:tc>
        <w:tc>
          <w:tcPr>
            <w:tcW w:w="2360" w:type="dxa"/>
            <w:vAlign w:val="bottom"/>
            <w:gridSpan w:val="2"/>
          </w:tcPr>
          <w:p>
            <w:pPr>
              <w:jc w:val="right"/>
              <w:spacing w:after="0"/>
              <w:rPr>
                <w:sz w:val="20"/>
                <w:szCs w:val="20"/>
                <w:color w:val="auto"/>
              </w:rPr>
            </w:pPr>
            <w:r>
              <w:rPr>
                <w:rFonts w:ascii="Arial" w:cs="Arial" w:eastAsia="Arial" w:hAnsi="Arial"/>
                <w:sz w:val="12"/>
                <w:szCs w:val="12"/>
                <w:b w:val="1"/>
                <w:bCs w:val="1"/>
                <w:color w:val="auto"/>
              </w:rPr>
              <w:t>11/11/2015</w:t>
            </w:r>
          </w:p>
        </w:tc>
        <w:tc>
          <w:tcPr>
            <w:tcW w:w="0" w:type="dxa"/>
            <w:vAlign w:val="bottom"/>
          </w:tcPr>
          <w:p>
            <w:pPr>
              <w:spacing w:after="0"/>
              <w:rPr>
                <w:sz w:val="1"/>
                <w:szCs w:val="1"/>
                <w:color w:val="auto"/>
              </w:rPr>
            </w:pPr>
          </w:p>
        </w:tc>
      </w:tr>
      <w:tr>
        <w:trPr>
          <w:trHeight w:val="384"/>
        </w:trPr>
        <w:tc>
          <w:tcPr>
            <w:tcW w:w="32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PROGRAM</w:t>
            </w:r>
          </w:p>
        </w:tc>
        <w:tc>
          <w:tcPr>
            <w:tcW w:w="1600" w:type="dxa"/>
            <w:vAlign w:val="bottom"/>
            <w:tcBorders>
              <w:top w:val="single" w:sz="8" w:color="auto"/>
            </w:tcBorders>
          </w:tcPr>
          <w:p>
            <w:pPr>
              <w:ind w:left="180"/>
              <w:spacing w:after="0"/>
              <w:rPr>
                <w:sz w:val="20"/>
                <w:szCs w:val="20"/>
                <w:color w:val="auto"/>
              </w:rPr>
            </w:pPr>
            <w:r>
              <w:rPr>
                <w:rFonts w:ascii="Arial" w:cs="Arial" w:eastAsia="Arial" w:hAnsi="Arial"/>
                <w:sz w:val="15"/>
                <w:szCs w:val="15"/>
                <w:b w:val="1"/>
                <w:bCs w:val="1"/>
                <w:color w:val="auto"/>
              </w:rPr>
              <w:t>RENTABLE SF</w:t>
            </w: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HARD COST</w:t>
            </w: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20"/>
                <w:szCs w:val="20"/>
                <w:color w:val="auto"/>
              </w:rPr>
            </w:pPr>
            <w:r>
              <w:rPr>
                <w:rFonts w:ascii="Arial" w:cs="Arial" w:eastAsia="Arial" w:hAnsi="Arial"/>
                <w:sz w:val="15"/>
                <w:szCs w:val="15"/>
                <w:color w:val="auto"/>
              </w:rPr>
              <w:t>Lab + Office</w:t>
            </w:r>
          </w:p>
        </w:tc>
        <w:tc>
          <w:tcPr>
            <w:tcW w:w="1600" w:type="dxa"/>
            <w:vAlign w:val="bottom"/>
          </w:tcPr>
          <w:p>
            <w:pPr>
              <w:jc w:val="center"/>
              <w:ind w:left="207"/>
              <w:spacing w:after="0"/>
              <w:rPr>
                <w:sz w:val="20"/>
                <w:szCs w:val="20"/>
                <w:color w:val="auto"/>
              </w:rPr>
            </w:pPr>
            <w:r>
              <w:rPr>
                <w:rFonts w:ascii="Arial" w:cs="Arial" w:eastAsia="Arial" w:hAnsi="Arial"/>
                <w:sz w:val="15"/>
                <w:szCs w:val="15"/>
                <w:color w:val="auto"/>
                <w:w w:val="95"/>
              </w:rPr>
              <w:t>70,133</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$10,432,768</w:t>
            </w:r>
          </w:p>
        </w:tc>
        <w:tc>
          <w:tcPr>
            <w:tcW w:w="960" w:type="dxa"/>
            <w:vAlign w:val="bottom"/>
          </w:tcPr>
          <w:p>
            <w:pPr>
              <w:jc w:val="right"/>
              <w:spacing w:after="0"/>
              <w:rPr>
                <w:sz w:val="20"/>
                <w:szCs w:val="20"/>
                <w:color w:val="auto"/>
              </w:rPr>
            </w:pPr>
            <w:r>
              <w:rPr>
                <w:rFonts w:ascii="Arial" w:cs="Arial" w:eastAsia="Arial" w:hAnsi="Arial"/>
                <w:sz w:val="15"/>
                <w:szCs w:val="15"/>
                <w:color w:val="auto"/>
              </w:rPr>
              <w:t>$148.76</w:t>
            </w:r>
          </w:p>
        </w:tc>
        <w:tc>
          <w:tcPr>
            <w:tcW w:w="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TRG Estimate 10/30/15</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Arial" w:cs="Arial" w:eastAsia="Arial" w:hAnsi="Arial"/>
                <w:sz w:val="15"/>
                <w:szCs w:val="15"/>
                <w:color w:val="auto"/>
              </w:rPr>
              <w:t>Animal Care Facility (ACF)</w:t>
            </w:r>
          </w:p>
        </w:tc>
        <w:tc>
          <w:tcPr>
            <w:tcW w:w="1600" w:type="dxa"/>
            <w:vAlign w:val="bottom"/>
          </w:tcPr>
          <w:p>
            <w:pPr>
              <w:jc w:val="center"/>
              <w:ind w:left="207"/>
              <w:spacing w:after="0"/>
              <w:rPr>
                <w:sz w:val="20"/>
                <w:szCs w:val="20"/>
                <w:color w:val="auto"/>
              </w:rPr>
            </w:pPr>
            <w:r>
              <w:rPr>
                <w:rFonts w:ascii="Arial" w:cs="Arial" w:eastAsia="Arial" w:hAnsi="Arial"/>
                <w:sz w:val="15"/>
                <w:szCs w:val="15"/>
                <w:color w:val="auto"/>
                <w:w w:val="95"/>
              </w:rPr>
              <w:t>1,890</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$774,859</w:t>
            </w:r>
          </w:p>
        </w:tc>
        <w:tc>
          <w:tcPr>
            <w:tcW w:w="960" w:type="dxa"/>
            <w:vAlign w:val="bottom"/>
          </w:tcPr>
          <w:p>
            <w:pPr>
              <w:jc w:val="right"/>
              <w:spacing w:after="0"/>
              <w:rPr>
                <w:sz w:val="20"/>
                <w:szCs w:val="20"/>
                <w:color w:val="auto"/>
              </w:rPr>
            </w:pPr>
            <w:r>
              <w:rPr>
                <w:rFonts w:ascii="Arial" w:cs="Arial" w:eastAsia="Arial" w:hAnsi="Arial"/>
                <w:sz w:val="15"/>
                <w:szCs w:val="15"/>
                <w:color w:val="auto"/>
              </w:rPr>
              <w:t>$409.98</w:t>
            </w: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TRG Estimate 10/30/15</w:t>
            </w:r>
          </w:p>
        </w:tc>
        <w:tc>
          <w:tcPr>
            <w:tcW w:w="0" w:type="dxa"/>
            <w:vAlign w:val="bottom"/>
          </w:tcPr>
          <w:p>
            <w:pPr>
              <w:spacing w:after="0"/>
              <w:rPr>
                <w:sz w:val="1"/>
                <w:szCs w:val="1"/>
                <w:color w:val="auto"/>
              </w:rPr>
            </w:pPr>
          </w:p>
        </w:tc>
      </w:tr>
      <w:tr>
        <w:trPr>
          <w:trHeight w:val="218"/>
        </w:trPr>
        <w:tc>
          <w:tcPr>
            <w:tcW w:w="3220" w:type="dxa"/>
            <w:vAlign w:val="bottom"/>
          </w:tcPr>
          <w:p>
            <w:pPr>
              <w:spacing w:after="0"/>
              <w:rPr>
                <w:sz w:val="20"/>
                <w:szCs w:val="20"/>
                <w:color w:val="auto"/>
              </w:rPr>
            </w:pPr>
            <w:r>
              <w:rPr>
                <w:rFonts w:ascii="Arial" w:cs="Arial" w:eastAsia="Arial" w:hAnsi="Arial"/>
                <w:sz w:val="15"/>
                <w:szCs w:val="15"/>
                <w:color w:val="auto"/>
              </w:rPr>
              <w:t>TOTAL LAB + OFFICE AREA</w:t>
            </w:r>
          </w:p>
        </w:tc>
        <w:tc>
          <w:tcPr>
            <w:tcW w:w="1600" w:type="dxa"/>
            <w:vAlign w:val="bottom"/>
          </w:tcPr>
          <w:p>
            <w:pPr>
              <w:jc w:val="center"/>
              <w:ind w:left="207"/>
              <w:spacing w:after="0"/>
              <w:rPr>
                <w:sz w:val="20"/>
                <w:szCs w:val="20"/>
                <w:color w:val="auto"/>
              </w:rPr>
            </w:pPr>
            <w:r>
              <w:rPr>
                <w:rFonts w:ascii="Arial" w:cs="Arial" w:eastAsia="Arial" w:hAnsi="Arial"/>
                <w:sz w:val="15"/>
                <w:szCs w:val="15"/>
                <w:color w:val="auto"/>
                <w:w w:val="95"/>
              </w:rPr>
              <w:t>72,023</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$11,207,627</w:t>
            </w:r>
          </w:p>
        </w:tc>
        <w:tc>
          <w:tcPr>
            <w:tcW w:w="960" w:type="dxa"/>
            <w:vAlign w:val="bottom"/>
          </w:tcPr>
          <w:p>
            <w:pPr>
              <w:jc w:val="right"/>
              <w:spacing w:after="0"/>
              <w:rPr>
                <w:sz w:val="20"/>
                <w:szCs w:val="20"/>
                <w:color w:val="auto"/>
              </w:rPr>
            </w:pPr>
            <w:r>
              <w:rPr>
                <w:rFonts w:ascii="Arial" w:cs="Arial" w:eastAsia="Arial" w:hAnsi="Arial"/>
                <w:sz w:val="15"/>
                <w:szCs w:val="15"/>
                <w:color w:val="auto"/>
              </w:rPr>
              <w:t>$155.61</w:t>
            </w: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rPr>
                <w:sz w:val="20"/>
                <w:szCs w:val="20"/>
                <w:color w:val="auto"/>
              </w:rPr>
            </w:pPr>
            <w:r>
              <w:rPr>
                <w:rFonts w:ascii="Arial" w:cs="Arial" w:eastAsia="Arial" w:hAnsi="Arial"/>
                <w:sz w:val="15"/>
                <w:szCs w:val="15"/>
                <w:color w:val="auto"/>
              </w:rPr>
              <w:t>TOTAL MANUFACTURING AREA</w:t>
            </w:r>
          </w:p>
        </w:tc>
        <w:tc>
          <w:tcPr>
            <w:tcW w:w="1600" w:type="dxa"/>
            <w:vAlign w:val="bottom"/>
          </w:tcPr>
          <w:p>
            <w:pPr>
              <w:jc w:val="center"/>
              <w:ind w:left="207"/>
              <w:spacing w:after="0"/>
              <w:rPr>
                <w:sz w:val="20"/>
                <w:szCs w:val="20"/>
                <w:color w:val="auto"/>
              </w:rPr>
            </w:pPr>
            <w:r>
              <w:rPr>
                <w:rFonts w:ascii="Arial" w:cs="Arial" w:eastAsia="Arial" w:hAnsi="Arial"/>
                <w:sz w:val="15"/>
                <w:szCs w:val="15"/>
                <w:color w:val="auto"/>
                <w:w w:val="95"/>
              </w:rPr>
              <w:t>11,373</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$10,734,299</w:t>
            </w:r>
          </w:p>
        </w:tc>
        <w:tc>
          <w:tcPr>
            <w:tcW w:w="960" w:type="dxa"/>
            <w:vAlign w:val="bottom"/>
          </w:tcPr>
          <w:p>
            <w:pPr>
              <w:jc w:val="right"/>
              <w:spacing w:after="0"/>
              <w:rPr>
                <w:sz w:val="20"/>
                <w:szCs w:val="20"/>
                <w:color w:val="auto"/>
              </w:rPr>
            </w:pPr>
            <w:r>
              <w:rPr>
                <w:rFonts w:ascii="Arial" w:cs="Arial" w:eastAsia="Arial" w:hAnsi="Arial"/>
                <w:sz w:val="15"/>
                <w:szCs w:val="15"/>
                <w:color w:val="auto"/>
              </w:rPr>
              <w:t>$943.84</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TRG Estimate 10/30/15</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5"/>
                <w:szCs w:val="15"/>
                <w:b w:val="1"/>
                <w:bCs w:val="1"/>
                <w:color w:val="auto"/>
              </w:rPr>
              <w:t>TOTAL</w:t>
            </w:r>
          </w:p>
        </w:tc>
        <w:tc>
          <w:tcPr>
            <w:tcW w:w="1600" w:type="dxa"/>
            <w:vAlign w:val="bottom"/>
            <w:vMerge w:val="restart"/>
          </w:tcPr>
          <w:p>
            <w:pPr>
              <w:jc w:val="center"/>
              <w:ind w:left="207"/>
              <w:spacing w:after="0"/>
              <w:rPr>
                <w:sz w:val="20"/>
                <w:szCs w:val="20"/>
                <w:color w:val="auto"/>
              </w:rPr>
            </w:pPr>
            <w:r>
              <w:rPr>
                <w:rFonts w:ascii="Arial" w:cs="Arial" w:eastAsia="Arial" w:hAnsi="Arial"/>
                <w:sz w:val="15"/>
                <w:szCs w:val="15"/>
                <w:b w:val="1"/>
                <w:bCs w:val="1"/>
                <w:color w:val="auto"/>
                <w:w w:val="95"/>
              </w:rPr>
              <w:t>83,396</w:t>
            </w: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2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$21,941,926</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$263.11</w:t>
            </w: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HARD COSTS</w:t>
            </w: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220" w:type="dxa"/>
            <w:vAlign w:val="bottom"/>
            <w:vMerge w:val="continue"/>
          </w:tcPr>
          <w:p>
            <w:pPr>
              <w:spacing w:after="0"/>
              <w:rPr>
                <w:sz w:val="21"/>
                <w:szCs w:val="21"/>
                <w:color w:val="auto"/>
              </w:rPr>
            </w:pPr>
          </w:p>
        </w:tc>
        <w:tc>
          <w:tcPr>
            <w:tcW w:w="1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180"/>
              <w:spacing w:after="0"/>
              <w:rPr>
                <w:sz w:val="20"/>
                <w:szCs w:val="20"/>
                <w:color w:val="auto"/>
              </w:rPr>
            </w:pPr>
            <w:r>
              <w:rPr>
                <w:rFonts w:ascii="Arial" w:cs="Arial" w:eastAsia="Arial" w:hAnsi="Arial"/>
                <w:sz w:val="15"/>
                <w:szCs w:val="15"/>
                <w:color w:val="auto"/>
              </w:rPr>
              <w:t>Construction - Phase 1+2 Lab + Office Area</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$11,207,627</w:t>
            </w:r>
          </w:p>
        </w:tc>
        <w:tc>
          <w:tcPr>
            <w:tcW w:w="960" w:type="dxa"/>
            <w:vAlign w:val="bottom"/>
          </w:tcPr>
          <w:p>
            <w:pPr>
              <w:jc w:val="right"/>
              <w:spacing w:after="0"/>
              <w:rPr>
                <w:sz w:val="20"/>
                <w:szCs w:val="20"/>
                <w:color w:val="auto"/>
              </w:rPr>
            </w:pPr>
            <w:r>
              <w:rPr>
                <w:rFonts w:ascii="Arial" w:cs="Arial" w:eastAsia="Arial" w:hAnsi="Arial"/>
                <w:sz w:val="15"/>
                <w:szCs w:val="15"/>
                <w:color w:val="auto"/>
              </w:rPr>
              <w:t>$155.61</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 *</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TRG Estimate 10/30/15</w:t>
            </w:r>
          </w:p>
        </w:tc>
        <w:tc>
          <w:tcPr>
            <w:tcW w:w="0" w:type="dxa"/>
            <w:vAlign w:val="bottom"/>
          </w:tcPr>
          <w:p>
            <w:pPr>
              <w:spacing w:after="0"/>
              <w:rPr>
                <w:sz w:val="1"/>
                <w:szCs w:val="1"/>
                <w:color w:val="auto"/>
              </w:rPr>
            </w:pPr>
          </w:p>
        </w:tc>
      </w:tr>
      <w:tr>
        <w:trPr>
          <w:trHeight w:val="190"/>
        </w:trPr>
        <w:tc>
          <w:tcPr>
            <w:tcW w:w="4820" w:type="dxa"/>
            <w:vAlign w:val="bottom"/>
            <w:gridSpan w:val="2"/>
          </w:tcPr>
          <w:p>
            <w:pPr>
              <w:ind w:left="180"/>
              <w:spacing w:after="0"/>
              <w:rPr>
                <w:sz w:val="20"/>
                <w:szCs w:val="20"/>
                <w:color w:val="auto"/>
              </w:rPr>
            </w:pPr>
            <w:r>
              <w:rPr>
                <w:rFonts w:ascii="Arial" w:cs="Arial" w:eastAsia="Arial" w:hAnsi="Arial"/>
                <w:sz w:val="15"/>
                <w:szCs w:val="15"/>
                <w:color w:val="auto"/>
              </w:rPr>
              <w:t>Construction - Phase 2 (Manufacturing Area + QC Lab)</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$10,734,299</w:t>
            </w:r>
          </w:p>
        </w:tc>
        <w:tc>
          <w:tcPr>
            <w:tcW w:w="960" w:type="dxa"/>
            <w:vAlign w:val="bottom"/>
          </w:tcPr>
          <w:p>
            <w:pPr>
              <w:jc w:val="right"/>
              <w:spacing w:after="0"/>
              <w:rPr>
                <w:sz w:val="20"/>
                <w:szCs w:val="20"/>
                <w:color w:val="auto"/>
              </w:rPr>
            </w:pPr>
            <w:r>
              <w:rPr>
                <w:rFonts w:ascii="Arial" w:cs="Arial" w:eastAsia="Arial" w:hAnsi="Arial"/>
                <w:sz w:val="15"/>
                <w:szCs w:val="15"/>
                <w:color w:val="auto"/>
              </w:rPr>
              <w:t>$943.84</w:t>
            </w: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 **</w:t>
            </w:r>
          </w:p>
        </w:tc>
        <w:tc>
          <w:tcPr>
            <w:tcW w:w="10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TRG Estimate 10/30/15</w:t>
            </w:r>
          </w:p>
        </w:tc>
        <w:tc>
          <w:tcPr>
            <w:tcW w:w="0" w:type="dxa"/>
            <w:vAlign w:val="bottom"/>
          </w:tcPr>
          <w:p>
            <w:pPr>
              <w:spacing w:after="0"/>
              <w:rPr>
                <w:sz w:val="1"/>
                <w:szCs w:val="1"/>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5"/>
                <w:szCs w:val="15"/>
                <w:color w:val="auto"/>
              </w:rPr>
              <w:t>Metering</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$41,698</w:t>
            </w:r>
          </w:p>
        </w:tc>
        <w:tc>
          <w:tcPr>
            <w:tcW w:w="960" w:type="dxa"/>
            <w:vAlign w:val="bottom"/>
          </w:tcPr>
          <w:p>
            <w:pPr>
              <w:jc w:val="right"/>
              <w:spacing w:after="0"/>
              <w:rPr>
                <w:sz w:val="20"/>
                <w:szCs w:val="20"/>
                <w:color w:val="auto"/>
              </w:rPr>
            </w:pPr>
            <w:r>
              <w:rPr>
                <w:rFonts w:ascii="Arial" w:cs="Arial" w:eastAsia="Arial" w:hAnsi="Arial"/>
                <w:sz w:val="15"/>
                <w:szCs w:val="15"/>
                <w:color w:val="auto"/>
              </w:rPr>
              <w:t>$0.50</w:t>
            </w: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Allowance</w:t>
            </w:r>
          </w:p>
        </w:tc>
        <w:tc>
          <w:tcPr>
            <w:tcW w:w="0" w:type="dxa"/>
            <w:vAlign w:val="bottom"/>
          </w:tcPr>
          <w:p>
            <w:pPr>
              <w:spacing w:after="0"/>
              <w:rPr>
                <w:sz w:val="1"/>
                <w:szCs w:val="1"/>
                <w:color w:val="auto"/>
              </w:rPr>
            </w:pPr>
          </w:p>
        </w:tc>
      </w:tr>
      <w:tr>
        <w:trPr>
          <w:trHeight w:val="186"/>
        </w:trPr>
        <w:tc>
          <w:tcPr>
            <w:tcW w:w="3220" w:type="dxa"/>
            <w:vAlign w:val="bottom"/>
          </w:tcPr>
          <w:p>
            <w:pPr>
              <w:ind w:left="180"/>
              <w:spacing w:after="0"/>
              <w:rPr>
                <w:sz w:val="20"/>
                <w:szCs w:val="20"/>
                <w:color w:val="auto"/>
              </w:rPr>
            </w:pPr>
            <w:r>
              <w:rPr>
                <w:rFonts w:ascii="Arial" w:cs="Arial" w:eastAsia="Arial" w:hAnsi="Arial"/>
                <w:sz w:val="15"/>
                <w:szCs w:val="15"/>
                <w:color w:val="auto"/>
              </w:rPr>
              <w:t>Hard Cost Contingency</w:t>
            </w:r>
          </w:p>
        </w:tc>
        <w:tc>
          <w:tcPr>
            <w:tcW w:w="1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w:t>
            </w:r>
          </w:p>
        </w:tc>
        <w:tc>
          <w:tcPr>
            <w:tcW w:w="2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$375,000</w:t>
            </w:r>
          </w:p>
        </w:tc>
        <w:tc>
          <w:tcPr>
            <w:tcW w:w="960" w:type="dxa"/>
            <w:vAlign w:val="bottom"/>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180"/>
              <w:spacing w:after="0"/>
              <w:rPr>
                <w:sz w:val="20"/>
                <w:szCs w:val="20"/>
                <w:color w:val="auto"/>
              </w:rPr>
            </w:pPr>
            <w:r>
              <w:rPr>
                <w:rFonts w:ascii="Arial" w:cs="Arial" w:eastAsia="Arial" w:hAnsi="Arial"/>
                <w:sz w:val="15"/>
                <w:szCs w:val="15"/>
                <w:b w:val="1"/>
                <w:bCs w:val="1"/>
                <w:color w:val="auto"/>
              </w:rPr>
              <w:t>SUB-TOTAL - HARD COST</w:t>
            </w: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$22,358,624</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$268.10</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SOFT COSTS</w:t>
            </w: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20" w:type="dxa"/>
            <w:vAlign w:val="bottom"/>
            <w:vMerge w:val="continue"/>
          </w:tcPr>
          <w:p>
            <w:pPr>
              <w:spacing w:after="0"/>
              <w:rPr>
                <w:sz w:val="21"/>
                <w:szCs w:val="21"/>
                <w:color w:val="auto"/>
              </w:rPr>
            </w:pPr>
          </w:p>
        </w:tc>
        <w:tc>
          <w:tcPr>
            <w:tcW w:w="1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5"/>
                <w:szCs w:val="15"/>
                <w:color w:val="auto"/>
              </w:rPr>
              <w:t>Design Fees - Phase 1+2 Lab + Office Area</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$735,732</w:t>
            </w:r>
          </w:p>
        </w:tc>
        <w:tc>
          <w:tcPr>
            <w:tcW w:w="960" w:type="dxa"/>
            <w:vAlign w:val="bottom"/>
          </w:tcPr>
          <w:p>
            <w:pPr>
              <w:jc w:val="right"/>
              <w:spacing w:after="0"/>
              <w:rPr>
                <w:sz w:val="20"/>
                <w:szCs w:val="20"/>
                <w:color w:val="auto"/>
              </w:rPr>
            </w:pPr>
            <w:r>
              <w:rPr>
                <w:rFonts w:ascii="Arial" w:cs="Arial" w:eastAsia="Arial" w:hAnsi="Arial"/>
                <w:sz w:val="15"/>
                <w:szCs w:val="15"/>
                <w:color w:val="auto"/>
              </w:rPr>
              <w:t>$8.82</w:t>
            </w: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 ***</w:t>
            </w:r>
          </w:p>
        </w:tc>
        <w:tc>
          <w:tcPr>
            <w:tcW w:w="100" w:type="dxa"/>
            <w:vAlign w:val="bottom"/>
          </w:tcPr>
          <w:p>
            <w:pPr>
              <w:spacing w:after="0"/>
              <w:rPr>
                <w:sz w:val="19"/>
                <w:szCs w:val="19"/>
                <w:color w:val="auto"/>
              </w:rPr>
            </w:pPr>
          </w:p>
        </w:tc>
        <w:tc>
          <w:tcPr>
            <w:tcW w:w="2260" w:type="dxa"/>
            <w:vAlign w:val="bottom"/>
          </w:tcPr>
          <w:p>
            <w:pPr>
              <w:jc w:val="right"/>
              <w:ind w:right="7"/>
              <w:spacing w:after="0"/>
              <w:rPr>
                <w:sz w:val="20"/>
                <w:szCs w:val="20"/>
                <w:color w:val="auto"/>
              </w:rPr>
            </w:pPr>
            <w:r>
              <w:rPr>
                <w:rFonts w:ascii="Arial" w:cs="Arial" w:eastAsia="Arial" w:hAnsi="Arial"/>
                <w:sz w:val="15"/>
                <w:szCs w:val="15"/>
                <w:i w:val="1"/>
                <w:iCs w:val="1"/>
                <w:color w:val="auto"/>
              </w:rPr>
              <w:t>Dineen Proposal 11/3/15</w:t>
            </w:r>
          </w:p>
        </w:tc>
        <w:tc>
          <w:tcPr>
            <w:tcW w:w="0" w:type="dxa"/>
            <w:vAlign w:val="bottom"/>
          </w:tcPr>
          <w:p>
            <w:pPr>
              <w:spacing w:after="0"/>
              <w:rPr>
                <w:sz w:val="1"/>
                <w:szCs w:val="1"/>
                <w:color w:val="auto"/>
              </w:rPr>
            </w:pPr>
          </w:p>
        </w:tc>
      </w:tr>
      <w:tr>
        <w:trPr>
          <w:trHeight w:val="197"/>
        </w:trPr>
        <w:tc>
          <w:tcPr>
            <w:tcW w:w="3220" w:type="dxa"/>
            <w:vAlign w:val="bottom"/>
          </w:tcPr>
          <w:p>
            <w:pPr>
              <w:ind w:left="180"/>
              <w:spacing w:after="0"/>
              <w:rPr>
                <w:sz w:val="20"/>
                <w:szCs w:val="20"/>
                <w:color w:val="auto"/>
              </w:rPr>
            </w:pPr>
            <w:r>
              <w:rPr>
                <w:rFonts w:ascii="Arial" w:cs="Arial" w:eastAsia="Arial" w:hAnsi="Arial"/>
                <w:sz w:val="15"/>
                <w:szCs w:val="15"/>
                <w:color w:val="auto"/>
              </w:rPr>
              <w:t>Design Reimbursables</w:t>
            </w:r>
          </w:p>
        </w:tc>
        <w:tc>
          <w:tcPr>
            <w:tcW w:w="1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w:t>
            </w:r>
          </w:p>
        </w:tc>
        <w:tc>
          <w:tcPr>
            <w:tcW w:w="28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$29,800</w:t>
            </w:r>
          </w:p>
        </w:tc>
        <w:tc>
          <w:tcPr>
            <w:tcW w:w="960" w:type="dxa"/>
            <w:vAlign w:val="bottom"/>
          </w:tcPr>
          <w:p>
            <w:pPr>
              <w:jc w:val="right"/>
              <w:spacing w:after="0"/>
              <w:rPr>
                <w:sz w:val="20"/>
                <w:szCs w:val="20"/>
                <w:color w:val="auto"/>
              </w:rPr>
            </w:pPr>
            <w:r>
              <w:rPr>
                <w:rFonts w:ascii="Arial" w:cs="Arial" w:eastAsia="Arial" w:hAnsi="Arial"/>
                <w:sz w:val="15"/>
                <w:szCs w:val="15"/>
                <w:color w:val="auto"/>
              </w:rPr>
              <w:t>$0.36</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7"/>
                <w:szCs w:val="17"/>
                <w:color w:val="auto"/>
              </w:rPr>
            </w:pPr>
          </w:p>
        </w:tc>
        <w:tc>
          <w:tcPr>
            <w:tcW w:w="2260" w:type="dxa"/>
            <w:vAlign w:val="bottom"/>
          </w:tcPr>
          <w:p>
            <w:pPr>
              <w:jc w:val="right"/>
              <w:ind w:right="7"/>
              <w:spacing w:after="0"/>
              <w:rPr>
                <w:sz w:val="20"/>
                <w:szCs w:val="20"/>
                <w:color w:val="auto"/>
              </w:rPr>
            </w:pPr>
            <w:r>
              <w:rPr>
                <w:rFonts w:ascii="Arial" w:cs="Arial" w:eastAsia="Arial" w:hAnsi="Arial"/>
                <w:sz w:val="15"/>
                <w:szCs w:val="15"/>
                <w:i w:val="1"/>
                <w:iCs w:val="1"/>
                <w:color w:val="auto"/>
              </w:rPr>
              <w:t>Dineen Proposal 11/3/15</w:t>
            </w:r>
          </w:p>
        </w:tc>
        <w:tc>
          <w:tcPr>
            <w:tcW w:w="0" w:type="dxa"/>
            <w:vAlign w:val="bottom"/>
          </w:tcPr>
          <w:p>
            <w:pPr>
              <w:spacing w:after="0"/>
              <w:rPr>
                <w:sz w:val="1"/>
                <w:szCs w:val="1"/>
                <w:color w:val="auto"/>
              </w:rPr>
            </w:pPr>
          </w:p>
        </w:tc>
      </w:tr>
      <w:tr>
        <w:trPr>
          <w:trHeight w:val="197"/>
        </w:trPr>
        <w:tc>
          <w:tcPr>
            <w:tcW w:w="3220" w:type="dxa"/>
            <w:vAlign w:val="bottom"/>
          </w:tcPr>
          <w:p>
            <w:pPr>
              <w:ind w:left="180"/>
              <w:spacing w:after="0"/>
              <w:rPr>
                <w:sz w:val="20"/>
                <w:szCs w:val="20"/>
                <w:color w:val="auto"/>
              </w:rPr>
            </w:pPr>
            <w:r>
              <w:rPr>
                <w:rFonts w:ascii="Arial" w:cs="Arial" w:eastAsia="Arial" w:hAnsi="Arial"/>
                <w:sz w:val="15"/>
                <w:szCs w:val="15"/>
                <w:color w:val="auto"/>
              </w:rPr>
              <w:t>Design Fees - Phase 2</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$250,000</w:t>
            </w:r>
          </w:p>
        </w:tc>
        <w:tc>
          <w:tcPr>
            <w:tcW w:w="96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Allowance</w:t>
            </w:r>
          </w:p>
        </w:tc>
        <w:tc>
          <w:tcPr>
            <w:tcW w:w="0" w:type="dxa"/>
            <w:vAlign w:val="bottom"/>
          </w:tcPr>
          <w:p>
            <w:pPr>
              <w:spacing w:after="0"/>
              <w:rPr>
                <w:sz w:val="1"/>
                <w:szCs w:val="1"/>
                <w:color w:val="auto"/>
              </w:rPr>
            </w:pPr>
          </w:p>
        </w:tc>
      </w:tr>
      <w:tr>
        <w:trPr>
          <w:trHeight w:val="197"/>
        </w:trPr>
        <w:tc>
          <w:tcPr>
            <w:tcW w:w="3220" w:type="dxa"/>
            <w:vAlign w:val="bottom"/>
          </w:tcPr>
          <w:p>
            <w:pPr>
              <w:ind w:left="180"/>
              <w:spacing w:after="0"/>
              <w:rPr>
                <w:sz w:val="20"/>
                <w:szCs w:val="20"/>
                <w:color w:val="auto"/>
              </w:rPr>
            </w:pPr>
            <w:r>
              <w:rPr>
                <w:rFonts w:ascii="Arial" w:cs="Arial" w:eastAsia="Arial" w:hAnsi="Arial"/>
                <w:sz w:val="15"/>
                <w:szCs w:val="15"/>
                <w:color w:val="auto"/>
              </w:rPr>
              <w:t>Design Reimbursables</w:t>
            </w:r>
          </w:p>
        </w:tc>
        <w:tc>
          <w:tcPr>
            <w:tcW w:w="1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w:t>
            </w:r>
          </w:p>
        </w:tc>
        <w:tc>
          <w:tcPr>
            <w:tcW w:w="28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$10,000</w:t>
            </w:r>
          </w:p>
        </w:tc>
        <w:tc>
          <w:tcPr>
            <w:tcW w:w="960" w:type="dxa"/>
            <w:vAlign w:val="bottom"/>
          </w:tcPr>
          <w:p>
            <w:pPr>
              <w:jc w:val="right"/>
              <w:spacing w:after="0"/>
              <w:rPr>
                <w:sz w:val="20"/>
                <w:szCs w:val="20"/>
                <w:color w:val="auto"/>
              </w:rPr>
            </w:pPr>
            <w:r>
              <w:rPr>
                <w:rFonts w:ascii="Arial" w:cs="Arial" w:eastAsia="Arial" w:hAnsi="Arial"/>
                <w:sz w:val="15"/>
                <w:szCs w:val="15"/>
                <w:color w:val="auto"/>
              </w:rPr>
              <w:t>$0.12</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5"/>
                <w:szCs w:val="15"/>
                <w:i w:val="1"/>
                <w:iCs w:val="1"/>
                <w:color w:val="auto"/>
              </w:rPr>
              <w:t>Allowance</w:t>
            </w:r>
          </w:p>
        </w:tc>
        <w:tc>
          <w:tcPr>
            <w:tcW w:w="0" w:type="dxa"/>
            <w:vAlign w:val="bottom"/>
          </w:tcPr>
          <w:p>
            <w:pPr>
              <w:spacing w:after="0"/>
              <w:rPr>
                <w:sz w:val="1"/>
                <w:szCs w:val="1"/>
                <w:color w:val="auto"/>
              </w:rPr>
            </w:pPr>
          </w:p>
        </w:tc>
      </w:tr>
      <w:tr>
        <w:trPr>
          <w:trHeight w:val="186"/>
        </w:trPr>
        <w:tc>
          <w:tcPr>
            <w:tcW w:w="3220" w:type="dxa"/>
            <w:vAlign w:val="bottom"/>
          </w:tcPr>
          <w:p>
            <w:pPr>
              <w:ind w:left="180"/>
              <w:spacing w:after="0"/>
              <w:rPr>
                <w:sz w:val="20"/>
                <w:szCs w:val="20"/>
                <w:color w:val="auto"/>
              </w:rPr>
            </w:pPr>
            <w:r>
              <w:rPr>
                <w:rFonts w:ascii="Arial" w:cs="Arial" w:eastAsia="Arial" w:hAnsi="Arial"/>
                <w:sz w:val="15"/>
                <w:szCs w:val="15"/>
                <w:color w:val="auto"/>
              </w:rPr>
              <w:t>Soft Cost Contingency</w:t>
            </w:r>
          </w:p>
        </w:tc>
        <w:tc>
          <w:tcPr>
            <w:tcW w:w="1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w:t>
            </w: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$51,276.60</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sf</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5"/>
                <w:szCs w:val="15"/>
                <w:b w:val="1"/>
                <w:bCs w:val="1"/>
                <w:color w:val="auto"/>
              </w:rPr>
              <w:t>SUB-TOTAL - SOFT COST</w:t>
            </w: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$1,076,809</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$12.91</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Fixed Fee</w:t>
            </w:r>
          </w:p>
        </w:tc>
        <w:tc>
          <w:tcPr>
            <w:tcW w:w="0" w:type="dxa"/>
            <w:vAlign w:val="bottom"/>
          </w:tcPr>
          <w:p>
            <w:pPr>
              <w:spacing w:after="0" w:line="20" w:lineRule="exact"/>
              <w:rPr>
                <w:sz w:val="1"/>
                <w:szCs w:val="1"/>
                <w:color w:val="auto"/>
              </w:rPr>
            </w:pPr>
          </w:p>
        </w:tc>
      </w:tr>
      <w:tr>
        <w:trPr>
          <w:trHeight w:val="170"/>
        </w:trPr>
        <w:tc>
          <w:tcPr>
            <w:tcW w:w="3220" w:type="dxa"/>
            <w:vAlign w:val="bottom"/>
          </w:tcPr>
          <w:p>
            <w:pPr>
              <w:ind w:left="180"/>
              <w:spacing w:after="0" w:line="170" w:lineRule="exact"/>
              <w:rPr>
                <w:sz w:val="20"/>
                <w:szCs w:val="20"/>
                <w:color w:val="auto"/>
              </w:rPr>
            </w:pPr>
            <w:r>
              <w:rPr>
                <w:rFonts w:ascii="Arial" w:cs="Arial" w:eastAsia="Arial" w:hAnsi="Arial"/>
                <w:sz w:val="15"/>
                <w:szCs w:val="15"/>
                <w:color w:val="auto"/>
              </w:rPr>
              <w:t>BioMed Development Fee</w:t>
            </w:r>
          </w:p>
        </w:tc>
        <w:tc>
          <w:tcPr>
            <w:tcW w:w="160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5"/>
                <w:szCs w:val="15"/>
                <w:color w:val="auto"/>
              </w:rPr>
              <w:t>0.5%</w:t>
            </w:r>
          </w:p>
        </w:tc>
        <w:tc>
          <w:tcPr>
            <w:tcW w:w="280" w:type="dxa"/>
            <w:vAlign w:val="bottom"/>
          </w:tcPr>
          <w:p>
            <w:pPr>
              <w:spacing w:after="0"/>
              <w:rPr>
                <w:sz w:val="14"/>
                <w:szCs w:val="14"/>
                <w:color w:val="auto"/>
              </w:rPr>
            </w:pPr>
          </w:p>
        </w:tc>
        <w:tc>
          <w:tcPr>
            <w:tcW w:w="1600" w:type="dxa"/>
            <w:vAlign w:val="bottom"/>
            <w:gridSpan w:val="2"/>
          </w:tcPr>
          <w:p>
            <w:pPr>
              <w:jc w:val="right"/>
              <w:ind w:right="160"/>
              <w:spacing w:after="0" w:line="170" w:lineRule="exact"/>
              <w:rPr>
                <w:sz w:val="20"/>
                <w:szCs w:val="20"/>
                <w:color w:val="auto"/>
              </w:rPr>
            </w:pPr>
            <w:r>
              <w:rPr>
                <w:rFonts w:ascii="Arial" w:cs="Arial" w:eastAsia="Arial" w:hAnsi="Arial"/>
                <w:sz w:val="15"/>
                <w:szCs w:val="15"/>
                <w:color w:val="auto"/>
              </w:rPr>
              <w:t>$125,000</w:t>
            </w:r>
          </w:p>
        </w:tc>
        <w:tc>
          <w:tcPr>
            <w:tcW w:w="960" w:type="dxa"/>
            <w:vAlign w:val="bottom"/>
          </w:tcPr>
          <w:p>
            <w:pPr>
              <w:jc w:val="right"/>
              <w:spacing w:after="0" w:line="170"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4"/>
                <w:szCs w:val="14"/>
                <w:color w:val="auto"/>
              </w:rPr>
            </w:pPr>
          </w:p>
        </w:tc>
        <w:tc>
          <w:tcPr>
            <w:tcW w:w="600" w:type="dxa"/>
            <w:vAlign w:val="bottom"/>
          </w:tcPr>
          <w:p>
            <w:pPr>
              <w:spacing w:after="0" w:line="170" w:lineRule="exact"/>
              <w:rPr>
                <w:sz w:val="20"/>
                <w:szCs w:val="20"/>
                <w:color w:val="auto"/>
              </w:rPr>
            </w:pPr>
            <w:r>
              <w:rPr>
                <w:rFonts w:ascii="Arial" w:cs="Arial" w:eastAsia="Arial" w:hAnsi="Arial"/>
                <w:sz w:val="15"/>
                <w:szCs w:val="15"/>
                <w:color w:val="auto"/>
              </w:rPr>
              <w:t>/ sf</w:t>
            </w:r>
          </w:p>
        </w:tc>
        <w:tc>
          <w:tcPr>
            <w:tcW w:w="10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180"/>
              <w:spacing w:after="0"/>
              <w:rPr>
                <w:sz w:val="20"/>
                <w:szCs w:val="20"/>
                <w:color w:val="auto"/>
              </w:rPr>
            </w:pPr>
            <w:r>
              <w:rPr>
                <w:rFonts w:ascii="Arial" w:cs="Arial" w:eastAsia="Arial" w:hAnsi="Arial"/>
                <w:sz w:val="15"/>
                <w:szCs w:val="15"/>
                <w:b w:val="1"/>
                <w:bCs w:val="1"/>
                <w:color w:val="auto"/>
              </w:rPr>
              <w:t>TOTAL - SOFT COSTS</w:t>
            </w: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$1,201,809</w:t>
            </w:r>
          </w:p>
        </w:tc>
        <w:tc>
          <w:tcPr>
            <w:tcW w:w="16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$14.41</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32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$23,560,433</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$282.51</w:t>
            </w: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3220" w:type="dxa"/>
            <w:vAlign w:val="bottom"/>
          </w:tcPr>
          <w:p>
            <w:pPr>
              <w:spacing w:after="0"/>
              <w:rPr>
                <w:sz w:val="20"/>
                <w:szCs w:val="20"/>
                <w:color w:val="auto"/>
              </w:rPr>
            </w:pPr>
            <w:r>
              <w:rPr>
                <w:rFonts w:ascii="Arial" w:cs="Arial" w:eastAsia="Arial" w:hAnsi="Arial"/>
                <w:sz w:val="15"/>
                <w:szCs w:val="15"/>
                <w:b w:val="1"/>
                <w:bCs w:val="1"/>
                <w:color w:val="auto"/>
              </w:rPr>
              <w:t>TENANT IMPROVEMENT ALLOWANCE</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$12,509,400</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$150.00</w:t>
            </w: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3220" w:type="dxa"/>
            <w:vAlign w:val="bottom"/>
          </w:tcPr>
          <w:p>
            <w:pPr>
              <w:spacing w:after="0"/>
              <w:rPr>
                <w:sz w:val="20"/>
                <w:szCs w:val="20"/>
                <w:color w:val="auto"/>
              </w:rPr>
            </w:pPr>
            <w:r>
              <w:rPr>
                <w:rFonts w:ascii="Arial" w:cs="Arial" w:eastAsia="Arial" w:hAnsi="Arial"/>
                <w:sz w:val="15"/>
                <w:szCs w:val="15"/>
                <w:b w:val="1"/>
                <w:bCs w:val="1"/>
                <w:color w:val="auto"/>
              </w:rPr>
              <w:t>EXCESS TENANT IMPROVEMENT</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$11,051,033</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$132.51</w:t>
            </w: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5"/>
                <w:szCs w:val="15"/>
                <w:b w:val="1"/>
                <w:bCs w:val="1"/>
                <w:color w:val="auto"/>
              </w:rPr>
              <w:t>/ sf</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20" w:hanging="512"/>
        <w:spacing w:after="0"/>
        <w:tabs>
          <w:tab w:leader="none" w:pos="5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$/sf based upon 72,023 rsf (Includes all Phase 1 and Phase 2 Areas with exception of Phase 2 Manufacturing Area)</w:t>
      </w:r>
    </w:p>
    <w:p>
      <w:pPr>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$/sf based upon 11,373 rsf (Phase 2 Manufacturing Area includes QC Lab and Gowning Rooms)</w:t>
      </w:r>
    </w:p>
    <w:p>
      <w:pPr>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Fee is Inclusive of $50k in Indemnification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31202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306" w:name="page307"/>
    <w:bookmarkEnd w:id="306"/>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297180</wp:posOffset>
            </wp:positionV>
            <wp:extent cx="1910080" cy="5765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910080" cy="576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6800" w:type="dxa"/>
            <w:vAlign w:val="bottom"/>
          </w:tcPr>
          <w:p>
            <w:pPr>
              <w:ind w:left="1800"/>
              <w:spacing w:after="0"/>
              <w:rPr>
                <w:sz w:val="20"/>
                <w:szCs w:val="20"/>
                <w:color w:val="auto"/>
              </w:rPr>
            </w:pPr>
            <w:r>
              <w:rPr>
                <w:rFonts w:ascii="Arial" w:cs="Arial" w:eastAsia="Arial" w:hAnsi="Arial"/>
                <w:sz w:val="15"/>
                <w:szCs w:val="15"/>
                <w:b w:val="1"/>
                <w:bCs w:val="1"/>
                <w:color w:val="auto"/>
              </w:rPr>
              <w:t>Seres Therapeutics</w:t>
            </w:r>
          </w:p>
        </w:tc>
        <w:tc>
          <w:tcPr>
            <w:tcW w:w="3060" w:type="dxa"/>
            <w:vAlign w:val="bottom"/>
          </w:tcPr>
          <w:p>
            <w:pPr>
              <w:jc w:val="right"/>
              <w:ind w:right="727"/>
              <w:spacing w:after="0"/>
              <w:rPr>
                <w:sz w:val="20"/>
                <w:szCs w:val="20"/>
                <w:color w:val="auto"/>
              </w:rPr>
            </w:pPr>
            <w:r>
              <w:rPr>
                <w:rFonts w:ascii="Arial" w:cs="Arial" w:eastAsia="Arial" w:hAnsi="Arial"/>
                <w:sz w:val="15"/>
                <w:szCs w:val="15"/>
                <w:b w:val="1"/>
                <w:bCs w:val="1"/>
                <w:color w:val="auto"/>
              </w:rPr>
              <w:t>10/30/2015</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4"/>
        </w:trPr>
        <w:tc>
          <w:tcPr>
            <w:tcW w:w="6800" w:type="dxa"/>
            <w:vAlign w:val="bottom"/>
          </w:tcPr>
          <w:p>
            <w:pPr>
              <w:ind w:left="1800"/>
              <w:spacing w:after="0" w:line="164" w:lineRule="exact"/>
              <w:rPr>
                <w:sz w:val="20"/>
                <w:szCs w:val="20"/>
                <w:color w:val="auto"/>
              </w:rPr>
            </w:pPr>
            <w:r>
              <w:rPr>
                <w:rFonts w:ascii="Arial" w:cs="Arial" w:eastAsia="Arial" w:hAnsi="Arial"/>
                <w:sz w:val="15"/>
                <w:szCs w:val="15"/>
                <w:b w:val="1"/>
                <w:bCs w:val="1"/>
                <w:color w:val="auto"/>
              </w:rPr>
              <w:t>200 Sidney Street</w:t>
            </w: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4"/>
        </w:trPr>
        <w:tc>
          <w:tcPr>
            <w:tcW w:w="6800" w:type="dxa"/>
            <w:vAlign w:val="bottom"/>
          </w:tcPr>
          <w:p>
            <w:pPr>
              <w:ind w:left="1800"/>
              <w:spacing w:after="0"/>
              <w:rPr>
                <w:sz w:val="20"/>
                <w:szCs w:val="20"/>
                <w:color w:val="auto"/>
              </w:rPr>
            </w:pPr>
            <w:r>
              <w:rPr>
                <w:rFonts w:ascii="Arial" w:cs="Arial" w:eastAsia="Arial" w:hAnsi="Arial"/>
                <w:sz w:val="15"/>
                <w:szCs w:val="15"/>
                <w:b w:val="1"/>
                <w:bCs w:val="1"/>
                <w:color w:val="auto"/>
              </w:rPr>
              <w:t>Cambridge, MA</w:t>
            </w: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27"/>
        </w:trPr>
        <w:tc>
          <w:tcPr>
            <w:tcW w:w="6800" w:type="dxa"/>
            <w:vAlign w:val="bottom"/>
          </w:tcPr>
          <w:p>
            <w:pPr>
              <w:spacing w:after="0"/>
              <w:rPr>
                <w:sz w:val="20"/>
                <w:szCs w:val="20"/>
                <w:color w:val="auto"/>
              </w:rPr>
            </w:pPr>
            <w:r>
              <w:rPr>
                <w:rFonts w:ascii="Arial" w:cs="Arial" w:eastAsia="Arial" w:hAnsi="Arial"/>
                <w:sz w:val="15"/>
                <w:szCs w:val="15"/>
                <w:b w:val="1"/>
                <w:bCs w:val="1"/>
                <w:color w:val="auto"/>
              </w:rPr>
              <w:t>Project Summary Sheet For Office, Lab and ACF</w:t>
            </w: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3"/>
        </w:trPr>
        <w:tc>
          <w:tcPr>
            <w:tcW w:w="6800" w:type="dxa"/>
            <w:vAlign w:val="bottom"/>
            <w:tcBorders>
              <w:bottom w:val="single" w:sz="8" w:color="auto"/>
            </w:tcBorders>
          </w:tcPr>
          <w:p>
            <w:pPr>
              <w:ind w:left="462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Budget</w:t>
            </w:r>
          </w:p>
        </w:tc>
      </w:tr>
      <w:tr>
        <w:trPr>
          <w:trHeight w:val="188"/>
        </w:trPr>
        <w:tc>
          <w:tcPr>
            <w:tcW w:w="6800" w:type="dxa"/>
            <w:vAlign w:val="bottom"/>
          </w:tcPr>
          <w:p>
            <w:pPr>
              <w:spacing w:after="0"/>
              <w:rPr>
                <w:sz w:val="20"/>
                <w:szCs w:val="20"/>
                <w:color w:val="auto"/>
              </w:rPr>
            </w:pPr>
            <w:r>
              <w:rPr>
                <w:rFonts w:ascii="Arial" w:cs="Arial" w:eastAsia="Arial" w:hAnsi="Arial"/>
                <w:sz w:val="15"/>
                <w:szCs w:val="15"/>
                <w:b w:val="1"/>
                <w:bCs w:val="1"/>
                <w:color w:val="auto"/>
              </w:rPr>
              <w:t>Office / Lab Budget Dated 10.30.15</w:t>
            </w: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$10,432,768</w:t>
            </w:r>
          </w:p>
        </w:tc>
      </w:tr>
      <w:tr>
        <w:trPr>
          <w:trHeight w:val="186"/>
        </w:trPr>
        <w:tc>
          <w:tcPr>
            <w:tcW w:w="6800" w:type="dxa"/>
            <w:vAlign w:val="bottom"/>
          </w:tcPr>
          <w:p>
            <w:pPr>
              <w:spacing w:after="0"/>
              <w:rPr>
                <w:sz w:val="20"/>
                <w:szCs w:val="20"/>
                <w:color w:val="auto"/>
              </w:rPr>
            </w:pPr>
            <w:r>
              <w:rPr>
                <w:rFonts w:ascii="Arial" w:cs="Arial" w:eastAsia="Arial" w:hAnsi="Arial"/>
                <w:sz w:val="15"/>
                <w:szCs w:val="15"/>
                <w:b w:val="1"/>
                <w:bCs w:val="1"/>
                <w:color w:val="auto"/>
              </w:rPr>
              <w:t>ACF Budget Budget Dated 10.30.15</w:t>
            </w: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$774,859</w:t>
            </w:r>
          </w:p>
        </w:tc>
      </w:tr>
      <w:tr>
        <w:trPr>
          <w:trHeight w:val="188"/>
        </w:trPr>
        <w:tc>
          <w:tcPr>
            <w:tcW w:w="6800" w:type="dxa"/>
            <w:vAlign w:val="bottom"/>
          </w:tcPr>
          <w:p>
            <w:pPr>
              <w:spacing w:after="0"/>
              <w:rPr>
                <w:sz w:val="20"/>
                <w:szCs w:val="20"/>
                <w:color w:val="auto"/>
              </w:rPr>
            </w:pPr>
            <w:r>
              <w:rPr>
                <w:rFonts w:ascii="Arial" w:cs="Arial" w:eastAsia="Arial" w:hAnsi="Arial"/>
                <w:sz w:val="15"/>
                <w:szCs w:val="15"/>
                <w:b w:val="1"/>
                <w:bCs w:val="1"/>
                <w:color w:val="auto"/>
              </w:rPr>
              <w:t>Total Project Cost For Office, Lab &amp; ACF</w:t>
            </w: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$11,207,627</w:t>
            </w:r>
          </w:p>
        </w:tc>
      </w:tr>
      <w:tr>
        <w:trPr>
          <w:trHeight w:val="429"/>
        </w:trPr>
        <w:tc>
          <w:tcPr>
            <w:tcW w:w="6800" w:type="dxa"/>
            <w:vAlign w:val="bottom"/>
          </w:tcPr>
          <w:p>
            <w:pPr>
              <w:spacing w:after="0"/>
              <w:rPr>
                <w:sz w:val="20"/>
                <w:szCs w:val="20"/>
                <w:color w:val="auto"/>
              </w:rPr>
            </w:pPr>
            <w:r>
              <w:rPr>
                <w:rFonts w:ascii="Arial" w:cs="Arial" w:eastAsia="Arial" w:hAnsi="Arial"/>
                <w:sz w:val="15"/>
                <w:szCs w:val="15"/>
                <w:b w:val="1"/>
                <w:bCs w:val="1"/>
                <w:color w:val="auto"/>
              </w:rPr>
              <w:t>Project Alternates</w:t>
            </w: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2"/>
        </w:trPr>
        <w:tc>
          <w:tcPr>
            <w:tcW w:w="6800" w:type="dxa"/>
            <w:vAlign w:val="bottom"/>
          </w:tcPr>
          <w:p>
            <w:pPr>
              <w:spacing w:after="0"/>
              <w:rPr>
                <w:sz w:val="20"/>
                <w:szCs w:val="20"/>
                <w:color w:val="auto"/>
              </w:rPr>
            </w:pPr>
            <w:r>
              <w:rPr>
                <w:rFonts w:ascii="Arial" w:cs="Arial" w:eastAsia="Arial" w:hAnsi="Arial"/>
                <w:sz w:val="15"/>
                <w:szCs w:val="15"/>
                <w:color w:val="auto"/>
              </w:rPr>
              <w:t>A) Provide Dirt Walls instead of Butt Glazing at 4th Floor</w:t>
            </w:r>
          </w:p>
        </w:tc>
        <w:tc>
          <w:tcPr>
            <w:tcW w:w="3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78,000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Clarifications</w:t>
      </w:r>
    </w:p>
    <w:p>
      <w:pPr>
        <w:spacing w:after="0" w:line="97" w:lineRule="exact"/>
        <w:rPr>
          <w:sz w:val="20"/>
          <w:szCs w:val="20"/>
          <w:color w:val="auto"/>
        </w:rPr>
      </w:pPr>
    </w:p>
    <w:p>
      <w:pPr>
        <w:ind w:left="520" w:hanging="512"/>
        <w:spacing w:after="0"/>
        <w:tabs>
          <w:tab w:leader="none" w:pos="5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Tel/Data &amp; AV system and distribution by Seres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Card Reader system and distribution by Seres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Security Sytem and distribution by Seres</w:t>
      </w:r>
    </w:p>
    <w:p>
      <w:pPr>
        <w:spacing w:after="0" w:line="79" w:lineRule="exact"/>
        <w:rPr>
          <w:sz w:val="20"/>
          <w:szCs w:val="20"/>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Laboratory Equipment including rigging into place by Seres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Kitchen Appliances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Equipment alarms system or distribution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supply and install Furniture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Signage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Any fabric or millwork walls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2nd floor humidity is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Server racks by Seres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New window treatments not included. We have included modification of existing to accomidiate layout</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Dirtt wall systems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Dryroom at sampling carried in Pilot Lab Budget</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Moving Existing owner equipment from existing facility to new location not included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Renovations of restrooms not included in this budget</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ACF alarm monitoring or watering system not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31202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60"/>
          </w:cols>
          <w:pgMar w:left="220" w:top="1440" w:right="319" w:bottom="1440" w:gutter="0" w:footer="0" w:header="0"/>
        </w:sectPr>
      </w:pPr>
    </w:p>
    <w:bookmarkStart w:id="307" w:name="page308"/>
    <w:bookmarkEnd w:id="30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325120</wp:posOffset>
            </wp:positionV>
            <wp:extent cx="1673860" cy="5556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1673860" cy="555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5000" w:type="dxa"/>
            <w:vAlign w:val="bottom"/>
          </w:tcPr>
          <w:p>
            <w:pPr>
              <w:ind w:left="1800"/>
              <w:spacing w:after="0"/>
              <w:rPr>
                <w:sz w:val="20"/>
                <w:szCs w:val="20"/>
                <w:color w:val="auto"/>
              </w:rPr>
            </w:pPr>
            <w:r>
              <w:rPr>
                <w:rFonts w:ascii="Arial" w:cs="Arial" w:eastAsia="Arial" w:hAnsi="Arial"/>
                <w:sz w:val="15"/>
                <w:szCs w:val="15"/>
                <w:b w:val="1"/>
                <w:bCs w:val="1"/>
                <w:color w:val="auto"/>
              </w:rPr>
              <w:t>Seres Therapeutics</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67"/>
        </w:trPr>
        <w:tc>
          <w:tcPr>
            <w:tcW w:w="5000" w:type="dxa"/>
            <w:vAlign w:val="bottom"/>
          </w:tcPr>
          <w:p>
            <w:pPr>
              <w:ind w:left="1800"/>
              <w:spacing w:after="0" w:line="167" w:lineRule="exact"/>
              <w:rPr>
                <w:sz w:val="20"/>
                <w:szCs w:val="20"/>
                <w:color w:val="auto"/>
              </w:rPr>
            </w:pPr>
            <w:r>
              <w:rPr>
                <w:rFonts w:ascii="Arial" w:cs="Arial" w:eastAsia="Arial" w:hAnsi="Arial"/>
                <w:sz w:val="15"/>
                <w:szCs w:val="15"/>
                <w:b w:val="1"/>
                <w:bCs w:val="1"/>
                <w:color w:val="auto"/>
              </w:rPr>
              <w:t>200 Sidney Street</w:t>
            </w:r>
          </w:p>
        </w:tc>
        <w:tc>
          <w:tcPr>
            <w:tcW w:w="2160" w:type="dxa"/>
            <w:vAlign w:val="bottom"/>
          </w:tcPr>
          <w:p>
            <w:pPr>
              <w:jc w:val="right"/>
              <w:ind w:right="307"/>
              <w:spacing w:after="0" w:line="167" w:lineRule="exact"/>
              <w:rPr>
                <w:sz w:val="20"/>
                <w:szCs w:val="20"/>
                <w:color w:val="auto"/>
              </w:rPr>
            </w:pPr>
            <w:r>
              <w:rPr>
                <w:rFonts w:ascii="Arial" w:cs="Arial" w:eastAsia="Arial" w:hAnsi="Arial"/>
                <w:sz w:val="15"/>
                <w:szCs w:val="15"/>
                <w:b w:val="1"/>
                <w:bCs w:val="1"/>
                <w:color w:val="auto"/>
              </w:rPr>
              <w:t>10/30/2015</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4"/>
        </w:trPr>
        <w:tc>
          <w:tcPr>
            <w:tcW w:w="5000" w:type="dxa"/>
            <w:vAlign w:val="bottom"/>
          </w:tcPr>
          <w:p>
            <w:pPr>
              <w:ind w:left="1800"/>
              <w:spacing w:after="0" w:line="164" w:lineRule="exact"/>
              <w:rPr>
                <w:sz w:val="20"/>
                <w:szCs w:val="20"/>
                <w:color w:val="auto"/>
              </w:rPr>
            </w:pPr>
            <w:r>
              <w:rPr>
                <w:rFonts w:ascii="Arial" w:cs="Arial" w:eastAsia="Arial" w:hAnsi="Arial"/>
                <w:sz w:val="15"/>
                <w:szCs w:val="15"/>
                <w:b w:val="1"/>
                <w:bCs w:val="1"/>
                <w:color w:val="auto"/>
              </w:rPr>
              <w:t>Cambridge, MA</w:t>
            </w:r>
          </w:p>
        </w:tc>
        <w:tc>
          <w:tcPr>
            <w:tcW w:w="3740" w:type="dxa"/>
            <w:vAlign w:val="bottom"/>
            <w:gridSpan w:val="4"/>
          </w:tcPr>
          <w:p>
            <w:pPr>
              <w:ind w:left="1460"/>
              <w:spacing w:after="0" w:line="164" w:lineRule="exact"/>
              <w:rPr>
                <w:sz w:val="20"/>
                <w:szCs w:val="20"/>
                <w:color w:val="auto"/>
              </w:rPr>
            </w:pPr>
            <w:r>
              <w:rPr>
                <w:rFonts w:ascii="Arial" w:cs="Arial" w:eastAsia="Arial" w:hAnsi="Arial"/>
                <w:sz w:val="15"/>
                <w:szCs w:val="15"/>
                <w:b w:val="1"/>
                <w:bCs w:val="1"/>
                <w:color w:val="auto"/>
              </w:rPr>
              <w:t>RSF 70328</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4"/>
        </w:trPr>
        <w:tc>
          <w:tcPr>
            <w:tcW w:w="5000" w:type="dxa"/>
            <w:vAlign w:val="bottom"/>
          </w:tcPr>
          <w:p>
            <w:pPr>
              <w:ind w:left="1800"/>
              <w:spacing w:after="0"/>
              <w:rPr>
                <w:sz w:val="20"/>
                <w:szCs w:val="20"/>
                <w:color w:val="auto"/>
              </w:rPr>
            </w:pPr>
            <w:r>
              <w:rPr>
                <w:rFonts w:ascii="Arial" w:cs="Arial" w:eastAsia="Arial" w:hAnsi="Arial"/>
                <w:sz w:val="15"/>
                <w:szCs w:val="15"/>
                <w:b w:val="1"/>
                <w:bCs w:val="1"/>
                <w:color w:val="auto"/>
              </w:rPr>
              <w:t>Lab and Office Budget</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9"/>
        </w:trPr>
        <w:tc>
          <w:tcPr>
            <w:tcW w:w="5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Total RSF</w:t>
            </w:r>
          </w:p>
        </w:tc>
        <w:tc>
          <w:tcPr>
            <w:tcW w:w="1280" w:type="dxa"/>
            <w:vAlign w:val="bottom"/>
          </w:tcPr>
          <w:p>
            <w:pPr>
              <w:spacing w:after="0"/>
              <w:rPr>
                <w:sz w:val="24"/>
                <w:szCs w:val="24"/>
                <w:color w:val="auto"/>
              </w:rPr>
            </w:pPr>
          </w:p>
        </w:tc>
      </w:tr>
      <w:tr>
        <w:trPr>
          <w:trHeight w:val="141"/>
        </w:trPr>
        <w:tc>
          <w:tcPr>
            <w:tcW w:w="5000" w:type="dxa"/>
            <w:vAlign w:val="bottom"/>
          </w:tcPr>
          <w:p>
            <w:pPr>
              <w:ind w:left="3260"/>
              <w:spacing w:after="0"/>
              <w:rPr>
                <w:sz w:val="20"/>
                <w:szCs w:val="20"/>
                <w:color w:val="auto"/>
              </w:rPr>
            </w:pPr>
            <w:r>
              <w:rPr>
                <w:rFonts w:ascii="Arial" w:cs="Arial" w:eastAsia="Arial" w:hAnsi="Arial"/>
                <w:sz w:val="12"/>
                <w:szCs w:val="12"/>
                <w:b w:val="1"/>
                <w:bCs w:val="1"/>
                <w:color w:val="auto"/>
              </w:rPr>
              <w:t>Description</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420"/>
              <w:spacing w:after="0"/>
              <w:rPr>
                <w:sz w:val="20"/>
                <w:szCs w:val="20"/>
                <w:color w:val="auto"/>
              </w:rPr>
            </w:pPr>
            <w:r>
              <w:rPr>
                <w:rFonts w:ascii="Arial" w:cs="Arial" w:eastAsia="Arial" w:hAnsi="Arial"/>
                <w:sz w:val="12"/>
                <w:szCs w:val="12"/>
                <w:b w:val="1"/>
                <w:bCs w:val="1"/>
                <w:color w:val="auto"/>
              </w:rPr>
              <w:t>Budget</w:t>
            </w:r>
          </w:p>
        </w:tc>
        <w:tc>
          <w:tcPr>
            <w:tcW w:w="1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Cost</w:t>
            </w:r>
          </w:p>
        </w:tc>
        <w:tc>
          <w:tcPr>
            <w:tcW w:w="1280" w:type="dxa"/>
            <w:vAlign w:val="bottom"/>
          </w:tcPr>
          <w:p>
            <w:pPr>
              <w:spacing w:after="0"/>
              <w:rPr>
                <w:sz w:val="12"/>
                <w:szCs w:val="12"/>
                <w:color w:val="auto"/>
              </w:rPr>
            </w:pPr>
          </w:p>
        </w:tc>
      </w:tr>
      <w:tr>
        <w:trPr>
          <w:trHeight w:val="158"/>
        </w:trPr>
        <w:tc>
          <w:tcPr>
            <w:tcW w:w="5000" w:type="dxa"/>
            <w:vAlign w:val="bottom"/>
            <w:tcBorders>
              <w:top w:val="single" w:sz="8" w:color="auto"/>
            </w:tcBorders>
          </w:tcPr>
          <w:p>
            <w:pPr>
              <w:spacing w:after="0" w:line="159" w:lineRule="exact"/>
              <w:rPr>
                <w:sz w:val="20"/>
                <w:szCs w:val="20"/>
                <w:color w:val="auto"/>
              </w:rPr>
            </w:pPr>
            <w:r>
              <w:rPr>
                <w:rFonts w:ascii="Arial" w:cs="Arial" w:eastAsia="Arial" w:hAnsi="Arial"/>
                <w:sz w:val="15"/>
                <w:szCs w:val="15"/>
                <w:b w:val="1"/>
                <w:bCs w:val="1"/>
                <w:color w:val="auto"/>
              </w:rPr>
              <w:t>Demolition/Temporary Protection/Daily Cleaning</w:t>
            </w:r>
          </w:p>
        </w:tc>
        <w:tc>
          <w:tcPr>
            <w:tcW w:w="2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$288,920</w:t>
            </w:r>
          </w:p>
        </w:tc>
        <w:tc>
          <w:tcPr>
            <w:tcW w:w="160" w:type="dxa"/>
            <w:vAlign w:val="bottom"/>
          </w:tcPr>
          <w:p>
            <w:pPr>
              <w:spacing w:after="0"/>
              <w:rPr>
                <w:sz w:val="13"/>
                <w:szCs w:val="13"/>
                <w:color w:val="auto"/>
              </w:rPr>
            </w:pPr>
          </w:p>
        </w:tc>
        <w:tc>
          <w:tcPr>
            <w:tcW w:w="1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$4.11</w:t>
            </w:r>
          </w:p>
        </w:tc>
        <w:tc>
          <w:tcPr>
            <w:tcW w:w="16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Concrete</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$22,300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$0.32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Structural Steel/Misc Metals</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$16,000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$0.23</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Carpentry</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$138,485</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$1.97</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Millwork</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$178,790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$2.54</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Roofing/Thermal Moisture Protection</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$53,000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$0.75</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Doors/Frames/Hardware</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$185,180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$2.63</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Glazing</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$191,496</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$2.72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Gypsum Drywall</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$684,704</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$9.74</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Ceilings</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$226,484</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$3.22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Flooring</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$243,583</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$3.46</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Painting</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$85,215</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Specialties</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$219,200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$3.12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Laboratory Casework</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$558,522</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$7.94</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Equipment</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$0.00</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Fire Protection</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$198,000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$2.82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Plumbing</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$716,400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$10.19</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HVAC</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$2,723,031</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$38.72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Electrical/Fire Alarm</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$1,974,856</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$28.08</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General Requirements</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$75,330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$1.07</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General Conditions</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$71,540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$1.02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Supervision</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$525,680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$7.47</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Engineering</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$0</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$0.00</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Insurance and Permits</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$234,418</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$3.33</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00" w:type="dxa"/>
            <w:vAlign w:val="bottom"/>
          </w:tcPr>
          <w:p>
            <w:pPr>
              <w:spacing w:after="0"/>
              <w:rPr>
                <w:sz w:val="20"/>
                <w:szCs w:val="20"/>
                <w:color w:val="auto"/>
              </w:rPr>
            </w:pPr>
            <w:r>
              <w:rPr>
                <w:rFonts w:ascii="Arial" w:cs="Arial" w:eastAsia="Arial" w:hAnsi="Arial"/>
                <w:sz w:val="15"/>
                <w:szCs w:val="15"/>
                <w:b w:val="1"/>
                <w:bCs w:val="1"/>
                <w:color w:val="auto"/>
              </w:rPr>
              <w:t>Contingency</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$468,836</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$6.67</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5000" w:type="dxa"/>
            <w:vAlign w:val="bottom"/>
          </w:tcPr>
          <w:p>
            <w:pPr>
              <w:spacing w:after="0"/>
              <w:rPr>
                <w:sz w:val="20"/>
                <w:szCs w:val="20"/>
                <w:color w:val="auto"/>
              </w:rPr>
            </w:pPr>
            <w:r>
              <w:rPr>
                <w:rFonts w:ascii="Arial" w:cs="Arial" w:eastAsia="Arial" w:hAnsi="Arial"/>
                <w:sz w:val="15"/>
                <w:szCs w:val="15"/>
                <w:b w:val="1"/>
                <w:bCs w:val="1"/>
                <w:color w:val="auto"/>
              </w:rPr>
              <w:t>Overhead and Profit</w:t>
            </w:r>
          </w:p>
        </w:tc>
        <w:tc>
          <w:tcPr>
            <w:tcW w:w="3580" w:type="dxa"/>
            <w:vAlign w:val="bottom"/>
            <w:gridSpan w:val="3"/>
          </w:tcPr>
          <w:p>
            <w:pPr>
              <w:jc w:val="right"/>
              <w:spacing w:after="0"/>
              <w:rPr>
                <w:sz w:val="20"/>
                <w:szCs w:val="20"/>
                <w:color w:val="auto"/>
              </w:rPr>
            </w:pPr>
            <w:r>
              <w:rPr>
                <w:rFonts w:ascii="Arial" w:cs="Arial" w:eastAsia="Arial" w:hAnsi="Arial"/>
                <w:sz w:val="15"/>
                <w:szCs w:val="15"/>
                <w:b w:val="1"/>
                <w:bCs w:val="1"/>
                <w:color w:val="auto"/>
              </w:rPr>
              <w:t>$352,799</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$5.02</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5"/>
        </w:trPr>
        <w:tc>
          <w:tcPr>
            <w:tcW w:w="5000" w:type="dxa"/>
            <w:vAlign w:val="bottom"/>
          </w:tcPr>
          <w:p>
            <w:pPr>
              <w:ind w:left="3160"/>
              <w:spacing w:after="0"/>
              <w:rPr>
                <w:sz w:val="20"/>
                <w:szCs w:val="20"/>
                <w:color w:val="auto"/>
              </w:rPr>
            </w:pPr>
            <w:r>
              <w:rPr>
                <w:rFonts w:ascii="Arial" w:cs="Arial" w:eastAsia="Arial" w:hAnsi="Arial"/>
                <w:sz w:val="15"/>
                <w:szCs w:val="15"/>
                <w:color w:val="auto"/>
              </w:rPr>
              <w:t>Office &amp; Lab</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$10,432,768</w:t>
            </w:r>
          </w:p>
        </w:tc>
        <w:tc>
          <w:tcPr>
            <w:tcW w:w="16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$148.34</w:t>
            </w:r>
          </w:p>
        </w:tc>
        <w:tc>
          <w:tcPr>
            <w:tcW w:w="160" w:type="dxa"/>
            <w:vAlign w:val="bottom"/>
          </w:tcPr>
          <w:p>
            <w:pPr>
              <w:spacing w:after="0"/>
              <w:rPr>
                <w:sz w:val="16"/>
                <w:szCs w:val="16"/>
                <w:color w:val="auto"/>
              </w:rPr>
            </w:pPr>
          </w:p>
        </w:tc>
        <w:tc>
          <w:tcPr>
            <w:tcW w:w="1280" w:type="dxa"/>
            <w:vAlign w:val="bottom"/>
            <w:tcBorders>
              <w:top w:val="single" w:sz="8" w:color="auto"/>
            </w:tcBorders>
          </w:tcPr>
          <w:p>
            <w:pPr>
              <w:ind w:left="500"/>
              <w:spacing w:after="0"/>
              <w:rPr>
                <w:sz w:val="20"/>
                <w:szCs w:val="20"/>
                <w:color w:val="auto"/>
              </w:rPr>
            </w:pPr>
            <w:r>
              <w:rPr>
                <w:rFonts w:ascii="Arial" w:cs="Arial" w:eastAsia="Arial" w:hAnsi="Arial"/>
                <w:sz w:val="15"/>
                <w:szCs w:val="15"/>
                <w:color w:val="auto"/>
                <w:w w:val="94"/>
              </w:rPr>
              <w:t>70,328 RSF</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172"/>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Seres Therapeutics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4"/>
        </w:trPr>
        <w:tc>
          <w:tcPr>
            <w:tcW w:w="6140" w:type="dxa"/>
            <w:vAlign w:val="bottom"/>
            <w:gridSpan w:val="2"/>
          </w:tcPr>
          <w:p>
            <w:pPr>
              <w:spacing w:after="0" w:line="164" w:lineRule="exact"/>
              <w:rPr>
                <w:sz w:val="20"/>
                <w:szCs w:val="20"/>
                <w:color w:val="auto"/>
              </w:rPr>
            </w:pPr>
            <w:r>
              <w:rPr>
                <w:rFonts w:ascii="Arial" w:cs="Arial" w:eastAsia="Arial" w:hAnsi="Arial"/>
                <w:sz w:val="15"/>
                <w:szCs w:val="15"/>
                <w:b w:val="1"/>
                <w:bCs w:val="1"/>
                <w:color w:val="auto"/>
              </w:rPr>
              <w:t>200 Sidney Street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Cambridge, MA</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10/30/2015</w:t>
            </w:r>
          </w:p>
        </w:tc>
      </w:tr>
      <w:tr>
        <w:trPr>
          <w:trHeight w:val="295"/>
        </w:trPr>
        <w:tc>
          <w:tcPr>
            <w:tcW w:w="6140" w:type="dxa"/>
            <w:vAlign w:val="bottom"/>
            <w:gridSpan w:val="2"/>
          </w:tcPr>
          <w:p>
            <w:pPr>
              <w:spacing w:after="0"/>
              <w:rPr>
                <w:sz w:val="20"/>
                <w:szCs w:val="20"/>
                <w:color w:val="auto"/>
              </w:rPr>
            </w:pPr>
            <w:r>
              <w:rPr>
                <w:rFonts w:ascii="Arial" w:cs="Arial" w:eastAsia="Arial" w:hAnsi="Arial"/>
                <w:sz w:val="12"/>
                <w:szCs w:val="12"/>
                <w:b w:val="1"/>
                <w:bCs w:val="1"/>
                <w:color w:val="auto"/>
              </w:rPr>
              <w:t>Division/Description</w:t>
            </w:r>
          </w:p>
        </w:tc>
        <w:tc>
          <w:tcPr>
            <w:tcW w:w="840" w:type="dxa"/>
            <w:vAlign w:val="bottom"/>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2"/>
                <w:szCs w:val="12"/>
                <w:b w:val="1"/>
                <w:bCs w:val="1"/>
                <w:color w:val="auto"/>
              </w:rPr>
              <w:t>UM</w:t>
            </w: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Unit $</w:t>
            </w:r>
          </w:p>
        </w:tc>
        <w:tc>
          <w:tcPr>
            <w:tcW w:w="1220" w:type="dxa"/>
            <w:vAlign w:val="bottom"/>
            <w:gridSpan w:val="2"/>
          </w:tcPr>
          <w:p>
            <w:pPr>
              <w:ind w:left="320"/>
              <w:spacing w:after="0"/>
              <w:rPr>
                <w:sz w:val="20"/>
                <w:szCs w:val="20"/>
                <w:color w:val="auto"/>
              </w:rPr>
            </w:pPr>
            <w:r>
              <w:rPr>
                <w:rFonts w:ascii="Arial" w:cs="Arial" w:eastAsia="Arial" w:hAnsi="Arial"/>
                <w:sz w:val="12"/>
                <w:szCs w:val="12"/>
                <w:b w:val="1"/>
                <w:bCs w:val="1"/>
                <w:color w:val="auto"/>
              </w:rPr>
              <w:t>Line Sum</w:t>
            </w:r>
          </w:p>
        </w:tc>
        <w:tc>
          <w:tcPr>
            <w:tcW w:w="1300" w:type="dxa"/>
            <w:vAlign w:val="bottom"/>
          </w:tcPr>
          <w:p>
            <w:pPr>
              <w:jc w:val="right"/>
              <w:ind w:right="349"/>
              <w:spacing w:after="0"/>
              <w:rPr>
                <w:sz w:val="20"/>
                <w:szCs w:val="20"/>
                <w:color w:val="auto"/>
              </w:rPr>
            </w:pPr>
            <w:r>
              <w:rPr>
                <w:rFonts w:ascii="Arial" w:cs="Arial" w:eastAsia="Arial" w:hAnsi="Arial"/>
                <w:sz w:val="12"/>
                <w:szCs w:val="12"/>
                <w:b w:val="1"/>
                <w:bCs w:val="1"/>
                <w:color w:val="auto"/>
              </w:rPr>
              <w:t>Div. Sum</w:t>
            </w:r>
          </w:p>
        </w:tc>
      </w:tr>
      <w:tr>
        <w:trPr>
          <w:trHeight w:val="185"/>
        </w:trPr>
        <w:tc>
          <w:tcPr>
            <w:tcW w:w="60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Demolition/Temporary Protection/Daily Cleaning</w:t>
            </w: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189"/>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Demolition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400"/>
              <w:spacing w:after="0"/>
              <w:rPr>
                <w:sz w:val="20"/>
                <w:szCs w:val="20"/>
                <w:color w:val="auto"/>
              </w:rPr>
            </w:pPr>
            <w:r>
              <w:rPr>
                <w:rFonts w:ascii="Arial" w:cs="Arial" w:eastAsia="Arial" w:hAnsi="Arial"/>
                <w:sz w:val="15"/>
                <w:szCs w:val="15"/>
                <w:color w:val="auto"/>
              </w:rPr>
              <w:t>Select demo labs</w:t>
            </w:r>
          </w:p>
        </w:tc>
        <w:tc>
          <w:tcPr>
            <w:tcW w:w="840" w:type="dxa"/>
            <w:vAlign w:val="bottom"/>
          </w:tcPr>
          <w:p>
            <w:pPr>
              <w:jc w:val="right"/>
              <w:spacing w:after="0"/>
              <w:rPr>
                <w:sz w:val="20"/>
                <w:szCs w:val="20"/>
                <w:color w:val="auto"/>
              </w:rPr>
            </w:pPr>
            <w:r>
              <w:rPr>
                <w:rFonts w:ascii="Arial" w:cs="Arial" w:eastAsia="Arial" w:hAnsi="Arial"/>
                <w:sz w:val="15"/>
                <w:szCs w:val="15"/>
                <w:color w:val="auto"/>
              </w:rPr>
              <w:t>16,245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129,960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400"/>
              <w:spacing w:after="0"/>
              <w:rPr>
                <w:sz w:val="20"/>
                <w:szCs w:val="20"/>
                <w:color w:val="auto"/>
              </w:rPr>
            </w:pPr>
            <w:r>
              <w:rPr>
                <w:rFonts w:ascii="Arial" w:cs="Arial" w:eastAsia="Arial" w:hAnsi="Arial"/>
                <w:sz w:val="15"/>
                <w:szCs w:val="15"/>
                <w:color w:val="auto"/>
              </w:rPr>
              <w:t>Dumpsters</w:t>
            </w:r>
          </w:p>
        </w:tc>
        <w:tc>
          <w:tcPr>
            <w:tcW w:w="840" w:type="dxa"/>
            <w:vAlign w:val="bottom"/>
          </w:tcPr>
          <w:p>
            <w:pPr>
              <w:jc w:val="right"/>
              <w:spacing w:after="0"/>
              <w:rPr>
                <w:sz w:val="20"/>
                <w:szCs w:val="20"/>
                <w:color w:val="auto"/>
              </w:rPr>
            </w:pPr>
            <w:r>
              <w:rPr>
                <w:rFonts w:ascii="Arial" w:cs="Arial" w:eastAsia="Arial" w:hAnsi="Arial"/>
                <w:sz w:val="15"/>
                <w:szCs w:val="15"/>
                <w:color w:val="auto"/>
              </w:rPr>
              <w:t>30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22,500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Temporary Protection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400"/>
              <w:spacing w:after="0"/>
              <w:rPr>
                <w:sz w:val="20"/>
                <w:szCs w:val="20"/>
                <w:color w:val="auto"/>
              </w:rPr>
            </w:pPr>
            <w:r>
              <w:rPr>
                <w:rFonts w:ascii="Arial" w:cs="Arial" w:eastAsia="Arial" w:hAnsi="Arial"/>
                <w:sz w:val="15"/>
                <w:szCs w:val="15"/>
                <w:color w:val="auto"/>
              </w:rPr>
              <w:t>Floor protection</w:t>
            </w:r>
          </w:p>
        </w:tc>
        <w:tc>
          <w:tcPr>
            <w:tcW w:w="840" w:type="dxa"/>
            <w:vAlign w:val="bottom"/>
          </w:tcPr>
          <w:p>
            <w:pPr>
              <w:jc w:val="right"/>
              <w:spacing w:after="0"/>
              <w:rPr>
                <w:sz w:val="20"/>
                <w:szCs w:val="20"/>
                <w:color w:val="auto"/>
              </w:rPr>
            </w:pPr>
            <w:r>
              <w:rPr>
                <w:rFonts w:ascii="Arial" w:cs="Arial" w:eastAsia="Arial" w:hAnsi="Arial"/>
                <w:sz w:val="15"/>
                <w:szCs w:val="15"/>
                <w:color w:val="auto"/>
              </w:rPr>
              <w:t>85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shts</w:t>
            </w:r>
          </w:p>
        </w:tc>
        <w:tc>
          <w:tcPr>
            <w:tcW w:w="84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4,675</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400"/>
              <w:spacing w:after="0"/>
              <w:rPr>
                <w:sz w:val="20"/>
                <w:szCs w:val="20"/>
                <w:color w:val="auto"/>
              </w:rPr>
            </w:pPr>
            <w:r>
              <w:rPr>
                <w:rFonts w:ascii="Arial" w:cs="Arial" w:eastAsia="Arial" w:hAnsi="Arial"/>
                <w:sz w:val="15"/>
                <w:szCs w:val="15"/>
                <w:color w:val="auto"/>
              </w:rPr>
              <w:t>Protect existing windows and sills.</w:t>
            </w:r>
          </w:p>
        </w:tc>
        <w:tc>
          <w:tcPr>
            <w:tcW w:w="840" w:type="dxa"/>
            <w:vAlign w:val="bottom"/>
          </w:tcPr>
          <w:p>
            <w:pPr>
              <w:jc w:val="right"/>
              <w:spacing w:after="0"/>
              <w:rPr>
                <w:sz w:val="20"/>
                <w:szCs w:val="20"/>
                <w:color w:val="auto"/>
              </w:rPr>
            </w:pPr>
            <w:r>
              <w:rPr>
                <w:rFonts w:ascii="Arial" w:cs="Arial" w:eastAsia="Arial" w:hAnsi="Arial"/>
                <w:sz w:val="15"/>
                <w:szCs w:val="15"/>
                <w:color w:val="auto"/>
              </w:rPr>
              <w:t>45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12,285</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400"/>
              <w:spacing w:after="0"/>
              <w:rPr>
                <w:sz w:val="20"/>
                <w:szCs w:val="20"/>
                <w:color w:val="auto"/>
              </w:rPr>
            </w:pPr>
            <w:r>
              <w:rPr>
                <w:rFonts w:ascii="Arial" w:cs="Arial" w:eastAsia="Arial" w:hAnsi="Arial"/>
                <w:sz w:val="15"/>
                <w:szCs w:val="15"/>
                <w:color w:val="auto"/>
              </w:rPr>
              <w:t>Dust protection material</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14,000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400"/>
              <w:spacing w:after="0"/>
              <w:rPr>
                <w:sz w:val="20"/>
                <w:szCs w:val="20"/>
                <w:color w:val="auto"/>
              </w:rPr>
            </w:pPr>
            <w:r>
              <w:rPr>
                <w:rFonts w:ascii="Arial" w:cs="Arial" w:eastAsia="Arial" w:hAnsi="Arial"/>
                <w:sz w:val="15"/>
                <w:szCs w:val="15"/>
                <w:color w:val="auto"/>
              </w:rPr>
              <w:t>Protection of existing finishes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8,000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Daily cleaning</w:t>
            </w: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40" w:type="dxa"/>
            <w:vAlign w:val="bottom"/>
          </w:tcPr>
          <w:p>
            <w:pPr>
              <w:jc w:val="right"/>
              <w:spacing w:after="0"/>
              <w:rPr>
                <w:sz w:val="20"/>
                <w:szCs w:val="20"/>
                <w:color w:val="auto"/>
              </w:rPr>
            </w:pPr>
            <w:r>
              <w:rPr>
                <w:rFonts w:ascii="Arial" w:cs="Arial" w:eastAsia="Arial" w:hAnsi="Arial"/>
                <w:sz w:val="15"/>
                <w:szCs w:val="15"/>
                <w:color w:val="auto"/>
              </w:rPr>
              <w:t>975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97,500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$288,920</w:t>
            </w:r>
          </w:p>
        </w:tc>
      </w:tr>
      <w:tr>
        <w:trPr>
          <w:trHeight w:val="188"/>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Concrete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Coring for mechanical systems &amp; tel/data</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8,000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Conference room floor boxes</w:t>
            </w:r>
          </w:p>
        </w:tc>
        <w:tc>
          <w:tcPr>
            <w:tcW w:w="840" w:type="dxa"/>
            <w:vAlign w:val="bottom"/>
          </w:tcPr>
          <w:p>
            <w:pPr>
              <w:jc w:val="right"/>
              <w:spacing w:after="0"/>
              <w:rPr>
                <w:sz w:val="20"/>
                <w:szCs w:val="20"/>
                <w:color w:val="auto"/>
              </w:rPr>
            </w:pPr>
            <w:r>
              <w:rPr>
                <w:rFonts w:ascii="Arial" w:cs="Arial" w:eastAsia="Arial" w:hAnsi="Arial"/>
                <w:sz w:val="15"/>
                <w:szCs w:val="15"/>
                <w:color w:val="auto"/>
              </w:rPr>
              <w:t>5 ea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Patch floors at floor drains</w:t>
            </w:r>
          </w:p>
        </w:tc>
        <w:tc>
          <w:tcPr>
            <w:tcW w:w="840" w:type="dxa"/>
            <w:vAlign w:val="bottom"/>
          </w:tcPr>
          <w:p>
            <w:pPr>
              <w:jc w:val="right"/>
              <w:spacing w:after="0"/>
              <w:rPr>
                <w:sz w:val="20"/>
                <w:szCs w:val="20"/>
                <w:color w:val="auto"/>
              </w:rPr>
            </w:pPr>
            <w:r>
              <w:rPr>
                <w:rFonts w:ascii="Arial" w:cs="Arial" w:eastAsia="Arial" w:hAnsi="Arial"/>
                <w:sz w:val="15"/>
                <w:szCs w:val="15"/>
                <w:color w:val="auto"/>
              </w:rPr>
              <w:t>12 ea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$22,300</w:t>
            </w:r>
          </w:p>
        </w:tc>
      </w:tr>
      <w:tr>
        <w:trPr>
          <w:trHeight w:val="188"/>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Structural Steel/Misc Metals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Support for the operable partitions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16,000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$16,000</w:t>
            </w:r>
          </w:p>
        </w:tc>
      </w:tr>
      <w:tr>
        <w:trPr>
          <w:trHeight w:val="188"/>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Carpentry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Door and hardware installation</w:t>
            </w:r>
          </w:p>
        </w:tc>
        <w:tc>
          <w:tcPr>
            <w:tcW w:w="840" w:type="dxa"/>
            <w:vAlign w:val="bottom"/>
          </w:tcPr>
          <w:p>
            <w:pPr>
              <w:jc w:val="right"/>
              <w:spacing w:after="0"/>
              <w:rPr>
                <w:sz w:val="20"/>
                <w:szCs w:val="20"/>
                <w:color w:val="auto"/>
              </w:rPr>
            </w:pPr>
            <w:r>
              <w:rPr>
                <w:rFonts w:ascii="Arial" w:cs="Arial" w:eastAsia="Arial" w:hAnsi="Arial"/>
                <w:sz w:val="15"/>
                <w:szCs w:val="15"/>
                <w:color w:val="auto"/>
              </w:rPr>
              <w:t>116</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51,620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General carpentry</w:t>
            </w: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40" w:type="dxa"/>
            <w:vAlign w:val="bottom"/>
          </w:tcPr>
          <w:p>
            <w:pPr>
              <w:jc w:val="right"/>
              <w:spacing w:after="0"/>
              <w:rPr>
                <w:sz w:val="20"/>
                <w:szCs w:val="20"/>
                <w:color w:val="auto"/>
              </w:rPr>
            </w:pPr>
            <w:r>
              <w:rPr>
                <w:rFonts w:ascii="Arial" w:cs="Arial" w:eastAsia="Arial" w:hAnsi="Arial"/>
                <w:sz w:val="15"/>
                <w:szCs w:val="15"/>
                <w:color w:val="auto"/>
              </w:rPr>
              <w:t>874</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43,700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Carpentry material</w:t>
            </w: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40" w:type="dxa"/>
            <w:vAlign w:val="bottom"/>
          </w:tcPr>
          <w:p>
            <w:pPr>
              <w:jc w:val="right"/>
              <w:spacing w:after="0"/>
              <w:rPr>
                <w:sz w:val="20"/>
                <w:szCs w:val="20"/>
                <w:color w:val="auto"/>
              </w:rPr>
            </w:pPr>
            <w:r>
              <w:rPr>
                <w:rFonts w:ascii="Arial" w:cs="Arial" w:eastAsia="Arial" w:hAnsi="Arial"/>
                <w:sz w:val="15"/>
                <w:szCs w:val="15"/>
                <w:color w:val="auto"/>
              </w:rPr>
              <w:t>280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Interior blocking</w:t>
            </w:r>
          </w:p>
        </w:tc>
        <w:tc>
          <w:tcPr>
            <w:tcW w:w="840" w:type="dxa"/>
            <w:vAlign w:val="bottom"/>
          </w:tcPr>
          <w:p>
            <w:pPr>
              <w:jc w:val="right"/>
              <w:spacing w:after="0"/>
              <w:rPr>
                <w:sz w:val="20"/>
                <w:szCs w:val="20"/>
                <w:color w:val="auto"/>
              </w:rPr>
            </w:pPr>
            <w:r>
              <w:rPr>
                <w:rFonts w:ascii="Arial" w:cs="Arial" w:eastAsia="Arial" w:hAnsi="Arial"/>
                <w:sz w:val="15"/>
                <w:szCs w:val="15"/>
                <w:color w:val="auto"/>
              </w:rPr>
              <w:t>2,295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16,065</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Barricades/safety</w:t>
            </w: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Install specialties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9500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9,500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$138,485</w:t>
            </w:r>
          </w:p>
        </w:tc>
      </w:tr>
      <w:tr>
        <w:trPr>
          <w:trHeight w:val="385"/>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Millwork</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Coffee Bar Cabinetry</w:t>
            </w:r>
          </w:p>
        </w:tc>
        <w:tc>
          <w:tcPr>
            <w:tcW w:w="840" w:type="dxa"/>
            <w:vAlign w:val="bottom"/>
          </w:tcPr>
          <w:p>
            <w:pPr>
              <w:jc w:val="right"/>
              <w:spacing w:after="0"/>
              <w:rPr>
                <w:sz w:val="20"/>
                <w:szCs w:val="20"/>
                <w:color w:val="auto"/>
              </w:rPr>
            </w:pPr>
            <w:r>
              <w:rPr>
                <w:rFonts w:ascii="Arial" w:cs="Arial" w:eastAsia="Arial" w:hAnsi="Arial"/>
                <w:sz w:val="15"/>
                <w:szCs w:val="15"/>
                <w:color w:val="auto"/>
              </w:rPr>
              <w:t>36</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895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32,220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Cafe Cabinetry, uppers and lowers with solid surface top</w:t>
            </w: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950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49,400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Cafe Island</w:t>
            </w:r>
          </w:p>
        </w:tc>
        <w:tc>
          <w:tcPr>
            <w:tcW w:w="840" w:type="dxa"/>
            <w:vAlign w:val="bottom"/>
          </w:tcPr>
          <w:p>
            <w:pPr>
              <w:jc w:val="right"/>
              <w:spacing w:after="0"/>
              <w:rPr>
                <w:sz w:val="20"/>
                <w:szCs w:val="20"/>
                <w:color w:val="auto"/>
              </w:rPr>
            </w:pPr>
            <w:r>
              <w:rPr>
                <w:rFonts w:ascii="Arial" w:cs="Arial" w:eastAsia="Arial" w:hAnsi="Arial"/>
                <w:sz w:val="15"/>
                <w:szCs w:val="15"/>
                <w:color w:val="auto"/>
              </w:rPr>
              <w:t>22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985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21,670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Copy area millwork</w:t>
            </w:r>
          </w:p>
        </w:tc>
        <w:tc>
          <w:tcPr>
            <w:tcW w:w="840" w:type="dxa"/>
            <w:vAlign w:val="bottom"/>
          </w:tcPr>
          <w:p>
            <w:pPr>
              <w:jc w:val="right"/>
              <w:spacing w:after="0"/>
              <w:rPr>
                <w:sz w:val="20"/>
                <w:szCs w:val="20"/>
                <w:color w:val="auto"/>
              </w:rPr>
            </w:pPr>
            <w:r>
              <w:rPr>
                <w:rFonts w:ascii="Arial" w:cs="Arial" w:eastAsia="Arial" w:hAnsi="Arial"/>
                <w:sz w:val="15"/>
                <w:szCs w:val="15"/>
                <w:color w:val="auto"/>
              </w:rPr>
              <w:t>70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650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45,500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Closet shelving and hangers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Reception desks allowance</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Custom Signage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$178,790</w:t>
            </w:r>
          </w:p>
        </w:tc>
      </w:tr>
      <w:tr>
        <w:trPr>
          <w:trHeight w:val="188"/>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Roofing/Thermal Moisture Protection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Roof protection</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Roof safety Garlock rental</w:t>
            </w: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mnths</w:t>
            </w:r>
          </w:p>
        </w:tc>
        <w:tc>
          <w:tcPr>
            <w:tcW w:w="840" w:type="dxa"/>
            <w:vAlign w:val="bottom"/>
          </w:tcPr>
          <w:p>
            <w:pPr>
              <w:jc w:val="right"/>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Roofing for duct &amp; pipe flashing</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9,000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Interior sealants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Fireproofing</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15,000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Firestopping</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8,000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$53,000</w:t>
            </w:r>
          </w:p>
        </w:tc>
      </w:tr>
    </w:tbl>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200025</wp:posOffset>
            </wp:positionV>
            <wp:extent cx="805815" cy="2432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805815" cy="2432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856" w:right="21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38"/>
        </w:trPr>
        <w:tc>
          <w:tcPr>
            <w:tcW w:w="6140" w:type="dxa"/>
            <w:vAlign w:val="bottom"/>
            <w:gridSpan w:val="2"/>
          </w:tcPr>
          <w:p>
            <w:pPr>
              <w:spacing w:after="0"/>
              <w:rPr>
                <w:sz w:val="20"/>
                <w:szCs w:val="20"/>
                <w:color w:val="auto"/>
              </w:rPr>
            </w:pPr>
            <w:r>
              <w:rPr>
                <w:rFonts w:ascii="Arial" w:cs="Arial" w:eastAsia="Arial" w:hAnsi="Arial"/>
                <w:sz w:val="12"/>
                <w:szCs w:val="12"/>
                <w:b w:val="1"/>
                <w:bCs w:val="1"/>
                <w:color w:val="auto"/>
              </w:rPr>
              <w:t>Division/Description</w:t>
            </w:r>
          </w:p>
        </w:tc>
        <w:tc>
          <w:tcPr>
            <w:tcW w:w="840" w:type="dxa"/>
            <w:vAlign w:val="bottom"/>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920" w:type="dxa"/>
            <w:vAlign w:val="bottom"/>
            <w:gridSpan w:val="2"/>
          </w:tcPr>
          <w:p>
            <w:pPr>
              <w:ind w:left="320"/>
              <w:spacing w:after="0"/>
              <w:rPr>
                <w:sz w:val="20"/>
                <w:szCs w:val="20"/>
                <w:color w:val="auto"/>
              </w:rPr>
            </w:pPr>
            <w:r>
              <w:rPr>
                <w:rFonts w:ascii="Arial" w:cs="Arial" w:eastAsia="Arial" w:hAnsi="Arial"/>
                <w:sz w:val="12"/>
                <w:szCs w:val="12"/>
                <w:b w:val="1"/>
                <w:bCs w:val="1"/>
                <w:color w:val="auto"/>
              </w:rPr>
              <w:t>UM</w:t>
            </w: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Unit $</w:t>
            </w:r>
          </w:p>
        </w:tc>
        <w:tc>
          <w:tcPr>
            <w:tcW w:w="1220" w:type="dxa"/>
            <w:vAlign w:val="bottom"/>
            <w:gridSpan w:val="2"/>
          </w:tcPr>
          <w:p>
            <w:pPr>
              <w:ind w:left="320"/>
              <w:spacing w:after="0"/>
              <w:rPr>
                <w:sz w:val="20"/>
                <w:szCs w:val="20"/>
                <w:color w:val="auto"/>
              </w:rPr>
            </w:pPr>
            <w:r>
              <w:rPr>
                <w:rFonts w:ascii="Arial" w:cs="Arial" w:eastAsia="Arial" w:hAnsi="Arial"/>
                <w:sz w:val="12"/>
                <w:szCs w:val="12"/>
                <w:b w:val="1"/>
                <w:bCs w:val="1"/>
                <w:color w:val="auto"/>
              </w:rPr>
              <w:t>Line Sum</w:t>
            </w:r>
          </w:p>
        </w:tc>
        <w:tc>
          <w:tcPr>
            <w:tcW w:w="1300" w:type="dxa"/>
            <w:vAlign w:val="bottom"/>
          </w:tcPr>
          <w:p>
            <w:pPr>
              <w:jc w:val="right"/>
              <w:ind w:right="349"/>
              <w:spacing w:after="0"/>
              <w:rPr>
                <w:sz w:val="20"/>
                <w:szCs w:val="20"/>
                <w:color w:val="auto"/>
              </w:rPr>
            </w:pPr>
            <w:r>
              <w:rPr>
                <w:rFonts w:ascii="Arial" w:cs="Arial" w:eastAsia="Arial" w:hAnsi="Arial"/>
                <w:sz w:val="12"/>
                <w:szCs w:val="12"/>
                <w:b w:val="1"/>
                <w:bCs w:val="1"/>
                <w:color w:val="auto"/>
              </w:rPr>
              <w:t>Div. Sum</w:t>
            </w:r>
          </w:p>
        </w:tc>
      </w:tr>
      <w:tr>
        <w:trPr>
          <w:trHeight w:val="185"/>
        </w:trPr>
        <w:tc>
          <w:tcPr>
            <w:tcW w:w="60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Doors/Frames/Hardware</w:t>
            </w: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00"/>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Office doors wood</w:t>
            </w:r>
          </w:p>
        </w:tc>
        <w:tc>
          <w:tcPr>
            <w:tcW w:w="840" w:type="dxa"/>
            <w:vAlign w:val="bottom"/>
          </w:tcPr>
          <w:p>
            <w:pPr>
              <w:jc w:val="right"/>
              <w:spacing w:after="0"/>
              <w:rPr>
                <w:sz w:val="20"/>
                <w:szCs w:val="20"/>
                <w:color w:val="auto"/>
              </w:rPr>
            </w:pPr>
            <w:r>
              <w:rPr>
                <w:rFonts w:ascii="Arial" w:cs="Arial" w:eastAsia="Arial" w:hAnsi="Arial"/>
                <w:sz w:val="15"/>
                <w:szCs w:val="15"/>
                <w:color w:val="auto"/>
              </w:rPr>
              <w:t>74 ea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1,495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110,630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HM doors at labs</w:t>
            </w:r>
          </w:p>
        </w:tc>
        <w:tc>
          <w:tcPr>
            <w:tcW w:w="840" w:type="dxa"/>
            <w:vAlign w:val="bottom"/>
          </w:tcPr>
          <w:p>
            <w:pPr>
              <w:jc w:val="right"/>
              <w:spacing w:after="0"/>
              <w:rPr>
                <w:sz w:val="20"/>
                <w:szCs w:val="20"/>
                <w:color w:val="auto"/>
              </w:rPr>
            </w:pPr>
            <w:r>
              <w:rPr>
                <w:rFonts w:ascii="Arial" w:cs="Arial" w:eastAsia="Arial" w:hAnsi="Arial"/>
                <w:sz w:val="15"/>
                <w:szCs w:val="15"/>
                <w:color w:val="auto"/>
              </w:rPr>
              <w:t>42 ea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1,775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74,550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Card readers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$185,180</w:t>
            </w:r>
          </w:p>
        </w:tc>
      </w:tr>
      <w:tr>
        <w:trPr>
          <w:trHeight w:val="188"/>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Glazing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Butt Glazing</w:t>
            </w:r>
          </w:p>
        </w:tc>
        <w:tc>
          <w:tcPr>
            <w:tcW w:w="840" w:type="dxa"/>
            <w:vAlign w:val="bottom"/>
          </w:tcPr>
          <w:p>
            <w:pPr>
              <w:jc w:val="right"/>
              <w:spacing w:after="0"/>
              <w:rPr>
                <w:sz w:val="20"/>
                <w:szCs w:val="20"/>
                <w:color w:val="auto"/>
              </w:rPr>
            </w:pPr>
            <w:r>
              <w:rPr>
                <w:rFonts w:ascii="Arial" w:cs="Arial" w:eastAsia="Arial" w:hAnsi="Arial"/>
                <w:sz w:val="15"/>
                <w:szCs w:val="15"/>
                <w:color w:val="auto"/>
              </w:rPr>
              <w:t>2,798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145,496</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Glass doors entrances &amp; Fouth Floor</w:t>
            </w: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Glass sliding doors (4th floor)</w:t>
            </w: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Vision kits for doors</w:t>
            </w:r>
          </w:p>
        </w:tc>
        <w:tc>
          <w:tcPr>
            <w:tcW w:w="840" w:type="dxa"/>
            <w:vAlign w:val="bottom"/>
          </w:tcPr>
          <w:p>
            <w:pPr>
              <w:jc w:val="right"/>
              <w:spacing w:after="0"/>
              <w:rPr>
                <w:sz w:val="20"/>
                <w:szCs w:val="20"/>
                <w:color w:val="auto"/>
              </w:rPr>
            </w:pPr>
            <w:r>
              <w:rPr>
                <w:rFonts w:ascii="Arial" w:cs="Arial" w:eastAsia="Arial" w:hAnsi="Arial"/>
                <w:sz w:val="15"/>
                <w:szCs w:val="15"/>
                <w:color w:val="auto"/>
              </w:rPr>
              <w:t>60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Graphics on Glass (Allowance)</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$191,496</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Gypsum Drywall</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GWB Walls</w:t>
            </w:r>
          </w:p>
        </w:tc>
        <w:tc>
          <w:tcPr>
            <w:tcW w:w="840" w:type="dxa"/>
            <w:vAlign w:val="bottom"/>
          </w:tcPr>
          <w:p>
            <w:pPr>
              <w:jc w:val="right"/>
              <w:spacing w:after="0"/>
              <w:rPr>
                <w:sz w:val="20"/>
                <w:szCs w:val="20"/>
                <w:color w:val="auto"/>
              </w:rPr>
            </w:pPr>
            <w:r>
              <w:rPr>
                <w:rFonts w:ascii="Arial" w:cs="Arial" w:eastAsia="Arial" w:hAnsi="Arial"/>
                <w:sz w:val="15"/>
                <w:szCs w:val="15"/>
                <w:color w:val="auto"/>
              </w:rPr>
              <w:t>3,417</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437,376</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Perimeter walls</w:t>
            </w:r>
          </w:p>
        </w:tc>
        <w:tc>
          <w:tcPr>
            <w:tcW w:w="840" w:type="dxa"/>
            <w:vAlign w:val="bottom"/>
          </w:tcPr>
          <w:p>
            <w:pPr>
              <w:jc w:val="right"/>
              <w:spacing w:after="0"/>
              <w:rPr>
                <w:sz w:val="20"/>
                <w:szCs w:val="20"/>
                <w:color w:val="auto"/>
              </w:rPr>
            </w:pPr>
            <w:r>
              <w:rPr>
                <w:rFonts w:ascii="Arial" w:cs="Arial" w:eastAsia="Arial" w:hAnsi="Arial"/>
                <w:sz w:val="15"/>
                <w:szCs w:val="15"/>
                <w:color w:val="auto"/>
              </w:rPr>
              <w:t>1,045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120,175</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Soffits</w:t>
            </w:r>
          </w:p>
        </w:tc>
        <w:tc>
          <w:tcPr>
            <w:tcW w:w="840" w:type="dxa"/>
            <w:vAlign w:val="bottom"/>
          </w:tcPr>
          <w:p>
            <w:pPr>
              <w:jc w:val="right"/>
              <w:spacing w:after="0"/>
              <w:rPr>
                <w:sz w:val="20"/>
                <w:szCs w:val="20"/>
                <w:color w:val="auto"/>
              </w:rPr>
            </w:pPr>
            <w:r>
              <w:rPr>
                <w:rFonts w:ascii="Arial" w:cs="Arial" w:eastAsia="Arial" w:hAnsi="Arial"/>
                <w:sz w:val="15"/>
                <w:szCs w:val="15"/>
                <w:color w:val="auto"/>
              </w:rPr>
              <w:t>4,279</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29,953</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Column enclosures</w:t>
            </w:r>
          </w:p>
        </w:tc>
        <w:tc>
          <w:tcPr>
            <w:tcW w:w="840" w:type="dxa"/>
            <w:vAlign w:val="bottom"/>
          </w:tcPr>
          <w:p>
            <w:pPr>
              <w:jc w:val="right"/>
              <w:spacing w:after="0"/>
              <w:rPr>
                <w:sz w:val="20"/>
                <w:szCs w:val="20"/>
                <w:color w:val="auto"/>
              </w:rPr>
            </w:pPr>
            <w:r>
              <w:rPr>
                <w:rFonts w:ascii="Arial" w:cs="Arial" w:eastAsia="Arial" w:hAnsi="Arial"/>
                <w:sz w:val="15"/>
                <w:szCs w:val="15"/>
                <w:color w:val="auto"/>
              </w:rPr>
              <w:t>45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960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43,200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GWB header for glazing</w:t>
            </w:r>
          </w:p>
        </w:tc>
        <w:tc>
          <w:tcPr>
            <w:tcW w:w="840" w:type="dxa"/>
            <w:vAlign w:val="bottom"/>
          </w:tcPr>
          <w:p>
            <w:pPr>
              <w:jc w:val="right"/>
              <w:spacing w:after="0"/>
              <w:rPr>
                <w:sz w:val="20"/>
                <w:szCs w:val="20"/>
                <w:color w:val="auto"/>
              </w:rPr>
            </w:pPr>
            <w:r>
              <w:rPr>
                <w:rFonts w:ascii="Arial" w:cs="Arial" w:eastAsia="Arial" w:hAnsi="Arial"/>
                <w:sz w:val="15"/>
                <w:szCs w:val="15"/>
                <w:color w:val="auto"/>
              </w:rPr>
              <w:t>400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FRP on wet walls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8,000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$684,704</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Ceilings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ACT 1 Office Standard</w:t>
            </w:r>
          </w:p>
        </w:tc>
        <w:tc>
          <w:tcPr>
            <w:tcW w:w="840" w:type="dxa"/>
            <w:vAlign w:val="bottom"/>
          </w:tcPr>
          <w:p>
            <w:pPr>
              <w:jc w:val="right"/>
              <w:spacing w:after="0"/>
              <w:rPr>
                <w:sz w:val="20"/>
                <w:szCs w:val="20"/>
                <w:color w:val="auto"/>
              </w:rPr>
            </w:pPr>
            <w:r>
              <w:rPr>
                <w:rFonts w:ascii="Arial" w:cs="Arial" w:eastAsia="Arial" w:hAnsi="Arial"/>
                <w:sz w:val="15"/>
                <w:szCs w:val="15"/>
                <w:color w:val="auto"/>
              </w:rPr>
              <w:t>24,795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4.75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117,776</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ACT 2 Lab Standard</w:t>
            </w:r>
          </w:p>
        </w:tc>
        <w:tc>
          <w:tcPr>
            <w:tcW w:w="840" w:type="dxa"/>
            <w:vAlign w:val="bottom"/>
          </w:tcPr>
          <w:p>
            <w:pPr>
              <w:jc w:val="right"/>
              <w:spacing w:after="0"/>
              <w:rPr>
                <w:sz w:val="20"/>
                <w:szCs w:val="20"/>
                <w:color w:val="auto"/>
              </w:rPr>
            </w:pPr>
            <w:r>
              <w:rPr>
                <w:rFonts w:ascii="Arial" w:cs="Arial" w:eastAsia="Arial" w:hAnsi="Arial"/>
                <w:sz w:val="15"/>
                <w:szCs w:val="15"/>
                <w:color w:val="auto"/>
              </w:rPr>
              <w:t>17,100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4.95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84,645</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ACT 3 Vinyl Faced</w:t>
            </w:r>
          </w:p>
        </w:tc>
        <w:tc>
          <w:tcPr>
            <w:tcW w:w="840" w:type="dxa"/>
            <w:vAlign w:val="bottom"/>
          </w:tcPr>
          <w:p>
            <w:pPr>
              <w:jc w:val="right"/>
              <w:spacing w:after="0"/>
              <w:rPr>
                <w:sz w:val="20"/>
                <w:szCs w:val="20"/>
                <w:color w:val="auto"/>
              </w:rPr>
            </w:pPr>
            <w:r>
              <w:rPr>
                <w:rFonts w:ascii="Arial" w:cs="Arial" w:eastAsia="Arial" w:hAnsi="Arial"/>
                <w:sz w:val="15"/>
                <w:szCs w:val="15"/>
                <w:color w:val="auto"/>
              </w:rPr>
              <w:t>2,750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8.75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24,063</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7"/>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$226,484</w:t>
            </w:r>
          </w:p>
        </w:tc>
      </w:tr>
      <w:tr>
        <w:trPr>
          <w:trHeight w:val="210"/>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Flooring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Carpet Tile</w:t>
            </w:r>
          </w:p>
        </w:tc>
        <w:tc>
          <w:tcPr>
            <w:tcW w:w="840" w:type="dxa"/>
            <w:vAlign w:val="bottom"/>
          </w:tcPr>
          <w:p>
            <w:pPr>
              <w:jc w:val="right"/>
              <w:spacing w:after="0"/>
              <w:rPr>
                <w:sz w:val="20"/>
                <w:szCs w:val="20"/>
                <w:color w:val="auto"/>
              </w:rPr>
            </w:pPr>
            <w:r>
              <w:rPr>
                <w:rFonts w:ascii="Arial" w:cs="Arial" w:eastAsia="Arial" w:hAnsi="Arial"/>
                <w:sz w:val="15"/>
                <w:szCs w:val="15"/>
                <w:color w:val="auto"/>
              </w:rPr>
              <w:t>2,697</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sy</w:t>
            </w:r>
          </w:p>
        </w:tc>
        <w:tc>
          <w:tcPr>
            <w:tcW w:w="840" w:type="dxa"/>
            <w:vAlign w:val="bottom"/>
          </w:tcPr>
          <w:p>
            <w:pPr>
              <w:jc w:val="right"/>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107,880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VCT</w:t>
            </w:r>
          </w:p>
        </w:tc>
        <w:tc>
          <w:tcPr>
            <w:tcW w:w="840" w:type="dxa"/>
            <w:vAlign w:val="bottom"/>
          </w:tcPr>
          <w:p>
            <w:pPr>
              <w:jc w:val="right"/>
              <w:spacing w:after="0"/>
              <w:rPr>
                <w:sz w:val="20"/>
                <w:szCs w:val="20"/>
                <w:color w:val="auto"/>
              </w:rPr>
            </w:pPr>
            <w:r>
              <w:rPr>
                <w:rFonts w:ascii="Arial" w:cs="Arial" w:eastAsia="Arial" w:hAnsi="Arial"/>
                <w:sz w:val="15"/>
                <w:szCs w:val="15"/>
                <w:color w:val="auto"/>
              </w:rPr>
              <w:t>16,975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2.95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50,076</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Solid Vinyl Wood Plank</w:t>
            </w:r>
          </w:p>
        </w:tc>
        <w:tc>
          <w:tcPr>
            <w:tcW w:w="840" w:type="dxa"/>
            <w:vAlign w:val="bottom"/>
          </w:tcPr>
          <w:p>
            <w:pPr>
              <w:jc w:val="right"/>
              <w:spacing w:after="0"/>
              <w:rPr>
                <w:sz w:val="20"/>
                <w:szCs w:val="20"/>
                <w:color w:val="auto"/>
              </w:rPr>
            </w:pPr>
            <w:r>
              <w:rPr>
                <w:rFonts w:ascii="Arial" w:cs="Arial" w:eastAsia="Arial" w:hAnsi="Arial"/>
                <w:sz w:val="15"/>
                <w:szCs w:val="15"/>
                <w:color w:val="auto"/>
              </w:rPr>
              <w:t>2,857</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9.95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28,427</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Johnsonite 4" vinyl cove base</w:t>
            </w:r>
          </w:p>
        </w:tc>
        <w:tc>
          <w:tcPr>
            <w:tcW w:w="840" w:type="dxa"/>
            <w:vAlign w:val="bottom"/>
          </w:tcPr>
          <w:p>
            <w:pPr>
              <w:jc w:val="right"/>
              <w:spacing w:after="0"/>
              <w:rPr>
                <w:sz w:val="20"/>
                <w:szCs w:val="20"/>
                <w:color w:val="auto"/>
              </w:rPr>
            </w:pPr>
            <w:r>
              <w:rPr>
                <w:rFonts w:ascii="Arial" w:cs="Arial" w:eastAsia="Arial" w:hAnsi="Arial"/>
                <w:sz w:val="15"/>
                <w:szCs w:val="15"/>
                <w:color w:val="auto"/>
              </w:rPr>
              <w:t>7,195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2.50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17,988</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Sheet vinyl</w:t>
            </w:r>
          </w:p>
        </w:tc>
        <w:tc>
          <w:tcPr>
            <w:tcW w:w="840" w:type="dxa"/>
            <w:vAlign w:val="bottom"/>
          </w:tcPr>
          <w:p>
            <w:pPr>
              <w:jc w:val="right"/>
              <w:spacing w:after="0"/>
              <w:rPr>
                <w:sz w:val="20"/>
                <w:szCs w:val="20"/>
                <w:color w:val="auto"/>
              </w:rPr>
            </w:pPr>
            <w:r>
              <w:rPr>
                <w:rFonts w:ascii="Arial" w:cs="Arial" w:eastAsia="Arial" w:hAnsi="Arial"/>
                <w:sz w:val="15"/>
                <w:szCs w:val="15"/>
                <w:color w:val="auto"/>
              </w:rPr>
              <w:t>97</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sy</w:t>
            </w:r>
          </w:p>
        </w:tc>
        <w:tc>
          <w:tcPr>
            <w:tcW w:w="840" w:type="dxa"/>
            <w:vAlign w:val="bottom"/>
          </w:tcPr>
          <w:p>
            <w:pPr>
              <w:jc w:val="right"/>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9,312</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Epoxy flooring at glasswash room</w:t>
            </w:r>
          </w:p>
        </w:tc>
        <w:tc>
          <w:tcPr>
            <w:tcW w:w="840" w:type="dxa"/>
            <w:vAlign w:val="bottom"/>
          </w:tcPr>
          <w:p>
            <w:pPr>
              <w:jc w:val="right"/>
              <w:spacing w:after="0"/>
              <w:rPr>
                <w:sz w:val="20"/>
                <w:szCs w:val="20"/>
                <w:color w:val="auto"/>
              </w:rPr>
            </w:pPr>
            <w:r>
              <w:rPr>
                <w:rFonts w:ascii="Arial" w:cs="Arial" w:eastAsia="Arial" w:hAnsi="Arial"/>
                <w:sz w:val="15"/>
                <w:szCs w:val="15"/>
                <w:color w:val="auto"/>
              </w:rPr>
              <w:t>350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4,900</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Floor prep allowance</w:t>
            </w:r>
          </w:p>
        </w:tc>
        <w:tc>
          <w:tcPr>
            <w:tcW w:w="840" w:type="dxa"/>
            <w:vAlign w:val="bottom"/>
          </w:tcPr>
          <w:p>
            <w:pPr>
              <w:jc w:val="right"/>
              <w:spacing w:after="0"/>
              <w:rPr>
                <w:sz w:val="20"/>
                <w:szCs w:val="20"/>
                <w:color w:val="auto"/>
              </w:rPr>
            </w:pPr>
            <w:r>
              <w:rPr>
                <w:rFonts w:ascii="Arial" w:cs="Arial" w:eastAsia="Arial" w:hAnsi="Arial"/>
                <w:sz w:val="15"/>
                <w:szCs w:val="15"/>
                <w:color w:val="auto"/>
              </w:rPr>
              <w:t>25,000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25,000</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7"/>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$243,583</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Painting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Walls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0"/>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Latex paint</w:t>
            </w:r>
          </w:p>
        </w:tc>
        <w:tc>
          <w:tcPr>
            <w:tcW w:w="840" w:type="dxa"/>
            <w:vAlign w:val="bottom"/>
          </w:tcPr>
          <w:p>
            <w:pPr>
              <w:jc w:val="right"/>
              <w:spacing w:after="0"/>
              <w:rPr>
                <w:sz w:val="20"/>
                <w:szCs w:val="20"/>
                <w:color w:val="auto"/>
              </w:rPr>
            </w:pPr>
            <w:r>
              <w:rPr>
                <w:rFonts w:ascii="Arial" w:cs="Arial" w:eastAsia="Arial" w:hAnsi="Arial"/>
                <w:sz w:val="15"/>
                <w:szCs w:val="15"/>
                <w:color w:val="auto"/>
              </w:rPr>
              <w:t>69,975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0.98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68,576</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Touch up painting</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GWB Ceilings/Soffits</w:t>
            </w:r>
          </w:p>
        </w:tc>
        <w:tc>
          <w:tcPr>
            <w:tcW w:w="840" w:type="dxa"/>
            <w:vAlign w:val="bottom"/>
          </w:tcPr>
          <w:p>
            <w:pPr>
              <w:jc w:val="right"/>
              <w:spacing w:after="0"/>
              <w:rPr>
                <w:sz w:val="20"/>
                <w:szCs w:val="20"/>
                <w:color w:val="auto"/>
              </w:rPr>
            </w:pPr>
            <w:r>
              <w:rPr>
                <w:rFonts w:ascii="Arial" w:cs="Arial" w:eastAsia="Arial" w:hAnsi="Arial"/>
                <w:sz w:val="15"/>
                <w:szCs w:val="15"/>
                <w:color w:val="auto"/>
              </w:rPr>
              <w:t>4,279</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1.39</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5,948</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Door and frames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Doors/frames</w:t>
            </w:r>
          </w:p>
        </w:tc>
        <w:tc>
          <w:tcPr>
            <w:tcW w:w="840" w:type="dxa"/>
            <w:vAlign w:val="bottom"/>
          </w:tcPr>
          <w:p>
            <w:pPr>
              <w:jc w:val="right"/>
              <w:spacing w:after="0"/>
              <w:rPr>
                <w:sz w:val="20"/>
                <w:szCs w:val="20"/>
                <w:color w:val="auto"/>
              </w:rPr>
            </w:pPr>
            <w:r>
              <w:rPr>
                <w:rFonts w:ascii="Arial" w:cs="Arial" w:eastAsia="Arial" w:hAnsi="Arial"/>
                <w:sz w:val="15"/>
                <w:szCs w:val="15"/>
                <w:color w:val="auto"/>
              </w:rPr>
              <w:t>42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3,192</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7"/>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$85,215</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8" w:right="21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38"/>
        </w:trPr>
        <w:tc>
          <w:tcPr>
            <w:tcW w:w="6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Division/Description</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UM</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Unit $</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Line Sum</w:t>
            </w:r>
          </w:p>
        </w:tc>
        <w:tc>
          <w:tcPr>
            <w:tcW w:w="60" w:type="dxa"/>
            <w:vAlign w:val="bottom"/>
          </w:tcPr>
          <w:p>
            <w:pPr>
              <w:spacing w:after="0"/>
              <w:rPr>
                <w:sz w:val="12"/>
                <w:szCs w:val="12"/>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Div. Sum</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Specialties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Fire extinguishers and cabinets</w:t>
            </w: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675</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9,450</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Corner guards</w:t>
            </w:r>
          </w:p>
        </w:tc>
        <w:tc>
          <w:tcPr>
            <w:tcW w:w="840" w:type="dxa"/>
            <w:vAlign w:val="bottom"/>
          </w:tcPr>
          <w:p>
            <w:pPr>
              <w:jc w:val="right"/>
              <w:spacing w:after="0"/>
              <w:rPr>
                <w:sz w:val="20"/>
                <w:szCs w:val="20"/>
                <w:color w:val="auto"/>
              </w:rPr>
            </w:pPr>
            <w:r>
              <w:rPr>
                <w:rFonts w:ascii="Arial" w:cs="Arial" w:eastAsia="Arial" w:hAnsi="Arial"/>
                <w:sz w:val="15"/>
                <w:szCs w:val="15"/>
                <w:color w:val="auto"/>
              </w:rPr>
              <w:t>25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6,875</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Lab coat hooks</w:t>
            </w: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Bumper guards - two line plastic</w:t>
            </w:r>
          </w:p>
        </w:tc>
        <w:tc>
          <w:tcPr>
            <w:tcW w:w="840" w:type="dxa"/>
            <w:vAlign w:val="bottom"/>
          </w:tcPr>
          <w:p>
            <w:pPr>
              <w:jc w:val="right"/>
              <w:spacing w:after="0"/>
              <w:rPr>
                <w:sz w:val="20"/>
                <w:szCs w:val="20"/>
                <w:color w:val="auto"/>
              </w:rPr>
            </w:pPr>
            <w:r>
              <w:rPr>
                <w:rFonts w:ascii="Arial" w:cs="Arial" w:eastAsia="Arial" w:hAnsi="Arial"/>
                <w:sz w:val="15"/>
                <w:szCs w:val="15"/>
                <w:color w:val="auto"/>
              </w:rPr>
              <w:t>300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25,500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Hufcor Operable Partition with Marker Boards &amp; glass panels</w:t>
            </w:r>
          </w:p>
        </w:tc>
        <w:tc>
          <w:tcPr>
            <w:tcW w:w="840" w:type="dxa"/>
            <w:vAlign w:val="bottom"/>
          </w:tcPr>
          <w:p>
            <w:pPr>
              <w:jc w:val="right"/>
              <w:spacing w:after="0"/>
              <w:rPr>
                <w:sz w:val="20"/>
                <w:szCs w:val="20"/>
                <w:color w:val="auto"/>
              </w:rPr>
            </w:pPr>
            <w:r>
              <w:rPr>
                <w:rFonts w:ascii="Arial" w:cs="Arial" w:eastAsia="Arial" w:hAnsi="Arial"/>
                <w:sz w:val="15"/>
                <w:szCs w:val="15"/>
                <w:color w:val="auto"/>
              </w:rPr>
              <w:t>32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2,225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71,200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Mesh Partitions</w:t>
            </w:r>
          </w:p>
        </w:tc>
        <w:tc>
          <w:tcPr>
            <w:tcW w:w="840" w:type="dxa"/>
            <w:vAlign w:val="bottom"/>
          </w:tcPr>
          <w:p>
            <w:pPr>
              <w:jc w:val="right"/>
              <w:spacing w:after="0"/>
              <w:rPr>
                <w:sz w:val="20"/>
                <w:szCs w:val="20"/>
                <w:color w:val="auto"/>
              </w:rPr>
            </w:pPr>
            <w:r>
              <w:rPr>
                <w:rFonts w:ascii="Arial" w:cs="Arial" w:eastAsia="Arial" w:hAnsi="Arial"/>
                <w:sz w:val="15"/>
                <w:szCs w:val="15"/>
                <w:color w:val="auto"/>
              </w:rPr>
              <w:t>475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55,575</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Glass marker boards - conference/board rooms</w:t>
            </w: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10,500</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White boards at private offices</w:t>
            </w:r>
          </w:p>
        </w:tc>
        <w:tc>
          <w:tcPr>
            <w:tcW w:w="840" w:type="dxa"/>
            <w:vAlign w:val="bottom"/>
          </w:tcPr>
          <w:p>
            <w:pPr>
              <w:jc w:val="right"/>
              <w:spacing w:after="0"/>
              <w:rPr>
                <w:sz w:val="20"/>
                <w:szCs w:val="20"/>
                <w:color w:val="auto"/>
              </w:rPr>
            </w:pPr>
            <w:r>
              <w:rPr>
                <w:rFonts w:ascii="Arial" w:cs="Arial" w:eastAsia="Arial" w:hAnsi="Arial"/>
                <w:sz w:val="15"/>
                <w:szCs w:val="15"/>
                <w:color w:val="auto"/>
              </w:rPr>
              <w:t>38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450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17,100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Wall mounted dispensers (Allowance)</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Window treatments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5"/>
                <w:szCs w:val="15"/>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Metro Shelving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Signage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r>
      <w:tr>
        <w:trPr>
          <w:trHeight w:val="229"/>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$219,200</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Laboratory Casework</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Mobile benches Anaerobic Table 36 x 96</w:t>
            </w:r>
          </w:p>
        </w:tc>
        <w:tc>
          <w:tcPr>
            <w:tcW w:w="840" w:type="dxa"/>
            <w:vAlign w:val="bottom"/>
          </w:tcPr>
          <w:p>
            <w:pPr>
              <w:jc w:val="right"/>
              <w:spacing w:after="0"/>
              <w:rPr>
                <w:sz w:val="20"/>
                <w:szCs w:val="20"/>
                <w:color w:val="auto"/>
              </w:rPr>
            </w:pPr>
            <w:r>
              <w:rPr>
                <w:rFonts w:ascii="Arial" w:cs="Arial" w:eastAsia="Arial" w:hAnsi="Arial"/>
                <w:sz w:val="15"/>
                <w:szCs w:val="15"/>
                <w:color w:val="auto"/>
              </w:rPr>
              <w:t>9</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3,636</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32,724</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Mobile benches Anaerobic Table 36 x 72</w:t>
            </w: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2,800</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22,400</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Lab Bench 30 x 72</w:t>
            </w:r>
          </w:p>
        </w:tc>
        <w:tc>
          <w:tcPr>
            <w:tcW w:w="840" w:type="dxa"/>
            <w:vAlign w:val="bottom"/>
          </w:tcPr>
          <w:p>
            <w:pPr>
              <w:jc w:val="right"/>
              <w:spacing w:after="0"/>
              <w:rPr>
                <w:sz w:val="20"/>
                <w:szCs w:val="20"/>
                <w:color w:val="auto"/>
              </w:rPr>
            </w:pPr>
            <w:r>
              <w:rPr>
                <w:rFonts w:ascii="Arial" w:cs="Arial" w:eastAsia="Arial" w:hAnsi="Arial"/>
                <w:sz w:val="15"/>
                <w:szCs w:val="15"/>
                <w:color w:val="auto"/>
              </w:rPr>
              <w:t>67</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3,324</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222,708</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Lab Bench 30 x 96</w:t>
            </w:r>
          </w:p>
        </w:tc>
        <w:tc>
          <w:tcPr>
            <w:tcW w:w="840" w:type="dxa"/>
            <w:vAlign w:val="bottom"/>
          </w:tcPr>
          <w:p>
            <w:pPr>
              <w:jc w:val="right"/>
              <w:spacing w:after="0"/>
              <w:rPr>
                <w:sz w:val="20"/>
                <w:szCs w:val="20"/>
                <w:color w:val="auto"/>
              </w:rPr>
            </w:pPr>
            <w:r>
              <w:rPr>
                <w:rFonts w:ascii="Arial" w:cs="Arial" w:eastAsia="Arial" w:hAnsi="Arial"/>
                <w:sz w:val="15"/>
                <w:szCs w:val="15"/>
                <w:color w:val="auto"/>
              </w:rPr>
              <w:t>10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3,724</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37,240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End of Lab Bench 30 x 60</w:t>
            </w: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3,175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38,100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End of Benck 30 x 72</w:t>
            </w: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3,375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20,250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Fixed Wall Benches</w:t>
            </w:r>
          </w:p>
        </w:tc>
        <w:tc>
          <w:tcPr>
            <w:tcW w:w="840" w:type="dxa"/>
            <w:vAlign w:val="bottom"/>
          </w:tcPr>
          <w:p>
            <w:pPr>
              <w:jc w:val="right"/>
              <w:spacing w:after="0"/>
              <w:rPr>
                <w:sz w:val="20"/>
                <w:szCs w:val="20"/>
                <w:color w:val="auto"/>
              </w:rPr>
            </w:pPr>
            <w:r>
              <w:rPr>
                <w:rFonts w:ascii="Arial" w:cs="Arial" w:eastAsia="Arial" w:hAnsi="Arial"/>
                <w:sz w:val="15"/>
                <w:szCs w:val="15"/>
                <w:color w:val="auto"/>
              </w:rPr>
              <w:t>225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575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129,375</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Shelving</w:t>
            </w: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40" w:type="dxa"/>
            <w:vAlign w:val="bottom"/>
          </w:tcPr>
          <w:p>
            <w:pPr>
              <w:jc w:val="right"/>
              <w:spacing w:after="0"/>
              <w:rPr>
                <w:sz w:val="20"/>
                <w:szCs w:val="20"/>
                <w:color w:val="auto"/>
              </w:rPr>
            </w:pPr>
            <w:r>
              <w:rPr>
                <w:rFonts w:ascii="Arial" w:cs="Arial" w:eastAsia="Arial" w:hAnsi="Arial"/>
                <w:sz w:val="15"/>
                <w:szCs w:val="15"/>
                <w:color w:val="auto"/>
              </w:rPr>
              <w:t>180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Utility Panels</w:t>
            </w:r>
          </w:p>
        </w:tc>
        <w:tc>
          <w:tcPr>
            <w:tcW w:w="840" w:type="dxa"/>
            <w:vAlign w:val="bottom"/>
          </w:tcPr>
          <w:p>
            <w:pPr>
              <w:jc w:val="right"/>
              <w:spacing w:after="0"/>
              <w:rPr>
                <w:sz w:val="20"/>
                <w:szCs w:val="20"/>
                <w:color w:val="auto"/>
              </w:rPr>
            </w:pPr>
            <w:r>
              <w:rPr>
                <w:rFonts w:ascii="Arial" w:cs="Arial" w:eastAsia="Arial" w:hAnsi="Arial"/>
                <w:sz w:val="15"/>
                <w:szCs w:val="15"/>
                <w:color w:val="auto"/>
              </w:rPr>
              <w:t>48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350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16,800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Recommission existing cold room</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Relocate &amp; refurbish existng Fumehoods</w:t>
            </w: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3,975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11,925</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Anaerobic chambers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5"/>
                <w:szCs w:val="15"/>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Pilot Plant tables/benches/carts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20"/>
                <w:szCs w:val="20"/>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Flammable Safety Cabinets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7"/>
                <w:szCs w:val="17"/>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SS sinks- In plumbing price</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9"/>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$558,522</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Equipment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Biosafety cabinets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5"/>
                <w:szCs w:val="15"/>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Glasswashers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Autoclave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Appliances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Lab Equipment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r>
      <w:tr>
        <w:trPr>
          <w:trHeight w:val="416"/>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Fire Protection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Modify existing systems to serve office and labs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ind w:right="248"/>
              <w:spacing w:after="0"/>
              <w:rPr>
                <w:sz w:val="20"/>
                <w:szCs w:val="20"/>
                <w:color w:val="auto"/>
              </w:rPr>
            </w:pPr>
            <w:r>
              <w:rPr>
                <w:rFonts w:ascii="Arial" w:cs="Arial" w:eastAsia="Arial" w:hAnsi="Arial"/>
                <w:sz w:val="15"/>
                <w:szCs w:val="15"/>
                <w:color w:val="auto"/>
                <w:w w:val="92"/>
              </w:rPr>
              <w:t>198,000</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198,000</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7"/>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$198,000</w:t>
            </w:r>
          </w:p>
        </w:tc>
      </w:tr>
      <w:tr>
        <w:trPr>
          <w:trHeight w:val="209"/>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Plumbing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716,400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Utility drops - VAC &amp; Compressed Air</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5"/>
                <w:szCs w:val="15"/>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C02 Manifold &amp; distribution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8"/>
                <w:szCs w:val="18"/>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N2 Manifold &amp; distribution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20"/>
                <w:szCs w:val="20"/>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Gases to Fume Hoods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8"/>
                <w:szCs w:val="18"/>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RO distribution &amp; drops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7"/>
                <w:szCs w:val="17"/>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Emergency eyewash distribution and stations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5"/>
                <w:szCs w:val="15"/>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Potable and non-potable water distribution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8"/>
                <w:szCs w:val="18"/>
                <w:color w:val="auto"/>
              </w:rPr>
            </w:pPr>
          </w:p>
        </w:tc>
      </w:tr>
      <w:tr>
        <w:trPr>
          <w:trHeight w:val="240"/>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Utility piping &amp; connections to equipment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20"/>
                <w:szCs w:val="20"/>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Sink assemblies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5"/>
                <w:szCs w:val="15"/>
                <w:color w:val="auto"/>
              </w:rPr>
            </w:pPr>
          </w:p>
        </w:tc>
      </w:tr>
      <w:tr>
        <w:trPr>
          <w:trHeight w:val="240"/>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Lab waste &amp; vent piping</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20"/>
                <w:szCs w:val="20"/>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Floor drains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In abv</w:t>
            </w:r>
          </w:p>
        </w:tc>
        <w:tc>
          <w:tcPr>
            <w:tcW w:w="1300" w:type="dxa"/>
            <w:vAlign w:val="bottom"/>
          </w:tcPr>
          <w:p>
            <w:pPr>
              <w:spacing w:after="0"/>
              <w:rPr>
                <w:sz w:val="15"/>
                <w:szCs w:val="15"/>
                <w:color w:val="auto"/>
              </w:rPr>
            </w:pPr>
          </w:p>
        </w:tc>
      </w:tr>
      <w:tr>
        <w:trPr>
          <w:trHeight w:val="229"/>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$716,400</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7" w:right="21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38"/>
        </w:trPr>
        <w:tc>
          <w:tcPr>
            <w:tcW w:w="6140" w:type="dxa"/>
            <w:vAlign w:val="bottom"/>
            <w:gridSpan w:val="2"/>
          </w:tcPr>
          <w:p>
            <w:pPr>
              <w:spacing w:after="0"/>
              <w:rPr>
                <w:sz w:val="20"/>
                <w:szCs w:val="20"/>
                <w:color w:val="auto"/>
              </w:rPr>
            </w:pPr>
            <w:r>
              <w:rPr>
                <w:rFonts w:ascii="Arial" w:cs="Arial" w:eastAsia="Arial" w:hAnsi="Arial"/>
                <w:sz w:val="12"/>
                <w:szCs w:val="12"/>
                <w:b w:val="1"/>
                <w:bCs w:val="1"/>
                <w:color w:val="auto"/>
              </w:rPr>
              <w:t>Division/Description</w:t>
            </w:r>
          </w:p>
        </w:tc>
        <w:tc>
          <w:tcPr>
            <w:tcW w:w="840" w:type="dxa"/>
            <w:vAlign w:val="bottom"/>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920" w:type="dxa"/>
            <w:vAlign w:val="bottom"/>
            <w:gridSpan w:val="2"/>
          </w:tcPr>
          <w:p>
            <w:pPr>
              <w:ind w:left="320"/>
              <w:spacing w:after="0"/>
              <w:rPr>
                <w:sz w:val="20"/>
                <w:szCs w:val="20"/>
                <w:color w:val="auto"/>
              </w:rPr>
            </w:pPr>
            <w:r>
              <w:rPr>
                <w:rFonts w:ascii="Arial" w:cs="Arial" w:eastAsia="Arial" w:hAnsi="Arial"/>
                <w:sz w:val="12"/>
                <w:szCs w:val="12"/>
                <w:b w:val="1"/>
                <w:bCs w:val="1"/>
                <w:color w:val="auto"/>
              </w:rPr>
              <w:t>UM</w:t>
            </w: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Unit $</w:t>
            </w:r>
          </w:p>
        </w:tc>
        <w:tc>
          <w:tcPr>
            <w:tcW w:w="1220" w:type="dxa"/>
            <w:vAlign w:val="bottom"/>
            <w:gridSpan w:val="2"/>
          </w:tcPr>
          <w:p>
            <w:pPr>
              <w:ind w:left="320"/>
              <w:spacing w:after="0"/>
              <w:rPr>
                <w:sz w:val="20"/>
                <w:szCs w:val="20"/>
                <w:color w:val="auto"/>
              </w:rPr>
            </w:pPr>
            <w:r>
              <w:rPr>
                <w:rFonts w:ascii="Arial" w:cs="Arial" w:eastAsia="Arial" w:hAnsi="Arial"/>
                <w:sz w:val="12"/>
                <w:szCs w:val="12"/>
                <w:b w:val="1"/>
                <w:bCs w:val="1"/>
                <w:color w:val="auto"/>
              </w:rPr>
              <w:t>Line Sum</w:t>
            </w:r>
          </w:p>
        </w:tc>
        <w:tc>
          <w:tcPr>
            <w:tcW w:w="1300" w:type="dxa"/>
            <w:vAlign w:val="bottom"/>
          </w:tcPr>
          <w:p>
            <w:pPr>
              <w:jc w:val="right"/>
              <w:ind w:right="350"/>
              <w:spacing w:after="0"/>
              <w:rPr>
                <w:sz w:val="20"/>
                <w:szCs w:val="20"/>
                <w:color w:val="auto"/>
              </w:rPr>
            </w:pPr>
            <w:r>
              <w:rPr>
                <w:rFonts w:ascii="Arial" w:cs="Arial" w:eastAsia="Arial" w:hAnsi="Arial"/>
                <w:sz w:val="12"/>
                <w:szCs w:val="12"/>
                <w:b w:val="1"/>
                <w:bCs w:val="1"/>
                <w:color w:val="auto"/>
              </w:rPr>
              <w:t>Div. Sum</w:t>
            </w:r>
          </w:p>
        </w:tc>
        <w:tc>
          <w:tcPr>
            <w:tcW w:w="0" w:type="dxa"/>
            <w:vAlign w:val="bottom"/>
          </w:tcPr>
          <w:p>
            <w:pPr>
              <w:spacing w:after="0"/>
              <w:rPr>
                <w:sz w:val="1"/>
                <w:szCs w:val="1"/>
                <w:color w:val="auto"/>
              </w:rPr>
            </w:pPr>
          </w:p>
        </w:tc>
      </w:tr>
      <w:tr>
        <w:trPr>
          <w:trHeight w:val="185"/>
        </w:trPr>
        <w:tc>
          <w:tcPr>
            <w:tcW w:w="60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HVAC</w:t>
            </w: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Demolition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$20,000</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Phoenix Valves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$85,000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VAV</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Piping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$325,350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Sheet metal</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$1,000,000</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AC Unit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$4,500</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Insulation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$320,000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HW Coils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Vibration Isolation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Balancing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Controls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$473,740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Coordination Drawings &amp; HVAC direct costs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$419,341</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Rigging</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$5,000</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Electrical and Fire Alarm</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$2,723,031</w:t>
            </w:r>
          </w:p>
        </w:tc>
        <w:tc>
          <w:tcPr>
            <w:tcW w:w="0" w:type="dxa"/>
            <w:vAlign w:val="bottom"/>
          </w:tcPr>
          <w:p>
            <w:pPr>
              <w:spacing w:after="0"/>
              <w:rPr>
                <w:sz w:val="1"/>
                <w:szCs w:val="1"/>
                <w:color w:val="auto"/>
              </w:rPr>
            </w:pPr>
          </w:p>
        </w:tc>
      </w:tr>
      <w:tr>
        <w:trPr>
          <w:trHeight w:val="177"/>
        </w:trPr>
        <w:tc>
          <w:tcPr>
            <w:tcW w:w="61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Demolition/make safe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56,304</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Feeders &amp; Power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336,792</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Distribution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304,960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Lighting and controls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1,017,180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Fire alarm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119,820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HVAC wiring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106,800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Permits and other direct costs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33,000</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General Requirements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$1,974,856</w:t>
            </w:r>
          </w:p>
        </w:tc>
        <w:tc>
          <w:tcPr>
            <w:tcW w:w="0" w:type="dxa"/>
            <w:vAlign w:val="bottom"/>
          </w:tcPr>
          <w:p>
            <w:pPr>
              <w:spacing w:after="0"/>
              <w:rPr>
                <w:sz w:val="1"/>
                <w:szCs w:val="1"/>
                <w:color w:val="auto"/>
              </w:rPr>
            </w:pPr>
          </w:p>
        </w:tc>
      </w:tr>
      <w:tr>
        <w:trPr>
          <w:trHeight w:val="177"/>
        </w:trPr>
        <w:tc>
          <w:tcPr>
            <w:tcW w:w="61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Parking</w:t>
            </w: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mnths</w:t>
            </w:r>
          </w:p>
        </w:tc>
        <w:tc>
          <w:tcPr>
            <w:tcW w:w="840" w:type="dxa"/>
            <w:vAlign w:val="bottom"/>
          </w:tcPr>
          <w:p>
            <w:pPr>
              <w:jc w:val="right"/>
              <w:spacing w:after="0"/>
              <w:rPr>
                <w:sz w:val="20"/>
                <w:szCs w:val="20"/>
                <w:color w:val="auto"/>
              </w:rPr>
            </w:pPr>
            <w:r>
              <w:rPr>
                <w:rFonts w:ascii="Arial" w:cs="Arial" w:eastAsia="Arial" w:hAnsi="Arial"/>
                <w:sz w:val="15"/>
                <w:szCs w:val="15"/>
                <w:color w:val="auto"/>
              </w:rPr>
              <w:t>950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4,750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Police details</w:t>
            </w: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385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3,080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Replace plumbing and electrical utilities at fire rated plenums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alw</w:t>
            </w:r>
          </w:p>
        </w:tc>
        <w:tc>
          <w:tcPr>
            <w:tcW w:w="840" w:type="dxa"/>
            <w:vAlign w:val="bottom"/>
          </w:tcPr>
          <w:p>
            <w:pPr>
              <w:jc w:val="right"/>
              <w:spacing w:after="0"/>
              <w:rPr>
                <w:sz w:val="20"/>
                <w:szCs w:val="20"/>
                <w:color w:val="auto"/>
              </w:rPr>
            </w:pPr>
            <w:r>
              <w:rPr>
                <w:rFonts w:ascii="Arial" w:cs="Arial" w:eastAsia="Arial" w:hAnsi="Arial"/>
                <w:sz w:val="15"/>
                <w:szCs w:val="15"/>
                <w:color w:val="auto"/>
              </w:rPr>
              <w:t>22,000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Removal of glass panels for loading zones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alw</w:t>
            </w:r>
          </w:p>
        </w:tc>
        <w:tc>
          <w:tcPr>
            <w:tcW w:w="840" w:type="dxa"/>
            <w:vAlign w:val="bottom"/>
          </w:tcPr>
          <w:p>
            <w:pPr>
              <w:jc w:val="right"/>
              <w:spacing w:after="0"/>
              <w:rPr>
                <w:sz w:val="20"/>
                <w:szCs w:val="20"/>
                <w:color w:val="auto"/>
              </w:rPr>
            </w:pPr>
            <w:r>
              <w:rPr>
                <w:rFonts w:ascii="Arial" w:cs="Arial" w:eastAsia="Arial" w:hAnsi="Arial"/>
                <w:sz w:val="15"/>
                <w:szCs w:val="15"/>
                <w:color w:val="auto"/>
              </w:rPr>
              <w:t>4,000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Adjusting/modifying existing shades per new layout</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12,000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Allowance for MEP distribution in occupied spaces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alw</w:t>
            </w:r>
          </w:p>
        </w:tc>
        <w:tc>
          <w:tcPr>
            <w:tcW w:w="840" w:type="dxa"/>
            <w:vAlign w:val="bottom"/>
          </w:tcPr>
          <w:p>
            <w:pPr>
              <w:jc w:val="right"/>
              <w:spacing w:after="0"/>
              <w:rPr>
                <w:sz w:val="20"/>
                <w:szCs w:val="20"/>
                <w:color w:val="auto"/>
              </w:rPr>
            </w:pPr>
            <w:r>
              <w:rPr>
                <w:rFonts w:ascii="Arial" w:cs="Arial" w:eastAsia="Arial" w:hAnsi="Arial"/>
                <w:sz w:val="15"/>
                <w:szCs w:val="15"/>
                <w:color w:val="auto"/>
              </w:rPr>
              <w:t>15,000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Signage for occupancy</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Allowance for rigging equipment</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alw</w:t>
            </w:r>
          </w:p>
        </w:tc>
        <w:tc>
          <w:tcPr>
            <w:tcW w:w="840" w:type="dxa"/>
            <w:vAlign w:val="bottom"/>
          </w:tcPr>
          <w:p>
            <w:pPr>
              <w:jc w:val="right"/>
              <w:spacing w:after="0"/>
              <w:rPr>
                <w:sz w:val="20"/>
                <w:szCs w:val="20"/>
                <w:color w:val="auto"/>
              </w:rPr>
            </w:pPr>
            <w:r>
              <w:rPr>
                <w:rFonts w:ascii="Arial" w:cs="Arial" w:eastAsia="Arial" w:hAnsi="Arial"/>
                <w:sz w:val="15"/>
                <w:szCs w:val="15"/>
                <w:color w:val="auto"/>
              </w:rPr>
              <w:t>12,000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General Conditions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$75,330</w:t>
            </w:r>
          </w:p>
        </w:tc>
        <w:tc>
          <w:tcPr>
            <w:tcW w:w="0" w:type="dxa"/>
            <w:vAlign w:val="bottom"/>
          </w:tcPr>
          <w:p>
            <w:pPr>
              <w:spacing w:after="0"/>
              <w:rPr>
                <w:sz w:val="1"/>
                <w:szCs w:val="1"/>
                <w:color w:val="auto"/>
              </w:rPr>
            </w:pPr>
          </w:p>
        </w:tc>
      </w:tr>
      <w:tr>
        <w:trPr>
          <w:trHeight w:val="177"/>
        </w:trPr>
        <w:tc>
          <w:tcPr>
            <w:tcW w:w="61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Safety/third party inspection</w:t>
            </w: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250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Consumables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40" w:type="dxa"/>
            <w:vAlign w:val="bottom"/>
          </w:tcPr>
          <w:p>
            <w:pPr>
              <w:jc w:val="right"/>
              <w:spacing w:after="0"/>
              <w:rPr>
                <w:sz w:val="20"/>
                <w:szCs w:val="20"/>
                <w:color w:val="auto"/>
              </w:rPr>
            </w:pPr>
            <w:r>
              <w:rPr>
                <w:rFonts w:ascii="Arial" w:cs="Arial" w:eastAsia="Arial" w:hAnsi="Arial"/>
                <w:sz w:val="15"/>
                <w:szCs w:val="15"/>
                <w:color w:val="auto"/>
              </w:rPr>
              <w:t>12,000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Field operation expenses</w:t>
            </w: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780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14,040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Field Office</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40" w:type="dxa"/>
            <w:vAlign w:val="bottom"/>
          </w:tcPr>
          <w:p>
            <w:pPr>
              <w:jc w:val="right"/>
              <w:spacing w:after="0"/>
              <w:rPr>
                <w:sz w:val="20"/>
                <w:szCs w:val="20"/>
                <w:color w:val="auto"/>
              </w:rPr>
            </w:pPr>
            <w:r>
              <w:rPr>
                <w:rFonts w:ascii="Arial" w:cs="Arial" w:eastAsia="Arial" w:hAnsi="Arial"/>
                <w:sz w:val="15"/>
                <w:szCs w:val="15"/>
                <w:color w:val="auto"/>
              </w:rPr>
              <w:t>8,500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8,500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Final cleaning</w:t>
            </w:r>
          </w:p>
        </w:tc>
        <w:tc>
          <w:tcPr>
            <w:tcW w:w="840" w:type="dxa"/>
            <w:vAlign w:val="bottom"/>
          </w:tcPr>
          <w:p>
            <w:pPr>
              <w:jc w:val="right"/>
              <w:spacing w:after="0"/>
              <w:rPr>
                <w:sz w:val="20"/>
                <w:szCs w:val="20"/>
                <w:color w:val="auto"/>
              </w:rPr>
            </w:pPr>
            <w:r>
              <w:rPr>
                <w:rFonts w:ascii="Arial" w:cs="Arial" w:eastAsia="Arial" w:hAnsi="Arial"/>
                <w:sz w:val="15"/>
                <w:szCs w:val="15"/>
                <w:color w:val="auto"/>
              </w:rPr>
              <w:t>44,000</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40" w:type="dxa"/>
            <w:vAlign w:val="bottom"/>
          </w:tcPr>
          <w:p>
            <w:pPr>
              <w:jc w:val="right"/>
              <w:spacing w:after="0"/>
              <w:rPr>
                <w:sz w:val="20"/>
                <w:szCs w:val="20"/>
                <w:color w:val="auto"/>
              </w:rPr>
            </w:pPr>
            <w:r>
              <w:rPr>
                <w:rFonts w:ascii="Arial" w:cs="Arial" w:eastAsia="Arial" w:hAnsi="Arial"/>
                <w:sz w:val="15"/>
                <w:szCs w:val="15"/>
                <w:color w:val="auto"/>
              </w:rPr>
              <w:t>0.65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28,600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Sanitary facilities</w:t>
            </w: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mnths</w:t>
            </w:r>
          </w:p>
        </w:tc>
        <w:tc>
          <w:tcPr>
            <w:tcW w:w="840" w:type="dxa"/>
            <w:vAlign w:val="bottom"/>
          </w:tcPr>
          <w:p>
            <w:pPr>
              <w:jc w:val="right"/>
              <w:spacing w:after="0"/>
              <w:rPr>
                <w:sz w:val="20"/>
                <w:szCs w:val="20"/>
                <w:color w:val="auto"/>
              </w:rPr>
            </w:pPr>
            <w:r>
              <w:rPr>
                <w:rFonts w:ascii="Arial" w:cs="Arial" w:eastAsia="Arial" w:hAnsi="Arial"/>
                <w:sz w:val="15"/>
                <w:szCs w:val="15"/>
                <w:color w:val="auto"/>
              </w:rPr>
              <w:t>975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Supervision</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$71,540</w:t>
            </w:r>
          </w:p>
        </w:tc>
        <w:tc>
          <w:tcPr>
            <w:tcW w:w="0" w:type="dxa"/>
            <w:vAlign w:val="bottom"/>
          </w:tcPr>
          <w:p>
            <w:pPr>
              <w:spacing w:after="0"/>
              <w:rPr>
                <w:sz w:val="1"/>
                <w:szCs w:val="1"/>
                <w:color w:val="auto"/>
              </w:rPr>
            </w:pPr>
          </w:p>
        </w:tc>
      </w:tr>
      <w:tr>
        <w:trPr>
          <w:trHeight w:val="177"/>
        </w:trPr>
        <w:tc>
          <w:tcPr>
            <w:tcW w:w="61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Project Executive (2 days/week)</w:t>
            </w:r>
          </w:p>
        </w:tc>
        <w:tc>
          <w:tcPr>
            <w:tcW w:w="840" w:type="dxa"/>
            <w:vAlign w:val="bottom"/>
          </w:tcPr>
          <w:p>
            <w:pPr>
              <w:jc w:val="right"/>
              <w:spacing w:after="0"/>
              <w:rPr>
                <w:sz w:val="20"/>
                <w:szCs w:val="20"/>
                <w:color w:val="auto"/>
              </w:rPr>
            </w:pPr>
            <w:r>
              <w:rPr>
                <w:rFonts w:ascii="Arial" w:cs="Arial" w:eastAsia="Arial" w:hAnsi="Arial"/>
                <w:sz w:val="15"/>
                <w:szCs w:val="15"/>
                <w:color w:val="auto"/>
              </w:rPr>
              <w:t>48</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40" w:type="dxa"/>
            <w:vAlign w:val="bottom"/>
          </w:tcPr>
          <w:p>
            <w:pPr>
              <w:jc w:val="right"/>
              <w:spacing w:after="0"/>
              <w:rPr>
                <w:sz w:val="20"/>
                <w:szCs w:val="20"/>
                <w:color w:val="auto"/>
              </w:rPr>
            </w:pPr>
            <w:r>
              <w:rPr>
                <w:rFonts w:ascii="Arial" w:cs="Arial" w:eastAsia="Arial" w:hAnsi="Arial"/>
                <w:sz w:val="15"/>
                <w:szCs w:val="15"/>
                <w:color w:val="auto"/>
              </w:rPr>
              <w:t>1,240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59,520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Project Manager</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4,400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105,600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Assistant Project Manager</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72,000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Project Superintendent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4,200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100,800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Assistant Superintendent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72,000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Planner (2 days/week)</w:t>
            </w: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1,920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23,040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MEP Coordinator</w:t>
            </w: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4,200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25,200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Field Operations Manager</w:t>
            </w: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4,800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19,200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Estimator</w:t>
            </w: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wks</w:t>
            </w:r>
          </w:p>
        </w:tc>
        <w:tc>
          <w:tcPr>
            <w:tcW w:w="840" w:type="dxa"/>
            <w:vAlign w:val="bottom"/>
          </w:tcPr>
          <w:p>
            <w:pPr>
              <w:jc w:val="right"/>
              <w:spacing w:after="0"/>
              <w:rPr>
                <w:sz w:val="20"/>
                <w:szCs w:val="20"/>
                <w:color w:val="auto"/>
              </w:rPr>
            </w:pPr>
            <w:r>
              <w:rPr>
                <w:rFonts w:ascii="Arial" w:cs="Arial" w:eastAsia="Arial" w:hAnsi="Arial"/>
                <w:sz w:val="15"/>
                <w:szCs w:val="15"/>
                <w:color w:val="auto"/>
              </w:rPr>
              <w:t>5,600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22,400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Project Administrative Assistant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40" w:type="dxa"/>
            <w:vAlign w:val="bottom"/>
          </w:tcPr>
          <w:p>
            <w:pPr>
              <w:jc w:val="right"/>
              <w:spacing w:after="0"/>
              <w:rPr>
                <w:sz w:val="20"/>
                <w:szCs w:val="20"/>
                <w:color w:val="auto"/>
              </w:rPr>
            </w:pPr>
            <w:r>
              <w:rPr>
                <w:rFonts w:ascii="Arial" w:cs="Arial" w:eastAsia="Arial" w:hAnsi="Arial"/>
                <w:sz w:val="15"/>
                <w:szCs w:val="15"/>
                <w:color w:val="auto"/>
              </w:rPr>
              <w:t>480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11,520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tcPr>
          <w:p>
            <w:pPr>
              <w:ind w:left="200"/>
              <w:spacing w:after="0"/>
              <w:rPr>
                <w:sz w:val="20"/>
                <w:szCs w:val="20"/>
                <w:color w:val="auto"/>
              </w:rPr>
            </w:pPr>
            <w:r>
              <w:rPr>
                <w:rFonts w:ascii="Arial" w:cs="Arial" w:eastAsia="Arial" w:hAnsi="Arial"/>
                <w:sz w:val="15"/>
                <w:szCs w:val="15"/>
                <w:color w:val="auto"/>
              </w:rPr>
              <w:t>Project Accountant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04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40" w:type="dxa"/>
            <w:vAlign w:val="bottom"/>
          </w:tcPr>
          <w:p>
            <w:pPr>
              <w:jc w:val="right"/>
              <w:spacing w:after="0"/>
              <w:rPr>
                <w:sz w:val="20"/>
                <w:szCs w:val="20"/>
                <w:color w:val="auto"/>
              </w:rPr>
            </w:pPr>
            <w:r>
              <w:rPr>
                <w:rFonts w:ascii="Arial" w:cs="Arial" w:eastAsia="Arial" w:hAnsi="Arial"/>
                <w:sz w:val="15"/>
                <w:szCs w:val="15"/>
                <w:color w:val="auto"/>
              </w:rPr>
              <w:t>600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14,400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$525,680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8" w:right="219" w:bottom="1440" w:gutter="0" w:footer="0" w:header="0"/>
        </w:sectPr>
      </w:pPr>
    </w:p>
    <w:bookmarkStart w:id="312" w:name="page313"/>
    <w:bookmarkEnd w:id="312"/>
    <w:p>
      <w:pPr>
        <w:spacing w:after="0"/>
        <w:rPr>
          <w:sz w:val="20"/>
          <w:szCs w:val="20"/>
          <w:color w:val="auto"/>
        </w:rPr>
      </w:pPr>
      <w:r>
        <w:rPr>
          <w:rFonts w:ascii="Arial" w:cs="Arial" w:eastAsia="Arial" w:hAnsi="Arial"/>
          <w:sz w:val="12"/>
          <w:szCs w:val="12"/>
          <w:b w:val="1"/>
          <w:bCs w:val="1"/>
          <w:color w:val="auto"/>
        </w:rPr>
        <w:t>Division/Description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84810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4810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Engineering</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Architectural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Structural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MEP</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and Permits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General Liability Insurance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Building Permits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Overhead and Profit</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Budget</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 See Office, Lab and ACF Summary Sheet for Alternates and Clarifications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UM</w:t>
            </w:r>
          </w:p>
        </w:tc>
        <w:tc>
          <w:tcPr>
            <w:tcW w:w="80" w:type="dxa"/>
            <w:vAlign w:val="bottom"/>
          </w:tcPr>
          <w:p>
            <w:pPr>
              <w:spacing w:after="0"/>
              <w:rPr>
                <w:sz w:val="12"/>
                <w:szCs w:val="12"/>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Unit $</w:t>
            </w:r>
          </w:p>
        </w:tc>
        <w:tc>
          <w:tcPr>
            <w:tcW w:w="80" w:type="dxa"/>
            <w:vAlign w:val="bottom"/>
          </w:tcPr>
          <w:p>
            <w:pPr>
              <w:spacing w:after="0"/>
              <w:rPr>
                <w:sz w:val="12"/>
                <w:szCs w:val="12"/>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Line Sum</w:t>
            </w:r>
          </w:p>
        </w:tc>
        <w:tc>
          <w:tcPr>
            <w:tcW w:w="60" w:type="dxa"/>
            <w:vAlign w:val="bottom"/>
          </w:tcPr>
          <w:p>
            <w:pPr>
              <w:spacing w:after="0"/>
              <w:rPr>
                <w:sz w:val="12"/>
                <w:szCs w:val="12"/>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Div. Sum</w:t>
            </w:r>
          </w:p>
        </w:tc>
        <w:tc>
          <w:tcPr>
            <w:tcW w:w="0" w:type="dxa"/>
            <w:vAlign w:val="bottom"/>
          </w:tcPr>
          <w:p>
            <w:pPr>
              <w:spacing w:after="0"/>
              <w:rPr>
                <w:sz w:val="1"/>
                <w:szCs w:val="1"/>
                <w:color w:val="auto"/>
              </w:rPr>
            </w:pPr>
          </w:p>
        </w:tc>
      </w:tr>
      <w:tr>
        <w:trPr>
          <w:trHeight w:val="385"/>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NIC</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4"/>
        </w:trPr>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93,767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40" w:type="dxa"/>
            <w:vAlign w:val="bottom"/>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140,651</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$234,418</w:t>
            </w:r>
          </w:p>
        </w:tc>
        <w:tc>
          <w:tcPr>
            <w:tcW w:w="0" w:type="dxa"/>
            <w:vAlign w:val="bottom"/>
          </w:tcPr>
          <w:p>
            <w:pPr>
              <w:spacing w:after="0"/>
              <w:rPr>
                <w:sz w:val="1"/>
                <w:szCs w:val="1"/>
                <w:color w:val="auto"/>
              </w:rPr>
            </w:pPr>
          </w:p>
        </w:tc>
      </w:tr>
      <w:tr>
        <w:trPr>
          <w:trHeight w:val="210"/>
        </w:trPr>
        <w:tc>
          <w:tcPr>
            <w:tcW w:w="840" w:type="dxa"/>
            <w:vAlign w:val="bottom"/>
          </w:tcPr>
          <w:p>
            <w:pPr>
              <w:jc w:val="right"/>
              <w:spacing w:after="0"/>
              <w:rPr>
                <w:sz w:val="20"/>
                <w:szCs w:val="20"/>
                <w:color w:val="auto"/>
              </w:rPr>
            </w:pPr>
            <w:r>
              <w:rPr>
                <w:rFonts w:ascii="Arial" w:cs="Arial" w:eastAsia="Arial" w:hAnsi="Arial"/>
                <w:sz w:val="15"/>
                <w:szCs w:val="15"/>
                <w:color w:val="auto"/>
              </w:rPr>
              <w:t>5.00%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468,836</w:t>
            </w:r>
          </w:p>
        </w:tc>
        <w:tc>
          <w:tcPr>
            <w:tcW w:w="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$468,836</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40" w:type="dxa"/>
            <w:vAlign w:val="bottom"/>
          </w:tcPr>
          <w:p>
            <w:pPr>
              <w:jc w:val="right"/>
              <w:spacing w:after="0"/>
              <w:rPr>
                <w:sz w:val="20"/>
                <w:szCs w:val="20"/>
                <w:color w:val="auto"/>
              </w:rPr>
            </w:pPr>
            <w:r>
              <w:rPr>
                <w:rFonts w:ascii="Arial" w:cs="Arial" w:eastAsia="Arial" w:hAnsi="Arial"/>
                <w:sz w:val="15"/>
                <w:szCs w:val="15"/>
                <w:color w:val="auto"/>
              </w:rPr>
              <w:t>3.50%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$352,799</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$10,432,768</w:t>
            </w:r>
          </w:p>
        </w:tc>
        <w:tc>
          <w:tcPr>
            <w:tcW w:w="0" w:type="dxa"/>
            <w:vAlign w:val="bottom"/>
          </w:tcPr>
          <w:p>
            <w:pPr>
              <w:spacing w:after="0"/>
              <w:rPr>
                <w:sz w:val="1"/>
                <w:szCs w:val="1"/>
                <w:color w:val="auto"/>
              </w:rPr>
            </w:pPr>
          </w:p>
        </w:tc>
      </w:tr>
    </w:tbl>
    <w:p>
      <w:pPr>
        <w:sectPr>
          <w:pgSz w:w="11900" w:h="16838" w:orient="portrait"/>
          <w:cols w:equalWidth="0" w:num="2">
            <w:col w:w="6100" w:space="40"/>
            <w:col w:w="5320"/>
          </w:cols>
          <w:pgMar w:left="220" w:top="308" w:right="219" w:bottom="1440" w:gutter="0" w:footer="0" w:header="0"/>
        </w:sectPr>
      </w:pPr>
    </w:p>
    <w:bookmarkStart w:id="313" w:name="page314"/>
    <w:bookmarkEnd w:id="3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311150</wp:posOffset>
            </wp:positionV>
            <wp:extent cx="1673860" cy="5556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673860" cy="555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7020" w:type="dxa"/>
            <w:vAlign w:val="bottom"/>
          </w:tcPr>
          <w:p>
            <w:pPr>
              <w:spacing w:after="0"/>
              <w:rPr>
                <w:sz w:val="20"/>
                <w:szCs w:val="20"/>
                <w:color w:val="auto"/>
              </w:rPr>
            </w:pPr>
            <w:r>
              <w:rPr>
                <w:rFonts w:ascii="Arial" w:cs="Arial" w:eastAsia="Arial" w:hAnsi="Arial"/>
                <w:sz w:val="15"/>
                <w:szCs w:val="15"/>
                <w:b w:val="1"/>
                <w:bCs w:val="1"/>
                <w:color w:val="auto"/>
              </w:rPr>
              <w:t>Seres Therapeutics</w:t>
            </w: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020" w:type="dxa"/>
            <w:vAlign w:val="bottom"/>
          </w:tcPr>
          <w:p>
            <w:pPr>
              <w:spacing w:after="0" w:line="167" w:lineRule="exact"/>
              <w:rPr>
                <w:sz w:val="20"/>
                <w:szCs w:val="20"/>
                <w:color w:val="auto"/>
              </w:rPr>
            </w:pPr>
            <w:r>
              <w:rPr>
                <w:rFonts w:ascii="Arial" w:cs="Arial" w:eastAsia="Arial" w:hAnsi="Arial"/>
                <w:sz w:val="15"/>
                <w:szCs w:val="15"/>
                <w:b w:val="1"/>
                <w:bCs w:val="1"/>
                <w:color w:val="auto"/>
              </w:rPr>
              <w:t>200 Sidney Street</w:t>
            </w:r>
          </w:p>
        </w:tc>
        <w:tc>
          <w:tcPr>
            <w:tcW w:w="2960" w:type="dxa"/>
            <w:vAlign w:val="bottom"/>
          </w:tcPr>
          <w:p>
            <w:pPr>
              <w:jc w:val="right"/>
              <w:ind w:right="1527"/>
              <w:spacing w:after="0" w:line="167" w:lineRule="exact"/>
              <w:rPr>
                <w:sz w:val="20"/>
                <w:szCs w:val="20"/>
                <w:color w:val="auto"/>
              </w:rPr>
            </w:pPr>
            <w:r>
              <w:rPr>
                <w:rFonts w:ascii="Arial" w:cs="Arial" w:eastAsia="Arial" w:hAnsi="Arial"/>
                <w:sz w:val="15"/>
                <w:szCs w:val="15"/>
                <w:b w:val="1"/>
                <w:bCs w:val="1"/>
                <w:color w:val="auto"/>
              </w:rPr>
              <w:t>10/30/2015</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20" w:type="dxa"/>
            <w:vAlign w:val="bottom"/>
          </w:tcPr>
          <w:p>
            <w:pPr>
              <w:spacing w:after="0" w:line="164" w:lineRule="exact"/>
              <w:rPr>
                <w:sz w:val="20"/>
                <w:szCs w:val="20"/>
                <w:color w:val="auto"/>
              </w:rPr>
            </w:pPr>
            <w:r>
              <w:rPr>
                <w:rFonts w:ascii="Arial" w:cs="Arial" w:eastAsia="Arial" w:hAnsi="Arial"/>
                <w:sz w:val="15"/>
                <w:szCs w:val="15"/>
                <w:b w:val="1"/>
                <w:bCs w:val="1"/>
                <w:color w:val="auto"/>
              </w:rPr>
              <w:t>Cambridge, MA</w:t>
            </w:r>
          </w:p>
        </w:tc>
        <w:tc>
          <w:tcPr>
            <w:tcW w:w="4460" w:type="dxa"/>
            <w:vAlign w:val="bottom"/>
            <w:gridSpan w:val="4"/>
          </w:tcPr>
          <w:p>
            <w:pPr>
              <w:jc w:val="right"/>
              <w:ind w:right="2780"/>
              <w:spacing w:after="0" w:line="164" w:lineRule="exact"/>
              <w:rPr>
                <w:sz w:val="20"/>
                <w:szCs w:val="20"/>
                <w:color w:val="auto"/>
              </w:rPr>
            </w:pPr>
            <w:r>
              <w:rPr>
                <w:rFonts w:ascii="Arial" w:cs="Arial" w:eastAsia="Arial" w:hAnsi="Arial"/>
                <w:sz w:val="15"/>
                <w:szCs w:val="15"/>
                <w:b w:val="1"/>
                <w:bCs w:val="1"/>
                <w:color w:val="auto"/>
              </w:rPr>
              <w:t>RSF 1890</w:t>
            </w:r>
          </w:p>
        </w:tc>
        <w:tc>
          <w:tcPr>
            <w:tcW w:w="0" w:type="dxa"/>
            <w:vAlign w:val="bottom"/>
          </w:tcPr>
          <w:p>
            <w:pPr>
              <w:spacing w:after="0"/>
              <w:rPr>
                <w:sz w:val="1"/>
                <w:szCs w:val="1"/>
                <w:color w:val="auto"/>
              </w:rPr>
            </w:pPr>
          </w:p>
        </w:tc>
      </w:tr>
      <w:tr>
        <w:trPr>
          <w:trHeight w:val="194"/>
        </w:trPr>
        <w:tc>
          <w:tcPr>
            <w:tcW w:w="7020" w:type="dxa"/>
            <w:vAlign w:val="bottom"/>
          </w:tcPr>
          <w:p>
            <w:pPr>
              <w:spacing w:after="0"/>
              <w:rPr>
                <w:sz w:val="20"/>
                <w:szCs w:val="20"/>
                <w:color w:val="auto"/>
              </w:rPr>
            </w:pPr>
            <w:r>
              <w:rPr>
                <w:rFonts w:ascii="Arial" w:cs="Arial" w:eastAsia="Arial" w:hAnsi="Arial"/>
                <w:sz w:val="15"/>
                <w:szCs w:val="15"/>
                <w:b w:val="1"/>
                <w:bCs w:val="1"/>
                <w:color w:val="auto"/>
              </w:rPr>
              <w:t>ACF Budget</w:t>
            </w: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7020" w:type="dxa"/>
            <w:vAlign w:val="bottom"/>
          </w:tcPr>
          <w:p>
            <w:pPr>
              <w:ind w:left="466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Budget</w:t>
            </w:r>
          </w:p>
        </w:tc>
        <w:tc>
          <w:tcPr>
            <w:tcW w:w="0" w:type="dxa"/>
            <w:vAlign w:val="bottom"/>
          </w:tcPr>
          <w:p>
            <w:pPr>
              <w:spacing w:after="0"/>
              <w:rPr>
                <w:sz w:val="1"/>
                <w:szCs w:val="1"/>
                <w:color w:val="auto"/>
              </w:rPr>
            </w:pPr>
          </w:p>
        </w:tc>
      </w:tr>
      <w:tr>
        <w:trPr>
          <w:trHeight w:val="169"/>
        </w:trPr>
        <w:tc>
          <w:tcPr>
            <w:tcW w:w="7020" w:type="dxa"/>
            <w:vAlign w:val="bottom"/>
            <w:tcBorders>
              <w:top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Demolition/Temporary Protection/Daily Cleaning</w:t>
            </w:r>
          </w:p>
        </w:tc>
        <w:tc>
          <w:tcPr>
            <w:tcW w:w="2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20" w:type="dxa"/>
            <w:vAlign w:val="bottom"/>
          </w:tcPr>
          <w:p>
            <w:pPr>
              <w:spacing w:after="0"/>
              <w:rPr>
                <w:sz w:val="20"/>
                <w:szCs w:val="20"/>
                <w:color w:val="auto"/>
              </w:rPr>
            </w:pPr>
            <w:r>
              <w:rPr>
                <w:rFonts w:ascii="Arial" w:cs="Arial" w:eastAsia="Arial" w:hAnsi="Arial"/>
                <w:sz w:val="15"/>
                <w:szCs w:val="15"/>
                <w:b w:val="1"/>
                <w:bCs w:val="1"/>
                <w:color w:val="auto"/>
              </w:rPr>
              <w:t>Concrete</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$6,850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Structural Steel/Misc Metals</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$32,000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Carpentry</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$14,002</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Millwork</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Roofing/Thermal Moisture Protection</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$13,000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Doors/Frames/Hardware</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$12,870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Glazing</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$1,200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Gypsum Drywall</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$67,170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Ceilings</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$10,063</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Flooring</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$28,500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Painting</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$10,778</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Specialties</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$7,725</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Laboratory Casework</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$34,550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Equipment</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Fire Protection</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$20,930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Plumbing</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$83,280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HVAC</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$266,000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Electrical/Fire Alarm</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$57,668</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General Requirements</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General Conditions</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Supervision</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Engineering</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Insurance and Permits</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$17,411</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Contingency</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$34,821</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5"/>
                <w:szCs w:val="15"/>
                <w:b w:val="1"/>
                <w:bCs w:val="1"/>
                <w:color w:val="auto"/>
              </w:rPr>
              <w:t>Overhead and Profit</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$26,203</w:t>
            </w:r>
          </w:p>
        </w:tc>
        <w:tc>
          <w:tcPr>
            <w:tcW w:w="0" w:type="dxa"/>
            <w:vAlign w:val="bottom"/>
          </w:tcPr>
          <w:p>
            <w:pPr>
              <w:spacing w:after="0"/>
              <w:rPr>
                <w:sz w:val="1"/>
                <w:szCs w:val="1"/>
                <w:color w:val="auto"/>
              </w:rPr>
            </w:pPr>
          </w:p>
        </w:tc>
      </w:tr>
      <w:tr>
        <w:trPr>
          <w:trHeight w:val="22"/>
        </w:trPr>
        <w:tc>
          <w:tcPr>
            <w:tcW w:w="7020" w:type="dxa"/>
            <w:vAlign w:val="bottom"/>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gridSpan w:val="2"/>
          </w:tcPr>
          <w:p>
            <w:pPr>
              <w:jc w:val="right"/>
              <w:ind w:right="20"/>
              <w:spacing w:after="0" w:line="169" w:lineRule="exact"/>
              <w:rPr>
                <w:sz w:val="20"/>
                <w:szCs w:val="20"/>
                <w:color w:val="auto"/>
              </w:rPr>
            </w:pPr>
            <w:r>
              <w:rPr>
                <w:rFonts w:ascii="Arial" w:cs="Arial" w:eastAsia="Arial" w:hAnsi="Arial"/>
                <w:sz w:val="15"/>
                <w:szCs w:val="15"/>
                <w:b w:val="1"/>
                <w:bCs w:val="1"/>
                <w:color w:val="auto"/>
              </w:rPr>
              <w:t>$774,859</w:t>
            </w:r>
          </w:p>
        </w:tc>
        <w:tc>
          <w:tcPr>
            <w:tcW w:w="0" w:type="dxa"/>
            <w:vAlign w:val="bottom"/>
          </w:tcPr>
          <w:p>
            <w:pPr>
              <w:spacing w:after="0"/>
              <w:rPr>
                <w:sz w:val="1"/>
                <w:szCs w:val="1"/>
                <w:color w:val="auto"/>
              </w:rPr>
            </w:pPr>
          </w:p>
        </w:tc>
      </w:tr>
      <w:tr>
        <w:trPr>
          <w:trHeight w:val="227"/>
        </w:trPr>
        <w:tc>
          <w:tcPr>
            <w:tcW w:w="7020" w:type="dxa"/>
            <w:vAlign w:val="bottom"/>
          </w:tcPr>
          <w:p>
            <w:pPr>
              <w:ind w:left="5780"/>
              <w:spacing w:after="0"/>
              <w:rPr>
                <w:sz w:val="20"/>
                <w:szCs w:val="20"/>
                <w:color w:val="auto"/>
              </w:rPr>
            </w:pPr>
            <w:r>
              <w:rPr>
                <w:rFonts w:ascii="Arial" w:cs="Arial" w:eastAsia="Arial" w:hAnsi="Arial"/>
                <w:sz w:val="15"/>
                <w:szCs w:val="15"/>
                <w:b w:val="1"/>
                <w:bCs w:val="1"/>
                <w:color w:val="auto"/>
              </w:rPr>
              <w:t>Cost/SF:</w:t>
            </w:r>
          </w:p>
        </w:tc>
        <w:tc>
          <w:tcPr>
            <w:tcW w:w="446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$409.98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345" w:right="21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20"/>
                <w:szCs w:val="20"/>
                <w:color w:val="auto"/>
              </w:rPr>
            </w:pPr>
            <w:r>
              <w:rPr>
                <w:rFonts w:ascii="Arial" w:cs="Arial" w:eastAsia="Arial" w:hAnsi="Arial"/>
                <w:sz w:val="15"/>
                <w:szCs w:val="15"/>
                <w:b w:val="1"/>
                <w:bCs w:val="1"/>
                <w:color w:val="auto"/>
              </w:rPr>
              <w:t>Seres Therapeutics</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4460" w:type="dxa"/>
            <w:vAlign w:val="bottom"/>
          </w:tcPr>
          <w:p>
            <w:pPr>
              <w:spacing w:after="0" w:line="164" w:lineRule="exact"/>
              <w:rPr>
                <w:sz w:val="20"/>
                <w:szCs w:val="20"/>
                <w:color w:val="auto"/>
              </w:rPr>
            </w:pPr>
            <w:r>
              <w:rPr>
                <w:rFonts w:ascii="Arial" w:cs="Arial" w:eastAsia="Arial" w:hAnsi="Arial"/>
                <w:sz w:val="15"/>
                <w:szCs w:val="15"/>
                <w:b w:val="1"/>
                <w:bCs w:val="1"/>
                <w:color w:val="auto"/>
              </w:rPr>
              <w:t>200 Sidney Street</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4460" w:type="dxa"/>
            <w:vAlign w:val="bottom"/>
          </w:tcPr>
          <w:p>
            <w:pPr>
              <w:spacing w:after="0"/>
              <w:rPr>
                <w:sz w:val="20"/>
                <w:szCs w:val="20"/>
                <w:color w:val="auto"/>
              </w:rPr>
            </w:pPr>
            <w:r>
              <w:rPr>
                <w:rFonts w:ascii="Arial" w:cs="Arial" w:eastAsia="Arial" w:hAnsi="Arial"/>
                <w:sz w:val="15"/>
                <w:szCs w:val="15"/>
                <w:b w:val="1"/>
                <w:bCs w:val="1"/>
                <w:color w:val="auto"/>
              </w:rPr>
              <w:t>Cambridge, MA</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10/30/2015</w:t>
            </w:r>
          </w:p>
        </w:tc>
      </w:tr>
      <w:tr>
        <w:trPr>
          <w:trHeight w:val="295"/>
        </w:trPr>
        <w:tc>
          <w:tcPr>
            <w:tcW w:w="4460" w:type="dxa"/>
            <w:vAlign w:val="bottom"/>
          </w:tcPr>
          <w:p>
            <w:pPr>
              <w:spacing w:after="0"/>
              <w:rPr>
                <w:sz w:val="20"/>
                <w:szCs w:val="20"/>
                <w:color w:val="auto"/>
              </w:rPr>
            </w:pPr>
            <w:r>
              <w:rPr>
                <w:rFonts w:ascii="Arial" w:cs="Arial" w:eastAsia="Arial" w:hAnsi="Arial"/>
                <w:sz w:val="12"/>
                <w:szCs w:val="12"/>
                <w:b w:val="1"/>
                <w:bCs w:val="1"/>
                <w:color w:val="auto"/>
              </w:rPr>
              <w:t>Division/Description</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2"/>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24"/>
                <w:szCs w:val="24"/>
                <w:color w:val="auto"/>
              </w:rPr>
            </w:pPr>
          </w:p>
        </w:tc>
        <w:tc>
          <w:tcPr>
            <w:tcW w:w="960" w:type="dxa"/>
            <w:vAlign w:val="bottom"/>
            <w:gridSpan w:val="2"/>
          </w:tcPr>
          <w:p>
            <w:pPr>
              <w:ind w:left="320"/>
              <w:spacing w:after="0"/>
              <w:rPr>
                <w:sz w:val="20"/>
                <w:szCs w:val="20"/>
                <w:color w:val="auto"/>
              </w:rPr>
            </w:pPr>
            <w:r>
              <w:rPr>
                <w:rFonts w:ascii="Arial" w:cs="Arial" w:eastAsia="Arial" w:hAnsi="Arial"/>
                <w:sz w:val="12"/>
                <w:szCs w:val="12"/>
                <w:b w:val="1"/>
                <w:bCs w:val="1"/>
                <w:color w:val="auto"/>
              </w:rPr>
              <w:t>UM</w:t>
            </w:r>
          </w:p>
        </w:tc>
        <w:tc>
          <w:tcPr>
            <w:tcW w:w="960" w:type="dxa"/>
            <w:vAlign w:val="bottom"/>
            <w:gridSpan w:val="2"/>
          </w:tcPr>
          <w:p>
            <w:pPr>
              <w:ind w:left="280"/>
              <w:spacing w:after="0"/>
              <w:rPr>
                <w:sz w:val="20"/>
                <w:szCs w:val="20"/>
                <w:color w:val="auto"/>
              </w:rPr>
            </w:pPr>
            <w:r>
              <w:rPr>
                <w:rFonts w:ascii="Arial" w:cs="Arial" w:eastAsia="Arial" w:hAnsi="Arial"/>
                <w:sz w:val="12"/>
                <w:szCs w:val="12"/>
                <w:b w:val="1"/>
                <w:bCs w:val="1"/>
                <w:color w:val="auto"/>
              </w:rPr>
              <w:t>Unit $</w:t>
            </w:r>
          </w:p>
        </w:tc>
        <w:tc>
          <w:tcPr>
            <w:tcW w:w="1160" w:type="dxa"/>
            <w:vAlign w:val="bottom"/>
            <w:gridSpan w:val="2"/>
          </w:tcPr>
          <w:p>
            <w:pPr>
              <w:ind w:left="300"/>
              <w:spacing w:after="0"/>
              <w:rPr>
                <w:sz w:val="20"/>
                <w:szCs w:val="20"/>
                <w:color w:val="auto"/>
              </w:rPr>
            </w:pPr>
            <w:r>
              <w:rPr>
                <w:rFonts w:ascii="Arial" w:cs="Arial" w:eastAsia="Arial" w:hAnsi="Arial"/>
                <w:sz w:val="12"/>
                <w:szCs w:val="12"/>
                <w:b w:val="1"/>
                <w:bCs w:val="1"/>
                <w:color w:val="auto"/>
              </w:rPr>
              <w:t>Line Sum</w:t>
            </w:r>
          </w:p>
        </w:tc>
        <w:tc>
          <w:tcPr>
            <w:tcW w:w="12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Div. Sum</w:t>
            </w:r>
          </w:p>
        </w:tc>
      </w:tr>
      <w:tr>
        <w:trPr>
          <w:trHeight w:val="185"/>
        </w:trPr>
        <w:tc>
          <w:tcPr>
            <w:tcW w:w="44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Demolition/Temporary Protection/Daily Cleaning</w:t>
            </w:r>
          </w:p>
        </w:tc>
        <w:tc>
          <w:tcPr>
            <w:tcW w:w="1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460" w:type="dxa"/>
            <w:vAlign w:val="bottom"/>
          </w:tcPr>
          <w:p>
            <w:pPr>
              <w:ind w:left="200"/>
              <w:spacing w:after="0"/>
              <w:rPr>
                <w:sz w:val="20"/>
                <w:szCs w:val="20"/>
                <w:color w:val="auto"/>
              </w:rPr>
            </w:pPr>
            <w:r>
              <w:rPr>
                <w:rFonts w:ascii="Arial" w:cs="Arial" w:eastAsia="Arial" w:hAnsi="Arial"/>
                <w:sz w:val="15"/>
                <w:szCs w:val="15"/>
                <w:color w:val="auto"/>
              </w:rPr>
              <w:t>Demolition</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460" w:type="dxa"/>
            <w:vAlign w:val="bottom"/>
          </w:tcPr>
          <w:p>
            <w:pPr>
              <w:ind w:left="400"/>
              <w:spacing w:after="0"/>
              <w:rPr>
                <w:sz w:val="20"/>
                <w:szCs w:val="20"/>
                <w:color w:val="auto"/>
              </w:rPr>
            </w:pPr>
            <w:r>
              <w:rPr>
                <w:rFonts w:ascii="Arial" w:cs="Arial" w:eastAsia="Arial" w:hAnsi="Arial"/>
                <w:sz w:val="15"/>
                <w:szCs w:val="15"/>
                <w:color w:val="auto"/>
              </w:rPr>
              <w:t>Select demo</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1,500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80" w:type="dxa"/>
            <w:vAlign w:val="bottom"/>
          </w:tcPr>
          <w:p>
            <w:pPr>
              <w:jc w:val="right"/>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4460" w:type="dxa"/>
            <w:vAlign w:val="bottom"/>
          </w:tcPr>
          <w:p>
            <w:pPr>
              <w:ind w:left="400"/>
              <w:spacing w:after="0"/>
              <w:rPr>
                <w:sz w:val="20"/>
                <w:szCs w:val="20"/>
                <w:color w:val="auto"/>
              </w:rPr>
            </w:pPr>
            <w:r>
              <w:rPr>
                <w:rFonts w:ascii="Arial" w:cs="Arial" w:eastAsia="Arial" w:hAnsi="Arial"/>
                <w:sz w:val="15"/>
                <w:szCs w:val="15"/>
                <w:color w:val="auto"/>
              </w:rPr>
              <w:t>Dumpsters</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3,750</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460" w:type="dxa"/>
            <w:vAlign w:val="bottom"/>
          </w:tcPr>
          <w:p>
            <w:pPr>
              <w:ind w:left="200"/>
              <w:spacing w:after="0"/>
              <w:rPr>
                <w:sz w:val="20"/>
                <w:szCs w:val="20"/>
                <w:color w:val="auto"/>
              </w:rPr>
            </w:pPr>
            <w:r>
              <w:rPr>
                <w:rFonts w:ascii="Arial" w:cs="Arial" w:eastAsia="Arial" w:hAnsi="Arial"/>
                <w:sz w:val="15"/>
                <w:szCs w:val="15"/>
                <w:color w:val="auto"/>
              </w:rPr>
              <w:t>Temporary Protection</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4460" w:type="dxa"/>
            <w:vAlign w:val="bottom"/>
          </w:tcPr>
          <w:p>
            <w:pPr>
              <w:ind w:left="400"/>
              <w:spacing w:after="0"/>
              <w:rPr>
                <w:sz w:val="20"/>
                <w:szCs w:val="20"/>
                <w:color w:val="auto"/>
              </w:rPr>
            </w:pPr>
            <w:r>
              <w:rPr>
                <w:rFonts w:ascii="Arial" w:cs="Arial" w:eastAsia="Arial" w:hAnsi="Arial"/>
                <w:sz w:val="15"/>
                <w:szCs w:val="15"/>
                <w:color w:val="auto"/>
              </w:rPr>
              <w:t>Floor protection</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20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shts</w:t>
            </w:r>
          </w:p>
        </w:tc>
        <w:tc>
          <w:tcPr>
            <w:tcW w:w="88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1,100</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460" w:type="dxa"/>
            <w:vAlign w:val="bottom"/>
          </w:tcPr>
          <w:p>
            <w:pPr>
              <w:ind w:left="400"/>
              <w:spacing w:after="0"/>
              <w:rPr>
                <w:sz w:val="20"/>
                <w:szCs w:val="20"/>
                <w:color w:val="auto"/>
              </w:rPr>
            </w:pPr>
            <w:r>
              <w:rPr>
                <w:rFonts w:ascii="Arial" w:cs="Arial" w:eastAsia="Arial" w:hAnsi="Arial"/>
                <w:sz w:val="15"/>
                <w:szCs w:val="15"/>
                <w:color w:val="auto"/>
              </w:rPr>
              <w:t>Protect existing windows and sills.</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1,365</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460" w:type="dxa"/>
            <w:vAlign w:val="bottom"/>
          </w:tcPr>
          <w:p>
            <w:pPr>
              <w:ind w:left="400"/>
              <w:spacing w:after="0"/>
              <w:rPr>
                <w:sz w:val="20"/>
                <w:szCs w:val="20"/>
                <w:color w:val="auto"/>
              </w:rPr>
            </w:pPr>
            <w:r>
              <w:rPr>
                <w:rFonts w:ascii="Arial" w:cs="Arial" w:eastAsia="Arial" w:hAnsi="Arial"/>
                <w:sz w:val="15"/>
                <w:szCs w:val="15"/>
                <w:color w:val="auto"/>
              </w:rPr>
              <w:t>Dust protection material</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460" w:type="dxa"/>
            <w:vAlign w:val="bottom"/>
          </w:tcPr>
          <w:p>
            <w:pPr>
              <w:ind w:left="400"/>
              <w:spacing w:after="0"/>
              <w:rPr>
                <w:sz w:val="20"/>
                <w:szCs w:val="20"/>
                <w:color w:val="auto"/>
              </w:rPr>
            </w:pPr>
            <w:r>
              <w:rPr>
                <w:rFonts w:ascii="Arial" w:cs="Arial" w:eastAsia="Arial" w:hAnsi="Arial"/>
                <w:sz w:val="15"/>
                <w:szCs w:val="15"/>
                <w:color w:val="auto"/>
              </w:rPr>
              <w:t>Protection of existing finishes</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4460" w:type="dxa"/>
            <w:vAlign w:val="bottom"/>
          </w:tcPr>
          <w:p>
            <w:pPr>
              <w:ind w:left="200"/>
              <w:spacing w:after="0"/>
              <w:rPr>
                <w:sz w:val="20"/>
                <w:szCs w:val="20"/>
                <w:color w:val="auto"/>
              </w:rPr>
            </w:pPr>
            <w:r>
              <w:rPr>
                <w:rFonts w:ascii="Arial" w:cs="Arial" w:eastAsia="Arial" w:hAnsi="Arial"/>
                <w:sz w:val="15"/>
                <w:szCs w:val="15"/>
                <w:color w:val="auto"/>
              </w:rPr>
              <w:t>Daily cleaning</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80" w:type="dxa"/>
            <w:vAlign w:val="bottom"/>
          </w:tcPr>
          <w:p>
            <w:pPr>
              <w:jc w:val="right"/>
              <w:spacing w:after="0"/>
              <w:rPr>
                <w:sz w:val="20"/>
                <w:szCs w:val="20"/>
                <w:color w:val="auto"/>
              </w:rPr>
            </w:pPr>
            <w:r>
              <w:rPr>
                <w:rFonts w:ascii="Arial" w:cs="Arial" w:eastAsia="Arial" w:hAnsi="Arial"/>
                <w:sz w:val="15"/>
                <w:szCs w:val="15"/>
                <w:color w:val="auto"/>
              </w:rPr>
              <w:t>975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14,625</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$29,840</w:t>
            </w:r>
          </w:p>
        </w:tc>
        <w:tc>
          <w:tcPr>
            <w:tcW w:w="20" w:type="dxa"/>
            <w:vAlign w:val="bottom"/>
          </w:tcPr>
          <w:p>
            <w:pPr>
              <w:spacing w:after="0"/>
              <w:rPr>
                <w:sz w:val="17"/>
                <w:szCs w:val="17"/>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5"/>
                <w:szCs w:val="15"/>
                <w:b w:val="1"/>
                <w:bCs w:val="1"/>
                <w:color w:val="auto"/>
              </w:rPr>
              <w:t>Concrete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Coring for mechanical systems &amp; tel/data</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1,250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1,250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60" w:type="dxa"/>
            <w:vAlign w:val="bottom"/>
          </w:tcPr>
          <w:p>
            <w:pPr>
              <w:ind w:left="200"/>
              <w:spacing w:after="0"/>
              <w:rPr>
                <w:sz w:val="20"/>
                <w:szCs w:val="20"/>
                <w:color w:val="auto"/>
              </w:rPr>
            </w:pPr>
            <w:r>
              <w:rPr>
                <w:rFonts w:ascii="Arial" w:cs="Arial" w:eastAsia="Arial" w:hAnsi="Arial"/>
                <w:sz w:val="15"/>
                <w:szCs w:val="15"/>
                <w:color w:val="auto"/>
              </w:rPr>
              <w:t>Patch floors at floor drains</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4</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Masonry opening for backup unit</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$6,850</w:t>
            </w:r>
          </w:p>
        </w:tc>
        <w:tc>
          <w:tcPr>
            <w:tcW w:w="20" w:type="dxa"/>
            <w:vAlign w:val="bottom"/>
          </w:tcPr>
          <w:p>
            <w:pPr>
              <w:spacing w:after="0"/>
              <w:rPr>
                <w:sz w:val="17"/>
                <w:szCs w:val="17"/>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5"/>
                <w:szCs w:val="15"/>
                <w:b w:val="1"/>
                <w:bCs w:val="1"/>
                <w:color w:val="auto"/>
              </w:rPr>
              <w:t>Structural Steel/Misc Metals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4460" w:type="dxa"/>
            <w:vAlign w:val="bottom"/>
          </w:tcPr>
          <w:p>
            <w:pPr>
              <w:ind w:left="200"/>
              <w:spacing w:after="0"/>
              <w:rPr>
                <w:sz w:val="20"/>
                <w:szCs w:val="20"/>
                <w:color w:val="auto"/>
              </w:rPr>
            </w:pPr>
            <w:r>
              <w:rPr>
                <w:rFonts w:ascii="Arial" w:cs="Arial" w:eastAsia="Arial" w:hAnsi="Arial"/>
                <w:sz w:val="15"/>
                <w:szCs w:val="15"/>
                <w:color w:val="auto"/>
              </w:rPr>
              <w:t>Secondary AHUs steel support</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Exhaust shaft &amp; roof opening support</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14,000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14,000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4460" w:type="dxa"/>
            <w:vAlign w:val="bottom"/>
          </w:tcPr>
          <w:p>
            <w:pPr>
              <w:ind w:left="200"/>
              <w:spacing w:after="0"/>
              <w:rPr>
                <w:sz w:val="20"/>
                <w:szCs w:val="20"/>
                <w:color w:val="auto"/>
              </w:rPr>
            </w:pPr>
            <w:r>
              <w:rPr>
                <w:rFonts w:ascii="Arial" w:cs="Arial" w:eastAsia="Arial" w:hAnsi="Arial"/>
                <w:sz w:val="15"/>
                <w:szCs w:val="15"/>
                <w:color w:val="auto"/>
              </w:rPr>
              <w:t>Screen wall</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4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$32,000</w:t>
            </w:r>
          </w:p>
        </w:tc>
        <w:tc>
          <w:tcPr>
            <w:tcW w:w="20" w:type="dxa"/>
            <w:vAlign w:val="bottom"/>
          </w:tcPr>
          <w:p>
            <w:pPr>
              <w:spacing w:after="0"/>
              <w:rPr>
                <w:sz w:val="19"/>
                <w:szCs w:val="19"/>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5"/>
                <w:szCs w:val="15"/>
                <w:b w:val="1"/>
                <w:bCs w:val="1"/>
                <w:color w:val="auto"/>
              </w:rPr>
              <w:t>Carpentry</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60" w:type="dxa"/>
            <w:vAlign w:val="bottom"/>
          </w:tcPr>
          <w:p>
            <w:pPr>
              <w:ind w:left="200"/>
              <w:spacing w:after="0"/>
              <w:rPr>
                <w:sz w:val="20"/>
                <w:szCs w:val="20"/>
                <w:color w:val="auto"/>
              </w:rPr>
            </w:pPr>
            <w:r>
              <w:rPr>
                <w:rFonts w:ascii="Arial" w:cs="Arial" w:eastAsia="Arial" w:hAnsi="Arial"/>
                <w:sz w:val="15"/>
                <w:szCs w:val="15"/>
                <w:color w:val="auto"/>
              </w:rPr>
              <w:t>Door and hardware installation</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2,670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4460" w:type="dxa"/>
            <w:vAlign w:val="bottom"/>
          </w:tcPr>
          <w:p>
            <w:pPr>
              <w:ind w:left="200"/>
              <w:spacing w:after="0"/>
              <w:rPr>
                <w:sz w:val="20"/>
                <w:szCs w:val="20"/>
                <w:color w:val="auto"/>
              </w:rPr>
            </w:pPr>
            <w:r>
              <w:rPr>
                <w:rFonts w:ascii="Arial" w:cs="Arial" w:eastAsia="Arial" w:hAnsi="Arial"/>
                <w:sz w:val="15"/>
                <w:szCs w:val="15"/>
                <w:color w:val="auto"/>
              </w:rPr>
              <w:t>General carpentry</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80" w:type="dxa"/>
            <w:vAlign w:val="bottom"/>
          </w:tcPr>
          <w:p>
            <w:pPr>
              <w:jc w:val="right"/>
              <w:spacing w:after="0"/>
              <w:rPr>
                <w:sz w:val="20"/>
                <w:szCs w:val="20"/>
                <w:color w:val="auto"/>
              </w:rPr>
            </w:pPr>
            <w:r>
              <w:rPr>
                <w:rFonts w:ascii="Arial" w:cs="Arial" w:eastAsia="Arial" w:hAnsi="Arial"/>
                <w:sz w:val="15"/>
                <w:szCs w:val="15"/>
                <w:color w:val="auto"/>
              </w:rPr>
              <w:t>874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6,992</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460" w:type="dxa"/>
            <w:vAlign w:val="bottom"/>
          </w:tcPr>
          <w:p>
            <w:pPr>
              <w:ind w:left="200"/>
              <w:spacing w:after="0"/>
              <w:rPr>
                <w:sz w:val="20"/>
                <w:szCs w:val="20"/>
                <w:color w:val="auto"/>
              </w:rPr>
            </w:pPr>
            <w:r>
              <w:rPr>
                <w:rFonts w:ascii="Arial" w:cs="Arial" w:eastAsia="Arial" w:hAnsi="Arial"/>
                <w:sz w:val="15"/>
                <w:szCs w:val="15"/>
                <w:color w:val="auto"/>
              </w:rPr>
              <w:t>Carpentry material</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80" w:type="dxa"/>
            <w:vAlign w:val="bottom"/>
          </w:tcPr>
          <w:p>
            <w:pPr>
              <w:jc w:val="right"/>
              <w:spacing w:after="0"/>
              <w:rPr>
                <w:sz w:val="20"/>
                <w:szCs w:val="20"/>
                <w:color w:val="auto"/>
              </w:rPr>
            </w:pPr>
            <w:r>
              <w:rPr>
                <w:rFonts w:ascii="Arial" w:cs="Arial" w:eastAsia="Arial" w:hAnsi="Arial"/>
                <w:sz w:val="15"/>
                <w:szCs w:val="15"/>
                <w:color w:val="auto"/>
              </w:rPr>
              <w:t>280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2,240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Interior blocking</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300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8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$14,002</w:t>
            </w:r>
          </w:p>
        </w:tc>
        <w:tc>
          <w:tcPr>
            <w:tcW w:w="20" w:type="dxa"/>
            <w:vAlign w:val="bottom"/>
          </w:tcPr>
          <w:p>
            <w:pPr>
              <w:spacing w:after="0"/>
              <w:rPr>
                <w:sz w:val="17"/>
                <w:szCs w:val="17"/>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5"/>
                <w:szCs w:val="15"/>
                <w:b w:val="1"/>
                <w:bCs w:val="1"/>
                <w:color w:val="auto"/>
              </w:rPr>
              <w:t>Millwork</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4460" w:type="dxa"/>
            <w:vAlign w:val="bottom"/>
          </w:tcPr>
          <w:p>
            <w:pPr>
              <w:spacing w:after="0"/>
              <w:rPr>
                <w:sz w:val="20"/>
                <w:szCs w:val="20"/>
                <w:color w:val="auto"/>
              </w:rPr>
            </w:pPr>
            <w:r>
              <w:rPr>
                <w:rFonts w:ascii="Arial" w:cs="Arial" w:eastAsia="Arial" w:hAnsi="Arial"/>
                <w:sz w:val="15"/>
                <w:szCs w:val="15"/>
                <w:b w:val="1"/>
                <w:bCs w:val="1"/>
                <w:color w:val="auto"/>
              </w:rPr>
              <w:t>Roofing/Thermal Moisture Protection</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Roofing for duct &amp; pipe flashing</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Interior sealants</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Fisreproofing</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60" w:type="dxa"/>
            <w:vAlign w:val="bottom"/>
          </w:tcPr>
          <w:p>
            <w:pPr>
              <w:ind w:left="200"/>
              <w:spacing w:after="0"/>
              <w:rPr>
                <w:sz w:val="20"/>
                <w:szCs w:val="20"/>
                <w:color w:val="auto"/>
              </w:rPr>
            </w:pPr>
            <w:r>
              <w:rPr>
                <w:rFonts w:ascii="Arial" w:cs="Arial" w:eastAsia="Arial" w:hAnsi="Arial"/>
                <w:sz w:val="15"/>
                <w:szCs w:val="15"/>
                <w:color w:val="auto"/>
              </w:rPr>
              <w:t>Firestopping</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$13,000</w:t>
            </w:r>
          </w:p>
        </w:tc>
        <w:tc>
          <w:tcPr>
            <w:tcW w:w="20" w:type="dxa"/>
            <w:vAlign w:val="bottom"/>
          </w:tcPr>
          <w:p>
            <w:pPr>
              <w:spacing w:after="0"/>
              <w:rPr>
                <w:sz w:val="17"/>
                <w:szCs w:val="17"/>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5"/>
                <w:szCs w:val="15"/>
                <w:b w:val="1"/>
                <w:bCs w:val="1"/>
                <w:color w:val="auto"/>
              </w:rPr>
              <w:t>Doors/Frames/Hardware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Seamless HM ACF</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2,145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12,870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Card readers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$12,870</w:t>
            </w:r>
          </w:p>
        </w:tc>
        <w:tc>
          <w:tcPr>
            <w:tcW w:w="20" w:type="dxa"/>
            <w:vAlign w:val="bottom"/>
          </w:tcPr>
          <w:p>
            <w:pPr>
              <w:spacing w:after="0"/>
              <w:rPr>
                <w:sz w:val="17"/>
                <w:szCs w:val="17"/>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5"/>
                <w:szCs w:val="15"/>
                <w:b w:val="1"/>
                <w:bCs w:val="1"/>
                <w:color w:val="auto"/>
              </w:rPr>
              <w:t>Glazing</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60" w:type="dxa"/>
            <w:vAlign w:val="bottom"/>
          </w:tcPr>
          <w:p>
            <w:pPr>
              <w:ind w:left="200"/>
              <w:spacing w:after="0"/>
              <w:rPr>
                <w:sz w:val="20"/>
                <w:szCs w:val="20"/>
                <w:color w:val="auto"/>
              </w:rPr>
            </w:pPr>
            <w:r>
              <w:rPr>
                <w:rFonts w:ascii="Arial" w:cs="Arial" w:eastAsia="Arial" w:hAnsi="Arial"/>
                <w:sz w:val="15"/>
                <w:szCs w:val="15"/>
                <w:color w:val="auto"/>
              </w:rPr>
              <w:t>Vision kits for doors</w:t>
            </w:r>
          </w:p>
        </w:tc>
        <w:tc>
          <w:tcPr>
            <w:tcW w:w="260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12,870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60" w:type="dxa"/>
            <w:vAlign w:val="bottom"/>
          </w:tcPr>
          <w:p>
            <w:pPr>
              <w:ind w:left="200"/>
              <w:spacing w:after="0"/>
              <w:rPr>
                <w:sz w:val="20"/>
                <w:szCs w:val="20"/>
                <w:color w:val="auto"/>
              </w:rPr>
            </w:pPr>
            <w:r>
              <w:rPr>
                <w:rFonts w:ascii="Arial" w:cs="Arial" w:eastAsia="Arial" w:hAnsi="Arial"/>
                <w:sz w:val="15"/>
                <w:szCs w:val="15"/>
                <w:color w:val="auto"/>
              </w:rPr>
              <w:t>Graphics on Glass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$1,200</w:t>
            </w:r>
          </w:p>
        </w:tc>
        <w:tc>
          <w:tcPr>
            <w:tcW w:w="20" w:type="dxa"/>
            <w:vAlign w:val="bottom"/>
          </w:tcPr>
          <w:p>
            <w:pPr>
              <w:spacing w:after="0"/>
              <w:rPr>
                <w:sz w:val="17"/>
                <w:szCs w:val="17"/>
                <w:color w:val="auto"/>
              </w:rPr>
            </w:pPr>
          </w:p>
        </w:tc>
      </w:tr>
      <w:tr>
        <w:trPr>
          <w:trHeight w:val="341"/>
        </w:trPr>
        <w:tc>
          <w:tcPr>
            <w:tcW w:w="4460" w:type="dxa"/>
            <w:vAlign w:val="bottom"/>
          </w:tcPr>
          <w:p>
            <w:pPr>
              <w:spacing w:after="0"/>
              <w:rPr>
                <w:sz w:val="24"/>
                <w:szCs w:val="24"/>
                <w:color w:val="auto"/>
              </w:rPr>
            </w:pPr>
          </w:p>
        </w:tc>
        <w:tc>
          <w:tcPr>
            <w:tcW w:w="2600" w:type="dxa"/>
            <w:vAlign w:val="bottom"/>
            <w:gridSpan w:val="3"/>
          </w:tcPr>
          <w:p>
            <w:pPr>
              <w:jc w:val="right"/>
              <w:ind w:right="1082"/>
              <w:spacing w:after="0"/>
              <w:rPr>
                <w:sz w:val="20"/>
                <w:szCs w:val="20"/>
                <w:color w:val="auto"/>
              </w:rPr>
            </w:pPr>
            <w:r>
              <w:rPr>
                <w:rFonts w:ascii="Arial" w:cs="Arial" w:eastAsia="Arial" w:hAnsi="Arial"/>
                <w:sz w:val="15"/>
                <w:szCs w:val="15"/>
                <w:color w:val="auto"/>
              </w:rPr>
              <w:t>1 of 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446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200025</wp:posOffset>
            </wp:positionV>
            <wp:extent cx="805815" cy="2432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805815" cy="243205"/>
                    </a:xfrm>
                    <a:prstGeom prst="rect">
                      <a:avLst/>
                    </a:prstGeom>
                    <a:noFill/>
                  </pic:spPr>
                </pic:pic>
              </a:graphicData>
            </a:graphic>
          </wp:anchor>
        </w:drawing>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845" w:right="199" w:bottom="1440" w:gutter="0" w:footer="0" w:header="0"/>
        </w:sectPr>
      </w:pPr>
    </w:p>
    <w:bookmarkStart w:id="315" w:name="page316"/>
    <w:bookmarkEnd w:id="315"/>
    <w:p>
      <w:pPr>
        <w:spacing w:after="0"/>
        <w:rPr>
          <w:sz w:val="20"/>
          <w:szCs w:val="20"/>
          <w:color w:val="auto"/>
        </w:rPr>
      </w:pPr>
      <w:r>
        <w:rPr>
          <w:rFonts w:ascii="Arial" w:cs="Arial" w:eastAsia="Arial" w:hAnsi="Arial"/>
          <w:sz w:val="12"/>
          <w:szCs w:val="12"/>
          <w:b w:val="1"/>
          <w:bCs w:val="1"/>
          <w:color w:val="auto"/>
        </w:rPr>
        <w:t>Division/Description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86905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6905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Gypsum Drywall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ACF Walls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GWB ceiling ceilings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Perimeter walls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Column enclosures</w:t>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ACT 3 Vinyl Faced</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Flooring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Epoxy Flooring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Floor prep allowance</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Painting</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Walls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Epoxy Paint - ACF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Door and frames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Doors</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Frames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Specialties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Fire extinguishers and cabinets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Corner guards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Lab coat hooks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Bumper guards - two line plastic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Gowning accessories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Window treatments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Mesh Partitions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Metro Shelving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Signage</w:t>
      </w:r>
    </w:p>
    <w:p>
      <w:pPr>
        <w:spacing w:after="0" w:line="236" w:lineRule="exact"/>
        <w:rPr>
          <w:sz w:val="20"/>
          <w:szCs w:val="20"/>
          <w:color w:val="auto"/>
        </w:rPr>
      </w:pPr>
    </w:p>
    <w:p>
      <w:pPr>
        <w:jc w:val="right"/>
        <w:ind w:right="3340"/>
        <w:spacing w:after="0"/>
        <w:rPr>
          <w:sz w:val="20"/>
          <w:szCs w:val="20"/>
          <w:color w:val="auto"/>
        </w:rPr>
      </w:pPr>
      <w:r>
        <w:rPr>
          <w:rFonts w:ascii="Arial" w:cs="Arial" w:eastAsia="Arial" w:hAnsi="Arial"/>
          <w:sz w:val="14"/>
          <w:szCs w:val="14"/>
          <w:b w:val="1"/>
          <w:bCs w:val="1"/>
          <w:color w:val="auto"/>
        </w:rPr>
        <w:t>Laboratory Casework</w:t>
      </w:r>
    </w:p>
    <w:p>
      <w:pPr>
        <w:spacing w:after="0" w:line="98" w:lineRule="exact"/>
        <w:rPr>
          <w:sz w:val="20"/>
          <w:szCs w:val="20"/>
          <w:color w:val="auto"/>
        </w:rPr>
      </w:pPr>
    </w:p>
    <w:p>
      <w:pPr>
        <w:jc w:val="right"/>
        <w:ind w:right="3360"/>
        <w:spacing w:after="0"/>
        <w:rPr>
          <w:sz w:val="20"/>
          <w:szCs w:val="20"/>
          <w:color w:val="auto"/>
        </w:rPr>
      </w:pPr>
      <w:r>
        <w:rPr>
          <w:rFonts w:ascii="Arial" w:cs="Arial" w:eastAsia="Arial" w:hAnsi="Arial"/>
          <w:sz w:val="15"/>
          <w:szCs w:val="15"/>
          <w:color w:val="auto"/>
        </w:rPr>
        <w:t>Mobile workstations</w:t>
      </w:r>
    </w:p>
    <w:p>
      <w:pPr>
        <w:spacing w:after="0" w:line="35" w:lineRule="exact"/>
        <w:rPr>
          <w:sz w:val="20"/>
          <w:szCs w:val="20"/>
          <w:color w:val="auto"/>
        </w:rPr>
      </w:pPr>
    </w:p>
    <w:p>
      <w:pPr>
        <w:ind w:left="200" w:right="3240" w:firstLine="7"/>
        <w:spacing w:after="0" w:line="248" w:lineRule="auto"/>
        <w:tabs>
          <w:tab w:leader="none" w:pos="43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Tables in the ACF Utility Panels</w:t>
      </w:r>
    </w:p>
    <w:p>
      <w:pPr>
        <w:spacing w:after="0" w:line="26" w:lineRule="exact"/>
        <w:rPr>
          <w:rFonts w:ascii="Arial" w:cs="Arial" w:eastAsia="Arial" w:hAnsi="Arial"/>
          <w:sz w:val="15"/>
          <w:szCs w:val="15"/>
          <w:color w:val="auto"/>
        </w:rPr>
      </w:pPr>
    </w:p>
    <w:p>
      <w:pPr>
        <w:ind w:left="200" w:right="2600"/>
        <w:spacing w:after="0" w:line="320" w:lineRule="auto"/>
        <w:rPr>
          <w:rFonts w:ascii="Arial" w:cs="Arial" w:eastAsia="Arial" w:hAnsi="Arial"/>
          <w:sz w:val="15"/>
          <w:szCs w:val="15"/>
          <w:color w:val="auto"/>
        </w:rPr>
      </w:pPr>
      <w:r>
        <w:rPr>
          <w:rFonts w:ascii="Arial" w:cs="Arial" w:eastAsia="Arial" w:hAnsi="Arial"/>
          <w:sz w:val="14"/>
          <w:szCs w:val="14"/>
          <w:color w:val="auto"/>
        </w:rPr>
        <w:t>Pilot Plant tables/benches/carts Flammable Safety Cabinets SS sinks- In plumbing price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Equipment</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Biosafety cabinets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Glasswashers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Autoclave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Appliances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Lab Equipment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Fire Protection</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Modify existing systems to serve the ACF</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Plumbing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Lab sink with RO</w:t>
      </w:r>
    </w:p>
    <w:p>
      <w:pPr>
        <w:spacing w:after="0" w:line="68" w:lineRule="exact"/>
        <w:rPr>
          <w:sz w:val="20"/>
          <w:szCs w:val="20"/>
          <w:color w:val="auto"/>
        </w:rPr>
      </w:pPr>
    </w:p>
    <w:p>
      <w:pPr>
        <w:ind w:left="200" w:right="3780" w:firstLine="7"/>
        <w:spacing w:after="0" w:line="248" w:lineRule="auto"/>
        <w:tabs>
          <w:tab w:leader="none" w:pos="435" w:val="left"/>
        </w:tabs>
        <w:numPr>
          <w:ilvl w:val="0"/>
          <w:numId w:val="195"/>
        </w:numPr>
        <w:rPr>
          <w:rFonts w:ascii="Arial" w:cs="Arial" w:eastAsia="Arial" w:hAnsi="Arial"/>
          <w:sz w:val="15"/>
          <w:szCs w:val="15"/>
          <w:color w:val="auto"/>
        </w:rPr>
      </w:pPr>
      <w:r>
        <w:rPr>
          <w:rFonts w:ascii="Arial" w:cs="Arial" w:eastAsia="Arial" w:hAnsi="Arial"/>
          <w:sz w:val="15"/>
          <w:szCs w:val="15"/>
          <w:color w:val="auto"/>
        </w:rPr>
        <w:t>sink Mop receptor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20" w:type="dxa"/>
        <w:tblCellMar>
          <w:top w:w="0" w:type="dxa"/>
          <w:left w:w="0" w:type="dxa"/>
          <w:bottom w:w="0" w:type="dxa"/>
          <w:right w:w="0" w:type="dxa"/>
        </w:tblCellMar>
      </w:tblPr>
      <w:tr>
        <w:trPr>
          <w:trHeight w:val="138"/>
        </w:trPr>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UM</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Unit $</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Line Sum</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Div. Sum</w:t>
            </w:r>
          </w:p>
        </w:tc>
      </w:tr>
      <w:tr>
        <w:trPr>
          <w:trHeight w:val="417"/>
        </w:trPr>
        <w:tc>
          <w:tcPr>
            <w:tcW w:w="880" w:type="dxa"/>
            <w:vAlign w:val="bottom"/>
          </w:tcPr>
          <w:p>
            <w:pPr>
              <w:jc w:val="right"/>
              <w:spacing w:after="0"/>
              <w:rPr>
                <w:sz w:val="20"/>
                <w:szCs w:val="20"/>
                <w:color w:val="auto"/>
              </w:rPr>
            </w:pPr>
            <w:r>
              <w:rPr>
                <w:rFonts w:ascii="Arial" w:cs="Arial" w:eastAsia="Arial" w:hAnsi="Arial"/>
                <w:sz w:val="15"/>
                <w:szCs w:val="15"/>
                <w:color w:val="auto"/>
              </w:rPr>
              <w:t>350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80" w:type="dxa"/>
            <w:vAlign w:val="bottom"/>
          </w:tcPr>
          <w:p>
            <w:pPr>
              <w:jc w:val="right"/>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52,500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8"/>
        </w:trPr>
        <w:tc>
          <w:tcPr>
            <w:tcW w:w="880" w:type="dxa"/>
            <w:vAlign w:val="bottom"/>
          </w:tcPr>
          <w:p>
            <w:pPr>
              <w:jc w:val="right"/>
              <w:spacing w:after="0"/>
              <w:rPr>
                <w:sz w:val="20"/>
                <w:szCs w:val="20"/>
                <w:color w:val="auto"/>
              </w:rPr>
            </w:pPr>
            <w:r>
              <w:rPr>
                <w:rFonts w:ascii="Arial" w:cs="Arial" w:eastAsia="Arial" w:hAnsi="Arial"/>
                <w:sz w:val="15"/>
                <w:szCs w:val="15"/>
                <w:color w:val="auto"/>
              </w:rPr>
              <w:t>350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8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7,000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5"/>
                <w:szCs w:val="15"/>
                <w:color w:val="auto"/>
              </w:rPr>
              <w:t>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80" w:type="dxa"/>
            <w:vAlign w:val="bottom"/>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5,750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80" w:type="dxa"/>
            <w:vAlign w:val="bottom"/>
          </w:tcPr>
          <w:p>
            <w:pPr>
              <w:jc w:val="right"/>
              <w:spacing w:after="0"/>
              <w:rPr>
                <w:sz w:val="20"/>
                <w:szCs w:val="20"/>
                <w:color w:val="auto"/>
              </w:rPr>
            </w:pPr>
            <w:r>
              <w:rPr>
                <w:rFonts w:ascii="Arial" w:cs="Arial" w:eastAsia="Arial" w:hAnsi="Arial"/>
                <w:sz w:val="15"/>
                <w:szCs w:val="15"/>
                <w:color w:val="auto"/>
              </w:rPr>
              <w:t>2</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960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1,920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$67,170</w:t>
            </w:r>
          </w:p>
        </w:tc>
      </w:tr>
      <w:tr>
        <w:trPr>
          <w:trHeight w:val="418"/>
        </w:trPr>
        <w:tc>
          <w:tcPr>
            <w:tcW w:w="880" w:type="dxa"/>
            <w:vAlign w:val="bottom"/>
          </w:tcPr>
          <w:p>
            <w:pPr>
              <w:jc w:val="right"/>
              <w:spacing w:after="0"/>
              <w:rPr>
                <w:sz w:val="20"/>
                <w:szCs w:val="20"/>
                <w:color w:val="auto"/>
              </w:rPr>
            </w:pPr>
            <w:r>
              <w:rPr>
                <w:rFonts w:ascii="Arial" w:cs="Arial" w:eastAsia="Arial" w:hAnsi="Arial"/>
                <w:sz w:val="15"/>
                <w:szCs w:val="15"/>
                <w:color w:val="auto"/>
              </w:rPr>
              <w:t>1,150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80" w:type="dxa"/>
            <w:vAlign w:val="bottom"/>
          </w:tcPr>
          <w:p>
            <w:pPr>
              <w:jc w:val="right"/>
              <w:spacing w:after="0"/>
              <w:rPr>
                <w:sz w:val="20"/>
                <w:szCs w:val="20"/>
                <w:color w:val="auto"/>
              </w:rPr>
            </w:pPr>
            <w:r>
              <w:rPr>
                <w:rFonts w:ascii="Arial" w:cs="Arial" w:eastAsia="Arial" w:hAnsi="Arial"/>
                <w:sz w:val="15"/>
                <w:szCs w:val="15"/>
                <w:color w:val="auto"/>
              </w:rPr>
              <w:t>8.75</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10,063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$10,063</w:t>
            </w:r>
          </w:p>
        </w:tc>
      </w:tr>
      <w:tr>
        <w:trPr>
          <w:trHeight w:val="417"/>
        </w:trPr>
        <w:tc>
          <w:tcPr>
            <w:tcW w:w="880" w:type="dxa"/>
            <w:vAlign w:val="bottom"/>
          </w:tcPr>
          <w:p>
            <w:pPr>
              <w:jc w:val="right"/>
              <w:spacing w:after="0"/>
              <w:rPr>
                <w:sz w:val="20"/>
                <w:szCs w:val="20"/>
                <w:color w:val="auto"/>
              </w:rPr>
            </w:pPr>
            <w:r>
              <w:rPr>
                <w:rFonts w:ascii="Arial" w:cs="Arial" w:eastAsia="Arial" w:hAnsi="Arial"/>
                <w:sz w:val="15"/>
                <w:szCs w:val="15"/>
                <w:color w:val="auto"/>
              </w:rPr>
              <w:t>1,500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8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24,000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5"/>
                <w:szCs w:val="15"/>
                <w:color w:val="auto"/>
              </w:rPr>
              <w:t>1,500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8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$28,500</w:t>
            </w:r>
          </w:p>
        </w:tc>
      </w:tr>
      <w:tr>
        <w:trPr>
          <w:trHeight w:val="418"/>
        </w:trPr>
        <w:tc>
          <w:tcPr>
            <w:tcW w:w="880" w:type="dxa"/>
            <w:vAlign w:val="bottom"/>
          </w:tcPr>
          <w:p>
            <w:pPr>
              <w:jc w:val="right"/>
              <w:spacing w:after="0"/>
              <w:rPr>
                <w:sz w:val="20"/>
                <w:szCs w:val="20"/>
                <w:color w:val="auto"/>
              </w:rPr>
            </w:pPr>
            <w:r>
              <w:rPr>
                <w:rFonts w:ascii="Arial" w:cs="Arial" w:eastAsia="Arial" w:hAnsi="Arial"/>
                <w:sz w:val="15"/>
                <w:szCs w:val="15"/>
                <w:color w:val="auto"/>
              </w:rPr>
              <w:t>7,250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8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9,788</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23"/>
        </w:trPr>
        <w:tc>
          <w:tcPr>
            <w:tcW w:w="880" w:type="dxa"/>
            <w:vAlign w:val="bottom"/>
          </w:tcPr>
          <w:p>
            <w:pPr>
              <w:jc w:val="right"/>
              <w:spacing w:after="0"/>
              <w:rPr>
                <w:sz w:val="20"/>
                <w:szCs w:val="20"/>
                <w:color w:val="auto"/>
              </w:rPr>
            </w:pPr>
            <w:r>
              <w:rPr>
                <w:rFonts w:ascii="Arial" w:cs="Arial" w:eastAsia="Arial" w:hAnsi="Arial"/>
                <w:sz w:val="15"/>
                <w:szCs w:val="15"/>
                <w:color w:val="auto"/>
              </w:rPr>
              <w:t>6</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534</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7"/>
        </w:trPr>
        <w:tc>
          <w:tcPr>
            <w:tcW w:w="880" w:type="dxa"/>
            <w:vAlign w:val="bottom"/>
          </w:tcPr>
          <w:p>
            <w:pPr>
              <w:jc w:val="right"/>
              <w:spacing w:after="0"/>
              <w:rPr>
                <w:sz w:val="20"/>
                <w:szCs w:val="20"/>
                <w:color w:val="auto"/>
              </w:rPr>
            </w:pPr>
            <w:r>
              <w:rPr>
                <w:rFonts w:ascii="Arial" w:cs="Arial" w:eastAsia="Arial" w:hAnsi="Arial"/>
                <w:sz w:val="15"/>
                <w:szCs w:val="15"/>
                <w:color w:val="auto"/>
              </w:rPr>
              <w:t>6</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456</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$10,778</w:t>
            </w:r>
          </w:p>
        </w:tc>
      </w:tr>
      <w:tr>
        <w:trPr>
          <w:trHeight w:val="418"/>
        </w:trPr>
        <w:tc>
          <w:tcPr>
            <w:tcW w:w="880" w:type="dxa"/>
            <w:vAlign w:val="bottom"/>
          </w:tcPr>
          <w:p>
            <w:pPr>
              <w:jc w:val="right"/>
              <w:spacing w:after="0"/>
              <w:rPr>
                <w:sz w:val="20"/>
                <w:szCs w:val="20"/>
                <w:color w:val="auto"/>
              </w:rPr>
            </w:pPr>
            <w:r>
              <w:rPr>
                <w:rFonts w:ascii="Arial" w:cs="Arial" w:eastAsia="Arial" w:hAnsi="Arial"/>
                <w:sz w:val="15"/>
                <w:szCs w:val="15"/>
                <w:color w:val="auto"/>
              </w:rPr>
              <w:t>2</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675</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1,375</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880" w:type="dxa"/>
            <w:vAlign w:val="bottom"/>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5"/>
                <w:szCs w:val="15"/>
                <w:color w:val="auto"/>
              </w:rPr>
              <w:t>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80" w:type="dxa"/>
            <w:vAlign w:val="bottom"/>
          </w:tcPr>
          <w:p>
            <w:pPr>
              <w:jc w:val="right"/>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4,250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19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$7,725</w:t>
            </w:r>
          </w:p>
        </w:tc>
      </w:tr>
      <w:tr>
        <w:trPr>
          <w:trHeight w:val="418"/>
        </w:trPr>
        <w:tc>
          <w:tcPr>
            <w:tcW w:w="880" w:type="dxa"/>
            <w:vAlign w:val="bottom"/>
          </w:tcPr>
          <w:p>
            <w:pPr>
              <w:jc w:val="right"/>
              <w:spacing w:after="0"/>
              <w:rPr>
                <w:sz w:val="20"/>
                <w:szCs w:val="20"/>
                <w:color w:val="auto"/>
              </w:rPr>
            </w:pPr>
            <w:r>
              <w:rPr>
                <w:rFonts w:ascii="Arial" w:cs="Arial" w:eastAsia="Arial" w:hAnsi="Arial"/>
                <w:sz w:val="15"/>
                <w:szCs w:val="15"/>
                <w:color w:val="auto"/>
              </w:rPr>
              <w:t>6</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3,800</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22,800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80" w:type="dxa"/>
            <w:vAlign w:val="bottom"/>
          </w:tcPr>
          <w:p>
            <w:pPr>
              <w:jc w:val="right"/>
              <w:spacing w:after="0"/>
              <w:rPr>
                <w:sz w:val="20"/>
                <w:szCs w:val="20"/>
                <w:color w:val="auto"/>
              </w:rPr>
            </w:pPr>
            <w:r>
              <w:rPr>
                <w:rFonts w:ascii="Arial" w:cs="Arial" w:eastAsia="Arial" w:hAnsi="Arial"/>
                <w:sz w:val="15"/>
                <w:szCs w:val="15"/>
                <w:color w:val="auto"/>
              </w:rPr>
              <w:t>350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40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$34,550</w:t>
            </w:r>
          </w:p>
        </w:tc>
      </w:tr>
      <w:tr>
        <w:trPr>
          <w:trHeight w:val="418"/>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24"/>
                <w:szCs w:val="24"/>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00" w:type="dxa"/>
            <w:vAlign w:val="bottom"/>
          </w:tcPr>
          <w:p>
            <w:pPr>
              <w:spacing w:after="0"/>
              <w:rPr>
                <w:sz w:val="18"/>
                <w:szCs w:val="18"/>
                <w:color w:val="auto"/>
              </w:rPr>
            </w:pPr>
          </w:p>
        </w:tc>
      </w:tr>
      <w:tr>
        <w:trPr>
          <w:trHeight w:val="831"/>
        </w:trPr>
        <w:tc>
          <w:tcPr>
            <w:tcW w:w="880" w:type="dxa"/>
            <w:vAlign w:val="bottom"/>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80" w:type="dxa"/>
            <w:vAlign w:val="bottom"/>
          </w:tcPr>
          <w:p>
            <w:pPr>
              <w:jc w:val="right"/>
              <w:spacing w:after="0"/>
              <w:rPr>
                <w:sz w:val="20"/>
                <w:szCs w:val="20"/>
                <w:color w:val="auto"/>
              </w:rPr>
            </w:pPr>
            <w:r>
              <w:rPr>
                <w:rFonts w:ascii="Arial" w:cs="Arial" w:eastAsia="Arial" w:hAnsi="Arial"/>
                <w:sz w:val="15"/>
                <w:szCs w:val="15"/>
                <w:color w:val="auto"/>
              </w:rPr>
              <w:t>20,930</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20,930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$20,930</w:t>
            </w:r>
          </w:p>
        </w:tc>
      </w:tr>
    </w:tbl>
    <w:p>
      <w:pPr>
        <w:spacing w:after="0" w:line="43"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83,280</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6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38100</wp:posOffset>
            </wp:positionV>
            <wp:extent cx="731202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4840" w:space="720"/>
            <w:col w:w="5900"/>
          </w:cols>
          <w:pgMar w:left="220" w:top="307" w:right="219" w:bottom="1440" w:gutter="0" w:footer="0" w:header="0"/>
        </w:sectPr>
      </w:pPr>
    </w:p>
    <w:bookmarkStart w:id="316" w:name="page317"/>
    <w:bookmarkEnd w:id="316"/>
    <w:p>
      <w:pPr>
        <w:spacing w:after="0"/>
        <w:rPr>
          <w:sz w:val="20"/>
          <w:szCs w:val="20"/>
          <w:color w:val="auto"/>
        </w:rPr>
      </w:pPr>
      <w:r>
        <w:rPr>
          <w:rFonts w:ascii="Arial" w:cs="Arial" w:eastAsia="Arial" w:hAnsi="Arial"/>
          <w:sz w:val="12"/>
          <w:szCs w:val="12"/>
          <w:b w:val="1"/>
          <w:bCs w:val="1"/>
          <w:color w:val="auto"/>
        </w:rPr>
        <w:t>Division/Description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86905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69055" cy="698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Vac &amp; O2 to BSCs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CO2 outlets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Emergency shower/eyewash</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O2 Manifold</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CO2 Manifold</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Floor drain with trap primer</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HVAC</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Phoenix Valves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HEPAs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Humidifiers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Piping</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Sheet metal</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Insulation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Vibration Isolation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Balancing</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Controls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Electrical and Fire Alarm</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Demolition/make safe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Feeders &amp; Power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Distribution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Lighting and controls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Devices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Fire alarm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HVAC wiring</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Requirements</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GRs carried under the Pilot Plant Project/Budget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Requirements</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GCs carried under the Pilot Plant Project/Budget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Supervision</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Supervision carried under the Pilot Plant Project/Budget</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Engineering</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Architectural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Structural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MEP</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and Permits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General Liability Insurance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Building Permits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Contingency</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Overhead and Profit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Budget</w:t>
      </w:r>
    </w:p>
    <w:p>
      <w:pPr>
        <w:spacing w:after="0" w:line="20" w:lineRule="exact"/>
        <w:rPr>
          <w:sz w:val="20"/>
          <w:szCs w:val="20"/>
          <w:color w:val="auto"/>
        </w:rPr>
      </w:pPr>
      <w:r>
        <w:rPr>
          <w:sz w:val="20"/>
          <w:szCs w:val="20"/>
          <w:color w:val="auto"/>
        </w:rPr>
        <w:br w:type="column"/>
      </w:r>
    </w:p>
    <w:p>
      <w:pPr>
        <w:ind w:left="960"/>
        <w:spacing w:after="0"/>
        <w:tabs>
          <w:tab w:leader="none" w:pos="1920" w:val="left"/>
          <w:tab w:leader="none" w:pos="2840" w:val="left"/>
          <w:tab w:leader="none" w:pos="3820" w:val="left"/>
          <w:tab w:leader="none" w:pos="5040" w:val="left"/>
        </w:tabs>
        <w:rPr>
          <w:sz w:val="20"/>
          <w:szCs w:val="20"/>
          <w:color w:val="auto"/>
        </w:rPr>
      </w:pPr>
      <w:r>
        <w:rPr>
          <w:rFonts w:ascii="Arial" w:cs="Arial" w:eastAsia="Arial" w:hAnsi="Arial"/>
          <w:sz w:val="12"/>
          <w:szCs w:val="12"/>
          <w:b w:val="1"/>
          <w:bCs w:val="1"/>
          <w:color w:val="auto"/>
        </w:rPr>
        <w:t>Qty</w:t>
      </w:r>
      <w:r>
        <w:rPr>
          <w:sz w:val="20"/>
          <w:szCs w:val="20"/>
          <w:color w:val="auto"/>
        </w:rPr>
        <w:tab/>
      </w:r>
      <w:r>
        <w:rPr>
          <w:rFonts w:ascii="Arial" w:cs="Arial" w:eastAsia="Arial" w:hAnsi="Arial"/>
          <w:sz w:val="12"/>
          <w:szCs w:val="12"/>
          <w:b w:val="1"/>
          <w:bCs w:val="1"/>
          <w:color w:val="auto"/>
        </w:rPr>
        <w:t>UM</w:t>
      </w:r>
      <w:r>
        <w:rPr>
          <w:sz w:val="20"/>
          <w:szCs w:val="20"/>
          <w:color w:val="auto"/>
        </w:rPr>
        <w:tab/>
      </w:r>
      <w:r>
        <w:rPr>
          <w:rFonts w:ascii="Arial" w:cs="Arial" w:eastAsia="Arial" w:hAnsi="Arial"/>
          <w:sz w:val="12"/>
          <w:szCs w:val="12"/>
          <w:b w:val="1"/>
          <w:bCs w:val="1"/>
          <w:color w:val="auto"/>
        </w:rPr>
        <w:t>Unit $</w:t>
      </w:r>
      <w:r>
        <w:rPr>
          <w:sz w:val="20"/>
          <w:szCs w:val="20"/>
          <w:color w:val="auto"/>
        </w:rPr>
        <w:tab/>
      </w:r>
      <w:r>
        <w:rPr>
          <w:rFonts w:ascii="Arial" w:cs="Arial" w:eastAsia="Arial" w:hAnsi="Arial"/>
          <w:sz w:val="12"/>
          <w:szCs w:val="12"/>
          <w:b w:val="1"/>
          <w:bCs w:val="1"/>
          <w:color w:val="auto"/>
        </w:rPr>
        <w:t>Line Sum</w:t>
      </w:r>
      <w:r>
        <w:rPr>
          <w:sz w:val="20"/>
          <w:szCs w:val="20"/>
          <w:color w:val="auto"/>
        </w:rPr>
        <w:tab/>
      </w:r>
      <w:r>
        <w:rPr>
          <w:rFonts w:ascii="Arial" w:cs="Arial" w:eastAsia="Arial" w:hAnsi="Arial"/>
          <w:sz w:val="10"/>
          <w:szCs w:val="10"/>
          <w:b w:val="1"/>
          <w:bCs w:val="1"/>
          <w:color w:val="auto"/>
        </w:rPr>
        <w:t>Div.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0</wp:posOffset>
            </wp:positionV>
            <wp:extent cx="334835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6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6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abv</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$83,280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6350</wp:posOffset>
            </wp:positionV>
            <wp:extent cx="76390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3905" cy="6985"/>
                    </a:xfrm>
                    <a:prstGeom prst="rect">
                      <a:avLst/>
                    </a:prstGeom>
                    <a:noFill/>
                  </pic:spPr>
                </pic:pic>
              </a:graphicData>
            </a:graphic>
          </wp:anchor>
        </w:drawing>
      </w:r>
    </w:p>
    <w:p>
      <w:pPr>
        <w:spacing w:after="0" w:line="252" w:lineRule="exact"/>
        <w:rPr>
          <w:sz w:val="20"/>
          <w:szCs w:val="20"/>
          <w:color w:val="auto"/>
        </w:rPr>
      </w:pPr>
    </w:p>
    <w:p>
      <w:pPr>
        <w:jc w:val="center"/>
        <w:ind w:left="-2579"/>
        <w:spacing w:after="0"/>
        <w:rPr>
          <w:sz w:val="20"/>
          <w:szCs w:val="20"/>
          <w:color w:val="auto"/>
        </w:rPr>
      </w:pPr>
      <w:r>
        <w:rPr>
          <w:rFonts w:ascii="Arial" w:cs="Arial" w:eastAsia="Arial" w:hAnsi="Arial"/>
          <w:sz w:val="15"/>
          <w:szCs w:val="15"/>
          <w:color w:val="auto"/>
        </w:rPr>
        <w:t>$10,000</w:t>
      </w:r>
    </w:p>
    <w:p>
      <w:pPr>
        <w:spacing w:after="0" w:line="35" w:lineRule="exact"/>
        <w:rPr>
          <w:sz w:val="20"/>
          <w:szCs w:val="20"/>
          <w:color w:val="auto"/>
        </w:rPr>
      </w:pPr>
    </w:p>
    <w:p>
      <w:pPr>
        <w:jc w:val="center"/>
        <w:ind w:left="-2659"/>
        <w:spacing w:after="0"/>
        <w:rPr>
          <w:sz w:val="20"/>
          <w:szCs w:val="20"/>
          <w:color w:val="auto"/>
        </w:rPr>
      </w:pPr>
      <w:r>
        <w:rPr>
          <w:rFonts w:ascii="Arial" w:cs="Arial" w:eastAsia="Arial" w:hAnsi="Arial"/>
          <w:sz w:val="15"/>
          <w:szCs w:val="15"/>
          <w:color w:val="auto"/>
        </w:rPr>
        <w:t>$8,000</w:t>
      </w:r>
    </w:p>
    <w:p>
      <w:pPr>
        <w:spacing w:after="0" w:line="35" w:lineRule="exact"/>
        <w:rPr>
          <w:sz w:val="20"/>
          <w:szCs w:val="20"/>
          <w:color w:val="auto"/>
        </w:rPr>
      </w:pPr>
    </w:p>
    <w:p>
      <w:pPr>
        <w:jc w:val="center"/>
        <w:ind w:left="-2579"/>
        <w:spacing w:after="0"/>
        <w:rPr>
          <w:sz w:val="20"/>
          <w:szCs w:val="20"/>
          <w:color w:val="auto"/>
        </w:rPr>
      </w:pPr>
      <w:r>
        <w:rPr>
          <w:rFonts w:ascii="Arial" w:cs="Arial" w:eastAsia="Arial" w:hAnsi="Arial"/>
          <w:sz w:val="15"/>
          <w:szCs w:val="15"/>
          <w:color w:val="auto"/>
        </w:rPr>
        <w:t>$35,000</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$33,000</w:t>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$45,000</w:t>
      </w:r>
    </w:p>
    <w:p>
      <w:pPr>
        <w:spacing w:after="0" w:line="68"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$15,000</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$2,000</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$5,000</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$113,000</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$266,000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6350</wp:posOffset>
            </wp:positionV>
            <wp:extent cx="76390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3905" cy="6985"/>
                    </a:xfrm>
                    <a:prstGeom prst="rect">
                      <a:avLst/>
                    </a:prstGeom>
                    <a:noFill/>
                  </pic:spPr>
                </pic:pic>
              </a:graphicData>
            </a:graphic>
          </wp:anchor>
        </w:drawing>
      </w:r>
    </w:p>
    <w:p>
      <w:pPr>
        <w:spacing w:after="0" w:line="219"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2,000</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10,000</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10,000</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17,668</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2,000</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7,000</w:t>
      </w:r>
    </w:p>
    <w:p>
      <w:pPr>
        <w:spacing w:after="0" w:line="35" w:lineRule="exact"/>
        <w:rPr>
          <w:sz w:val="20"/>
          <w:szCs w:val="20"/>
          <w:color w:val="auto"/>
        </w:rPr>
      </w:pPr>
    </w:p>
    <w:p>
      <w:pPr>
        <w:jc w:val="right"/>
        <w:ind w:right="1300"/>
        <w:spacing w:after="0"/>
        <w:rPr>
          <w:sz w:val="20"/>
          <w:szCs w:val="20"/>
          <w:color w:val="auto"/>
        </w:rPr>
      </w:pPr>
      <w:r>
        <w:rPr>
          <w:rFonts w:ascii="Arial" w:cs="Arial" w:eastAsia="Arial" w:hAnsi="Arial"/>
          <w:sz w:val="15"/>
          <w:szCs w:val="15"/>
          <w:color w:val="auto"/>
        </w:rPr>
        <w:t>9,000</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$57,668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6350</wp:posOffset>
            </wp:positionV>
            <wp:extent cx="76390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39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08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360" w:type="dxa"/>
            <w:vAlign w:val="bottom"/>
            <w:gridSpan w:val="3"/>
          </w:tcPr>
          <w:p>
            <w:pPr>
              <w:ind w:left="820"/>
              <w:spacing w:after="0"/>
              <w:rPr>
                <w:sz w:val="20"/>
                <w:szCs w:val="20"/>
                <w:color w:val="auto"/>
              </w:rPr>
            </w:pPr>
            <w:r>
              <w:rPr>
                <w:rFonts w:ascii="Arial" w:cs="Arial" w:eastAsia="Arial" w:hAnsi="Arial"/>
                <w:sz w:val="15"/>
                <w:szCs w:val="15"/>
                <w:color w:val="auto"/>
              </w:rPr>
              <w:t>NIC</w:t>
            </w:r>
          </w:p>
        </w:tc>
      </w:tr>
      <w:tr>
        <w:trPr>
          <w:trHeight w:val="208"/>
        </w:trPr>
        <w:tc>
          <w:tcPr>
            <w:tcW w:w="2460" w:type="dxa"/>
            <w:vAlign w:val="bottom"/>
          </w:tcPr>
          <w:p>
            <w:pPr>
              <w:spacing w:after="0"/>
              <w:rPr>
                <w:sz w:val="18"/>
                <w:szCs w:val="18"/>
                <w:color w:val="auto"/>
              </w:rPr>
            </w:pPr>
          </w:p>
        </w:tc>
        <w:tc>
          <w:tcPr>
            <w:tcW w:w="2360" w:type="dxa"/>
            <w:vAlign w:val="bottom"/>
            <w:gridSpan w:val="3"/>
          </w:tcPr>
          <w:p>
            <w:pPr>
              <w:ind w:left="820"/>
              <w:spacing w:after="0"/>
              <w:rPr>
                <w:sz w:val="20"/>
                <w:szCs w:val="20"/>
                <w:color w:val="auto"/>
              </w:rPr>
            </w:pPr>
            <w:r>
              <w:rPr>
                <w:rFonts w:ascii="Arial" w:cs="Arial" w:eastAsia="Arial" w:hAnsi="Arial"/>
                <w:sz w:val="15"/>
                <w:szCs w:val="15"/>
                <w:color w:val="auto"/>
              </w:rPr>
              <w:t>NIC</w:t>
            </w:r>
          </w:p>
        </w:tc>
      </w:tr>
      <w:tr>
        <w:trPr>
          <w:trHeight w:val="197"/>
        </w:trPr>
        <w:tc>
          <w:tcPr>
            <w:tcW w:w="2460" w:type="dxa"/>
            <w:vAlign w:val="bottom"/>
          </w:tcPr>
          <w:p>
            <w:pPr>
              <w:spacing w:after="0"/>
              <w:rPr>
                <w:sz w:val="17"/>
                <w:szCs w:val="17"/>
                <w:color w:val="auto"/>
              </w:rPr>
            </w:pPr>
          </w:p>
        </w:tc>
        <w:tc>
          <w:tcPr>
            <w:tcW w:w="2360" w:type="dxa"/>
            <w:vAlign w:val="bottom"/>
            <w:gridSpan w:val="3"/>
          </w:tcPr>
          <w:p>
            <w:pPr>
              <w:ind w:left="820"/>
              <w:spacing w:after="0"/>
              <w:rPr>
                <w:sz w:val="20"/>
                <w:szCs w:val="20"/>
                <w:color w:val="auto"/>
              </w:rPr>
            </w:pPr>
            <w:r>
              <w:rPr>
                <w:rFonts w:ascii="Arial" w:cs="Arial" w:eastAsia="Arial" w:hAnsi="Arial"/>
                <w:sz w:val="15"/>
                <w:szCs w:val="15"/>
                <w:color w:val="auto"/>
              </w:rPr>
              <w:t>NIC</w:t>
            </w:r>
          </w:p>
        </w:tc>
      </w:tr>
      <w:tr>
        <w:trPr>
          <w:trHeight w:val="593"/>
        </w:trPr>
        <w:tc>
          <w:tcPr>
            <w:tcW w:w="2460" w:type="dxa"/>
            <w:vAlign w:val="bottom"/>
          </w:tcPr>
          <w:p>
            <w:pPr>
              <w:jc w:val="right"/>
              <w:ind w:right="1967"/>
              <w:spacing w:after="0"/>
              <w:rPr>
                <w:sz w:val="20"/>
                <w:szCs w:val="20"/>
                <w:color w:val="auto"/>
              </w:rPr>
            </w:pPr>
            <w:r>
              <w:rPr>
                <w:rFonts w:ascii="Arial" w:cs="Arial" w:eastAsia="Arial" w:hAnsi="Arial"/>
                <w:sz w:val="15"/>
                <w:szCs w:val="15"/>
                <w:color w:val="auto"/>
                <w:w w:val="93"/>
              </w:rPr>
              <w:t>1.00%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6,964</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8"/>
        </w:trPr>
        <w:tc>
          <w:tcPr>
            <w:tcW w:w="2460" w:type="dxa"/>
            <w:vAlign w:val="bottom"/>
          </w:tcPr>
          <w:p>
            <w:pPr>
              <w:jc w:val="right"/>
              <w:ind w:right="1967"/>
              <w:spacing w:after="0"/>
              <w:rPr>
                <w:sz w:val="20"/>
                <w:szCs w:val="20"/>
                <w:color w:val="auto"/>
              </w:rPr>
            </w:pPr>
            <w:r>
              <w:rPr>
                <w:rFonts w:ascii="Arial" w:cs="Arial" w:eastAsia="Arial" w:hAnsi="Arial"/>
                <w:sz w:val="15"/>
                <w:szCs w:val="15"/>
                <w:color w:val="auto"/>
                <w:w w:val="93"/>
              </w:rPr>
              <w:t>1.50%</w:t>
            </w:r>
          </w:p>
        </w:tc>
        <w:tc>
          <w:tcPr>
            <w:tcW w:w="1080" w:type="dxa"/>
            <w:vAlign w:val="bottom"/>
          </w:tcPr>
          <w:p>
            <w:pPr>
              <w:jc w:val="right"/>
              <w:spacing w:after="0"/>
              <w:rPr>
                <w:sz w:val="20"/>
                <w:szCs w:val="20"/>
                <w:color w:val="auto"/>
              </w:rPr>
            </w:pPr>
            <w:r>
              <w:rPr>
                <w:rFonts w:ascii="Arial" w:cs="Arial" w:eastAsia="Arial" w:hAnsi="Arial"/>
                <w:sz w:val="15"/>
                <w:szCs w:val="15"/>
                <w:color w:val="auto"/>
              </w:rPr>
              <w:t>10,446</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2460" w:type="dxa"/>
            <w:vAlign w:val="bottom"/>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5"/>
                <w:szCs w:val="15"/>
                <w:b w:val="1"/>
                <w:bCs w:val="1"/>
                <w:color w:val="auto"/>
              </w:rPr>
              <w:t>$17,411</w:t>
            </w:r>
          </w:p>
        </w:tc>
      </w:tr>
      <w:tr>
        <w:trPr>
          <w:trHeight w:val="210"/>
        </w:trPr>
        <w:tc>
          <w:tcPr>
            <w:tcW w:w="2460" w:type="dxa"/>
            <w:vAlign w:val="bottom"/>
          </w:tcPr>
          <w:p>
            <w:pPr>
              <w:jc w:val="right"/>
              <w:ind w:right="1967"/>
              <w:spacing w:after="0"/>
              <w:rPr>
                <w:sz w:val="20"/>
                <w:szCs w:val="20"/>
                <w:color w:val="auto"/>
              </w:rPr>
            </w:pPr>
            <w:r>
              <w:rPr>
                <w:rFonts w:ascii="Arial" w:cs="Arial" w:eastAsia="Arial" w:hAnsi="Arial"/>
                <w:sz w:val="15"/>
                <w:szCs w:val="15"/>
                <w:color w:val="auto"/>
                <w:w w:val="93"/>
              </w:rPr>
              <w:t>5.00%</w:t>
            </w:r>
          </w:p>
        </w:tc>
        <w:tc>
          <w:tcPr>
            <w:tcW w:w="1080" w:type="dxa"/>
            <w:vAlign w:val="bottom"/>
          </w:tcPr>
          <w:p>
            <w:pPr>
              <w:jc w:val="right"/>
              <w:spacing w:after="0"/>
              <w:rPr>
                <w:sz w:val="20"/>
                <w:szCs w:val="20"/>
                <w:color w:val="auto"/>
              </w:rPr>
            </w:pPr>
            <w:r>
              <w:rPr>
                <w:rFonts w:ascii="Arial" w:cs="Arial" w:eastAsia="Arial" w:hAnsi="Arial"/>
                <w:sz w:val="15"/>
                <w:szCs w:val="15"/>
                <w:color w:val="auto"/>
              </w:rPr>
              <w:t>34,821</w:t>
            </w: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197"/>
        </w:trPr>
        <w:tc>
          <w:tcPr>
            <w:tcW w:w="24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$34,821</w:t>
            </w:r>
          </w:p>
        </w:tc>
      </w:tr>
    </w:tbl>
    <w:p>
      <w:pPr>
        <w:spacing w:after="0" w:line="4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3.50%</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$26,203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6350</wp:posOffset>
            </wp:positionV>
            <wp:extent cx="76390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3905" cy="6985"/>
                    </a:xfrm>
                    <a:prstGeom prst="rect">
                      <a:avLst/>
                    </a:prstGeom>
                    <a:noFill/>
                  </pic:spPr>
                </pic:pic>
              </a:graphicData>
            </a:graphic>
          </wp:anchor>
        </w:drawing>
      </w:r>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$774,859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38100</wp:posOffset>
            </wp:positionV>
            <wp:extent cx="731202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4840" w:space="720"/>
            <w:col w:w="5900"/>
          </w:cols>
          <w:pgMar w:left="220" w:top="308" w:right="21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5"/>
          <w:szCs w:val="15"/>
          <w:b w:val="1"/>
          <w:bCs w:val="1"/>
          <w:color w:val="auto"/>
        </w:rPr>
        <w:t>EXHIBIT B-3-b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BUDGET FOR MANUFACTURING AREA IMPROVEMENTS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746125</wp:posOffset>
            </wp:positionV>
            <wp:extent cx="731202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Seres Therapeutics</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200 Sidney Street</w:t>
            </w:r>
          </w:p>
        </w:tc>
        <w:tc>
          <w:tcPr>
            <w:tcW w:w="2760" w:type="dxa"/>
            <w:vAlign w:val="bottom"/>
          </w:tcPr>
          <w:p>
            <w:pPr>
              <w:jc w:val="right"/>
              <w:ind w:right="1527"/>
              <w:spacing w:after="0" w:line="167" w:lineRule="exact"/>
              <w:rPr>
                <w:sz w:val="20"/>
                <w:szCs w:val="20"/>
                <w:color w:val="auto"/>
              </w:rPr>
            </w:pPr>
            <w:r>
              <w:rPr>
                <w:rFonts w:ascii="Arial" w:cs="Arial" w:eastAsia="Arial" w:hAnsi="Arial"/>
                <w:sz w:val="15"/>
                <w:szCs w:val="15"/>
                <w:b w:val="1"/>
                <w:bCs w:val="1"/>
                <w:color w:val="auto"/>
              </w:rPr>
              <w:t>10/30/2015</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220" w:type="dxa"/>
            <w:vAlign w:val="bottom"/>
          </w:tcPr>
          <w:p>
            <w:pPr>
              <w:spacing w:after="0" w:line="164" w:lineRule="exact"/>
              <w:rPr>
                <w:sz w:val="20"/>
                <w:szCs w:val="20"/>
                <w:color w:val="auto"/>
              </w:rPr>
            </w:pPr>
            <w:r>
              <w:rPr>
                <w:rFonts w:ascii="Arial" w:cs="Arial" w:eastAsia="Arial" w:hAnsi="Arial"/>
                <w:sz w:val="15"/>
                <w:szCs w:val="15"/>
                <w:b w:val="1"/>
                <w:bCs w:val="1"/>
                <w:color w:val="auto"/>
              </w:rPr>
              <w:t>Cambridge, MA</w:t>
            </w:r>
          </w:p>
        </w:tc>
        <w:tc>
          <w:tcPr>
            <w:tcW w:w="4240" w:type="dxa"/>
            <w:vAlign w:val="bottom"/>
            <w:gridSpan w:val="3"/>
          </w:tcPr>
          <w:p>
            <w:pPr>
              <w:jc w:val="right"/>
              <w:ind w:right="2602"/>
              <w:spacing w:after="0" w:line="164" w:lineRule="exact"/>
              <w:rPr>
                <w:sz w:val="20"/>
                <w:szCs w:val="20"/>
                <w:color w:val="auto"/>
              </w:rPr>
            </w:pPr>
            <w:r>
              <w:rPr>
                <w:rFonts w:ascii="Arial" w:cs="Arial" w:eastAsia="Arial" w:hAnsi="Arial"/>
                <w:sz w:val="15"/>
                <w:szCs w:val="15"/>
                <w:b w:val="1"/>
                <w:bCs w:val="1"/>
                <w:color w:val="auto"/>
              </w:rPr>
              <w:t>RSF 11177</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Preliminary Manufacturing Area Budget</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7220" w:type="dxa"/>
            <w:vAlign w:val="bottom"/>
            <w:tcBorders>
              <w:bottom w:val="single" w:sz="8" w:color="auto"/>
            </w:tcBorders>
          </w:tcPr>
          <w:p>
            <w:pPr>
              <w:ind w:left="4700"/>
              <w:spacing w:after="0"/>
              <w:rPr>
                <w:sz w:val="20"/>
                <w:szCs w:val="20"/>
                <w:color w:val="auto"/>
              </w:rPr>
            </w:pPr>
            <w:r>
              <w:rPr>
                <w:rFonts w:ascii="Arial" w:cs="Arial" w:eastAsia="Arial" w:hAnsi="Arial"/>
                <w:sz w:val="12"/>
                <w:szCs w:val="12"/>
                <w:b w:val="1"/>
                <w:bCs w:val="1"/>
                <w:color w:val="auto"/>
              </w:rPr>
              <w:t>Description</w:t>
            </w:r>
          </w:p>
        </w:tc>
        <w:tc>
          <w:tcPr>
            <w:tcW w:w="2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b w:val="1"/>
                <w:bCs w:val="1"/>
                <w:color w:val="auto"/>
              </w:rPr>
              <w:t>Budget</w:t>
            </w:r>
          </w:p>
        </w:tc>
        <w:tc>
          <w:tcPr>
            <w:tcW w:w="0" w:type="dxa"/>
            <w:vAlign w:val="bottom"/>
          </w:tcPr>
          <w:p>
            <w:pPr>
              <w:spacing w:after="0"/>
              <w:rPr>
                <w:sz w:val="1"/>
                <w:szCs w:val="1"/>
                <w:color w:val="auto"/>
              </w:rPr>
            </w:pPr>
          </w:p>
        </w:tc>
      </w:tr>
      <w:tr>
        <w:trPr>
          <w:trHeight w:val="169"/>
        </w:trPr>
        <w:tc>
          <w:tcPr>
            <w:tcW w:w="7220" w:type="dxa"/>
            <w:vAlign w:val="bottom"/>
          </w:tcPr>
          <w:p>
            <w:pPr>
              <w:spacing w:after="0" w:line="169" w:lineRule="exact"/>
              <w:rPr>
                <w:sz w:val="20"/>
                <w:szCs w:val="20"/>
                <w:color w:val="auto"/>
              </w:rPr>
            </w:pPr>
            <w:r>
              <w:rPr>
                <w:rFonts w:ascii="Arial" w:cs="Arial" w:eastAsia="Arial" w:hAnsi="Arial"/>
                <w:sz w:val="15"/>
                <w:szCs w:val="15"/>
                <w:b w:val="1"/>
                <w:bCs w:val="1"/>
                <w:color w:val="auto"/>
              </w:rPr>
              <w:t>Demolition/Temporary Protection/Daily Cleaning</w:t>
            </w:r>
          </w:p>
        </w:tc>
        <w:tc>
          <w:tcPr>
            <w:tcW w:w="4240" w:type="dxa"/>
            <w:vAlign w:val="bottom"/>
            <w:gridSpan w:val="3"/>
          </w:tcPr>
          <w:p>
            <w:pPr>
              <w:jc w:val="right"/>
              <w:spacing w:after="0" w:line="169" w:lineRule="exact"/>
              <w:rPr>
                <w:sz w:val="20"/>
                <w:szCs w:val="20"/>
                <w:color w:val="auto"/>
              </w:rPr>
            </w:pPr>
            <w:r>
              <w:rPr>
                <w:rFonts w:ascii="Arial" w:cs="Arial" w:eastAsia="Arial" w:hAnsi="Arial"/>
                <w:sz w:val="15"/>
                <w:szCs w:val="15"/>
                <w:b w:val="1"/>
                <w:bCs w:val="1"/>
                <w:color w:val="auto"/>
              </w:rPr>
              <w:t>$173,790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Concrete</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$154,250</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5"/>
                <w:szCs w:val="15"/>
                <w:b w:val="1"/>
                <w:bCs w:val="1"/>
                <w:color w:val="auto"/>
              </w:rPr>
              <w:t>Structural Steel/Misc Metals</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$444,000</w:t>
            </w:r>
          </w:p>
        </w:tc>
        <w:tc>
          <w:tcPr>
            <w:tcW w:w="0" w:type="dxa"/>
            <w:vAlign w:val="bottom"/>
          </w:tcPr>
          <w:p>
            <w:pPr>
              <w:spacing w:after="0"/>
              <w:rPr>
                <w:sz w:val="1"/>
                <w:szCs w:val="1"/>
                <w:color w:val="auto"/>
              </w:rPr>
            </w:pPr>
          </w:p>
        </w:tc>
      </w:tr>
      <w:tr>
        <w:trPr>
          <w:trHeight w:val="178"/>
        </w:trPr>
        <w:tc>
          <w:tcPr>
            <w:tcW w:w="7220" w:type="dxa"/>
            <w:vAlign w:val="bottom"/>
          </w:tcPr>
          <w:p>
            <w:pPr>
              <w:spacing w:after="0"/>
              <w:rPr>
                <w:sz w:val="20"/>
                <w:szCs w:val="20"/>
                <w:color w:val="auto"/>
              </w:rPr>
            </w:pPr>
            <w:r>
              <w:rPr>
                <w:rFonts w:ascii="Arial" w:cs="Arial" w:eastAsia="Arial" w:hAnsi="Arial"/>
                <w:sz w:val="15"/>
                <w:szCs w:val="15"/>
                <w:b w:val="1"/>
                <w:bCs w:val="1"/>
                <w:color w:val="auto"/>
              </w:rPr>
              <w:t>Carpentry</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$142,465</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Millwork</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89"/>
        </w:trPr>
        <w:tc>
          <w:tcPr>
            <w:tcW w:w="7220" w:type="dxa"/>
            <w:vAlign w:val="bottom"/>
          </w:tcPr>
          <w:p>
            <w:pPr>
              <w:spacing w:after="0"/>
              <w:rPr>
                <w:sz w:val="20"/>
                <w:szCs w:val="20"/>
                <w:color w:val="auto"/>
              </w:rPr>
            </w:pPr>
            <w:r>
              <w:rPr>
                <w:rFonts w:ascii="Arial" w:cs="Arial" w:eastAsia="Arial" w:hAnsi="Arial"/>
                <w:sz w:val="15"/>
                <w:szCs w:val="15"/>
                <w:b w:val="1"/>
                <w:bCs w:val="1"/>
                <w:color w:val="auto"/>
              </w:rPr>
              <w:t>Roofing/Thermal Moisture Protection</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$176,450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Doors/Frames/Hardware</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$195,500</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Arial" w:cs="Arial" w:eastAsia="Arial" w:hAnsi="Arial"/>
                <w:sz w:val="15"/>
                <w:szCs w:val="15"/>
                <w:b w:val="1"/>
                <w:bCs w:val="1"/>
                <w:color w:val="auto"/>
              </w:rPr>
              <w:t>Glazing</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$89,500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Gypsum Drywall</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$461,600</w:t>
            </w:r>
          </w:p>
        </w:tc>
        <w:tc>
          <w:tcPr>
            <w:tcW w:w="0" w:type="dxa"/>
            <w:vAlign w:val="bottom"/>
          </w:tcPr>
          <w:p>
            <w:pPr>
              <w:spacing w:after="0"/>
              <w:rPr>
                <w:sz w:val="1"/>
                <w:szCs w:val="1"/>
                <w:color w:val="auto"/>
              </w:rPr>
            </w:pPr>
          </w:p>
        </w:tc>
      </w:tr>
      <w:tr>
        <w:trPr>
          <w:trHeight w:val="197"/>
        </w:trPr>
        <w:tc>
          <w:tcPr>
            <w:tcW w:w="7220" w:type="dxa"/>
            <w:vAlign w:val="bottom"/>
          </w:tcPr>
          <w:p>
            <w:pPr>
              <w:spacing w:after="0"/>
              <w:rPr>
                <w:sz w:val="20"/>
                <w:szCs w:val="20"/>
                <w:color w:val="auto"/>
              </w:rPr>
            </w:pPr>
            <w:r>
              <w:rPr>
                <w:rFonts w:ascii="Arial" w:cs="Arial" w:eastAsia="Arial" w:hAnsi="Arial"/>
                <w:sz w:val="15"/>
                <w:szCs w:val="15"/>
                <w:b w:val="1"/>
                <w:bCs w:val="1"/>
                <w:color w:val="auto"/>
              </w:rPr>
              <w:t>Ceilings</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$79,800</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Arial" w:cs="Arial" w:eastAsia="Arial" w:hAnsi="Arial"/>
                <w:sz w:val="15"/>
                <w:szCs w:val="15"/>
                <w:b w:val="1"/>
                <w:bCs w:val="1"/>
                <w:color w:val="auto"/>
              </w:rPr>
              <w:t>Flooring</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$251,400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Painting</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$92,345</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5"/>
                <w:szCs w:val="15"/>
                <w:b w:val="1"/>
                <w:bCs w:val="1"/>
                <w:color w:val="auto"/>
              </w:rPr>
              <w:t>Specialties</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$148,075</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Laboratory Casework</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89"/>
        </w:trPr>
        <w:tc>
          <w:tcPr>
            <w:tcW w:w="7220" w:type="dxa"/>
            <w:vAlign w:val="bottom"/>
          </w:tcPr>
          <w:p>
            <w:pPr>
              <w:spacing w:after="0"/>
              <w:rPr>
                <w:sz w:val="20"/>
                <w:szCs w:val="20"/>
                <w:color w:val="auto"/>
              </w:rPr>
            </w:pPr>
            <w:r>
              <w:rPr>
                <w:rFonts w:ascii="Arial" w:cs="Arial" w:eastAsia="Arial" w:hAnsi="Arial"/>
                <w:sz w:val="15"/>
                <w:szCs w:val="15"/>
                <w:b w:val="1"/>
                <w:bCs w:val="1"/>
                <w:color w:val="auto"/>
              </w:rPr>
              <w:t>Equipment</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$150,000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Fire Protection</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$150,000</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Arial" w:cs="Arial" w:eastAsia="Arial" w:hAnsi="Arial"/>
                <w:sz w:val="15"/>
                <w:szCs w:val="15"/>
                <w:b w:val="1"/>
                <w:bCs w:val="1"/>
                <w:color w:val="auto"/>
              </w:rPr>
              <w:t>Plumbing</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$833,400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HVAC</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$4,242,096</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5"/>
                <w:szCs w:val="15"/>
                <w:b w:val="1"/>
                <w:bCs w:val="1"/>
                <w:color w:val="auto"/>
              </w:rPr>
              <w:t>Electrical/Fire Alarm</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$828,545</w:t>
            </w:r>
          </w:p>
        </w:tc>
        <w:tc>
          <w:tcPr>
            <w:tcW w:w="0" w:type="dxa"/>
            <w:vAlign w:val="bottom"/>
          </w:tcPr>
          <w:p>
            <w:pPr>
              <w:spacing w:after="0"/>
              <w:rPr>
                <w:sz w:val="1"/>
                <w:szCs w:val="1"/>
                <w:color w:val="auto"/>
              </w:rPr>
            </w:pPr>
          </w:p>
        </w:tc>
      </w:tr>
      <w:tr>
        <w:trPr>
          <w:trHeight w:val="167"/>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General Requirements</w:t>
            </w:r>
          </w:p>
        </w:tc>
        <w:tc>
          <w:tcPr>
            <w:tcW w:w="4240" w:type="dxa"/>
            <w:vAlign w:val="bottom"/>
            <w:gridSpan w:val="3"/>
          </w:tcPr>
          <w:p>
            <w:pPr>
              <w:jc w:val="right"/>
              <w:spacing w:after="0" w:line="167" w:lineRule="exact"/>
              <w:rPr>
                <w:sz w:val="20"/>
                <w:szCs w:val="20"/>
                <w:color w:val="auto"/>
              </w:rPr>
            </w:pPr>
            <w:r>
              <w:rPr>
                <w:rFonts w:ascii="Arial" w:cs="Arial" w:eastAsia="Arial" w:hAnsi="Arial"/>
                <w:sz w:val="15"/>
                <w:szCs w:val="15"/>
                <w:b w:val="1"/>
                <w:bCs w:val="1"/>
                <w:color w:val="auto"/>
              </w:rPr>
              <w:t>$71,280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General Conditions</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$78,960</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5"/>
                <w:szCs w:val="15"/>
                <w:b w:val="1"/>
                <w:bCs w:val="1"/>
                <w:color w:val="auto"/>
              </w:rPr>
              <w:t>Supervision</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$455,480</w:t>
            </w:r>
          </w:p>
        </w:tc>
        <w:tc>
          <w:tcPr>
            <w:tcW w:w="0" w:type="dxa"/>
            <w:vAlign w:val="bottom"/>
          </w:tcPr>
          <w:p>
            <w:pPr>
              <w:spacing w:after="0"/>
              <w:rPr>
                <w:sz w:val="1"/>
                <w:szCs w:val="1"/>
                <w:color w:val="auto"/>
              </w:rPr>
            </w:pPr>
          </w:p>
        </w:tc>
      </w:tr>
      <w:tr>
        <w:trPr>
          <w:trHeight w:val="186"/>
        </w:trPr>
        <w:tc>
          <w:tcPr>
            <w:tcW w:w="7220" w:type="dxa"/>
            <w:vAlign w:val="bottom"/>
          </w:tcPr>
          <w:p>
            <w:pPr>
              <w:spacing w:after="0"/>
              <w:rPr>
                <w:sz w:val="20"/>
                <w:szCs w:val="20"/>
                <w:color w:val="auto"/>
              </w:rPr>
            </w:pPr>
            <w:r>
              <w:rPr>
                <w:rFonts w:ascii="Arial" w:cs="Arial" w:eastAsia="Arial" w:hAnsi="Arial"/>
                <w:sz w:val="15"/>
                <w:szCs w:val="15"/>
                <w:b w:val="1"/>
                <w:bCs w:val="1"/>
                <w:color w:val="auto"/>
              </w:rPr>
              <w:t>Engineering</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$0</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Insurance and Permits</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$230,473</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Arial" w:cs="Arial" w:eastAsia="Arial" w:hAnsi="Arial"/>
                <w:sz w:val="15"/>
                <w:szCs w:val="15"/>
                <w:b w:val="1"/>
                <w:bCs w:val="1"/>
                <w:color w:val="auto"/>
              </w:rPr>
              <w:t>Contingency</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$921,894</w:t>
            </w: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Arial" w:cs="Arial" w:eastAsia="Arial" w:hAnsi="Arial"/>
                <w:sz w:val="15"/>
                <w:szCs w:val="15"/>
                <w:b w:val="1"/>
                <w:bCs w:val="1"/>
                <w:color w:val="auto"/>
              </w:rPr>
              <w:t>Overhead and Profit</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$362,996</w:t>
            </w:r>
          </w:p>
        </w:tc>
        <w:tc>
          <w:tcPr>
            <w:tcW w:w="0" w:type="dxa"/>
            <w:vAlign w:val="bottom"/>
          </w:tcPr>
          <w:p>
            <w:pPr>
              <w:spacing w:after="0"/>
              <w:rPr>
                <w:sz w:val="1"/>
                <w:szCs w:val="1"/>
                <w:color w:val="auto"/>
              </w:rPr>
            </w:pPr>
          </w:p>
        </w:tc>
      </w:tr>
      <w:tr>
        <w:trPr>
          <w:trHeight w:val="22"/>
        </w:trPr>
        <w:tc>
          <w:tcPr>
            <w:tcW w:w="7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220" w:type="dxa"/>
            <w:vAlign w:val="bottom"/>
            <w:vMerge w:val="restart"/>
          </w:tcPr>
          <w:p>
            <w:pPr>
              <w:ind w:left="6200"/>
              <w:spacing w:after="0"/>
              <w:rPr>
                <w:sz w:val="20"/>
                <w:szCs w:val="20"/>
                <w:color w:val="auto"/>
              </w:rPr>
            </w:pPr>
            <w:r>
              <w:rPr>
                <w:rFonts w:ascii="Arial" w:cs="Arial" w:eastAsia="Arial" w:hAnsi="Arial"/>
                <w:sz w:val="15"/>
                <w:szCs w:val="15"/>
                <w:b w:val="1"/>
                <w:bCs w:val="1"/>
                <w:color w:val="auto"/>
              </w:rPr>
              <w:t>Cost/SF:</w:t>
            </w: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$10,734,299</w:t>
            </w:r>
          </w:p>
        </w:tc>
        <w:tc>
          <w:tcPr>
            <w:tcW w:w="0" w:type="dxa"/>
            <w:vAlign w:val="bottom"/>
          </w:tcPr>
          <w:p>
            <w:pPr>
              <w:spacing w:after="0"/>
              <w:rPr>
                <w:sz w:val="1"/>
                <w:szCs w:val="1"/>
                <w:color w:val="auto"/>
              </w:rPr>
            </w:pPr>
          </w:p>
        </w:tc>
      </w:tr>
      <w:tr>
        <w:trPr>
          <w:trHeight w:val="197"/>
        </w:trPr>
        <w:tc>
          <w:tcPr>
            <w:tcW w:w="7220" w:type="dxa"/>
            <w:vAlign w:val="bottom"/>
            <w:vMerge w:val="continue"/>
          </w:tcPr>
          <w:p>
            <w:pPr>
              <w:spacing w:after="0"/>
              <w:rPr>
                <w:sz w:val="17"/>
                <w:szCs w:val="17"/>
                <w:color w:val="auto"/>
              </w:rPr>
            </w:pPr>
          </w:p>
        </w:tc>
        <w:tc>
          <w:tcPr>
            <w:tcW w:w="4240" w:type="dxa"/>
            <w:vAlign w:val="bottom"/>
            <w:gridSpan w:val="3"/>
          </w:tcPr>
          <w:p>
            <w:pPr>
              <w:jc w:val="right"/>
              <w:spacing w:after="0"/>
              <w:rPr>
                <w:sz w:val="20"/>
                <w:szCs w:val="20"/>
                <w:color w:val="auto"/>
              </w:rPr>
            </w:pPr>
            <w:r>
              <w:rPr>
                <w:rFonts w:ascii="Arial" w:cs="Arial" w:eastAsia="Arial" w:hAnsi="Arial"/>
                <w:sz w:val="15"/>
                <w:szCs w:val="15"/>
                <w:b w:val="1"/>
                <w:bCs w:val="1"/>
                <w:color w:val="auto"/>
              </w:rPr>
              <w:t>$960.39</w:t>
            </w:r>
          </w:p>
        </w:tc>
        <w:tc>
          <w:tcPr>
            <w:tcW w:w="0" w:type="dxa"/>
            <w:vAlign w:val="bottom"/>
          </w:tcPr>
          <w:p>
            <w:pPr>
              <w:spacing w:after="0"/>
              <w:rPr>
                <w:sz w:val="1"/>
                <w:szCs w:val="1"/>
                <w:color w:val="auto"/>
              </w:rPr>
            </w:pPr>
          </w:p>
        </w:tc>
      </w:tr>
    </w:tbl>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199390</wp:posOffset>
            </wp:positionV>
            <wp:extent cx="1673860" cy="5556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1673860" cy="5556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auto"/>
        </w:rPr>
        <w:t>Exclusions:</w:t>
      </w:r>
    </w:p>
    <w:p>
      <w:pPr>
        <w:spacing w:after="0" w:line="79" w:lineRule="exact"/>
        <w:rPr>
          <w:sz w:val="20"/>
          <w:szCs w:val="20"/>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Process utilities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Moving existing owner equipment to the new facility</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Tel/Data &amp; AV</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Card Readers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Security</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Signage</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Laboratory &amp; Clean Room Equipment</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Equipment alarms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UPS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Validation</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SS piping or SS ductwork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345" w:right="219" w:bottom="1440" w:gutter="0" w:footer="0" w:header="0"/>
        </w:sectPr>
      </w:pPr>
    </w:p>
    <w:bookmarkStart w:id="319" w:name="page320"/>
    <w:bookmarkEnd w:id="319"/>
    <w:p>
      <w:pPr>
        <w:ind w:left="520" w:hanging="512"/>
        <w:spacing w:after="0"/>
        <w:tabs>
          <w:tab w:leader="none" w:pos="5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Clad Walls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SS doors</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Sitework in area way</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USP Water Skid</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Clad Walls / Ceiling / Kydex</w:t>
      </w:r>
    </w:p>
    <w:p>
      <w:pPr>
        <w:spacing w:after="0" w:line="79" w:lineRule="exact"/>
        <w:rPr>
          <w:rFonts w:ascii="Arial" w:cs="Arial" w:eastAsia="Arial" w:hAnsi="Arial"/>
          <w:sz w:val="15"/>
          <w:szCs w:val="15"/>
          <w:color w:val="auto"/>
        </w:rPr>
      </w:pPr>
    </w:p>
    <w:p>
      <w:pPr>
        <w:ind w:left="520" w:hanging="512"/>
        <w:spacing w:after="0"/>
        <w:tabs>
          <w:tab w:leader="none" w:pos="5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Future MEP Utility capacity for Pilot Expansion</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Clarification: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This budget is based on steam generator, boilers and pumps being installed at the penthouse</w:t>
      </w:r>
    </w:p>
    <w:p>
      <w:pPr>
        <w:spacing w:after="0" w:line="200" w:lineRule="exact"/>
        <w:rPr>
          <w:sz w:val="20"/>
          <w:szCs w:val="20"/>
          <w:color w:val="auto"/>
        </w:rPr>
      </w:pPr>
    </w:p>
    <w:p>
      <w:pPr>
        <w:spacing w:after="0" w:line="372" w:lineRule="exact"/>
        <w:rPr>
          <w:sz w:val="20"/>
          <w:szCs w:val="20"/>
          <w:color w:val="auto"/>
        </w:rPr>
      </w:pPr>
    </w:p>
    <w:p>
      <w:pPr>
        <w:jc w:val="right"/>
        <w:ind w:right="4139"/>
        <w:spacing w:after="0"/>
        <w:rPr>
          <w:sz w:val="20"/>
          <w:szCs w:val="20"/>
          <w:color w:val="auto"/>
        </w:rPr>
      </w:pPr>
      <w:r>
        <w:rPr>
          <w:rFonts w:ascii="Arial" w:cs="Arial" w:eastAsia="Arial" w:hAnsi="Arial"/>
          <w:sz w:val="15"/>
          <w:szCs w:val="15"/>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401" w:right="1440" w:bottom="1440" w:gutter="0" w:footer="0" w:header="0"/>
        </w:sectPr>
      </w:pPr>
    </w:p>
    <w:bookmarkStart w:id="320" w:name="page321"/>
    <w:bookmarkEnd w:id="32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325120</wp:posOffset>
            </wp:positionV>
            <wp:extent cx="805815" cy="2432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805815" cy="243205"/>
                    </a:xfrm>
                    <a:prstGeom prst="rect">
                      <a:avLst/>
                    </a:prstGeom>
                    <a:noFill/>
                  </pic:spPr>
                </pic:pic>
              </a:graphicData>
            </a:graphic>
          </wp:anchor>
        </w:drawing>
        <w:t>Seres Therapeutics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 Sidney Street</w:t>
      </w:r>
    </w:p>
    <w:p>
      <w:pPr>
        <w:spacing w:after="0"/>
        <w:rPr>
          <w:sz w:val="20"/>
          <w:szCs w:val="20"/>
          <w:color w:val="auto"/>
        </w:rPr>
      </w:pPr>
      <w:r>
        <w:rPr>
          <w:rFonts w:ascii="Arial" w:cs="Arial" w:eastAsia="Arial" w:hAnsi="Arial"/>
          <w:sz w:val="15"/>
          <w:szCs w:val="15"/>
          <w:b w:val="1"/>
          <w:bCs w:val="1"/>
          <w:color w:val="auto"/>
        </w:rPr>
        <w:t>Cambridge, MA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60" w:type="dxa"/>
            <w:vAlign w:val="bottom"/>
            <w:gridSpan w:val="2"/>
          </w:tcPr>
          <w:p>
            <w:pPr>
              <w:spacing w:after="0"/>
              <w:rPr>
                <w:sz w:val="20"/>
                <w:szCs w:val="20"/>
                <w:color w:val="auto"/>
              </w:rPr>
            </w:pPr>
            <w:r>
              <w:rPr>
                <w:rFonts w:ascii="Arial" w:cs="Arial" w:eastAsia="Arial" w:hAnsi="Arial"/>
                <w:sz w:val="12"/>
                <w:szCs w:val="12"/>
                <w:b w:val="1"/>
                <w:bCs w:val="1"/>
                <w:color w:val="auto"/>
              </w:rPr>
              <w:t>Division/Description</w:t>
            </w:r>
          </w:p>
        </w:tc>
        <w:tc>
          <w:tcPr>
            <w:tcW w:w="860" w:type="dxa"/>
            <w:vAlign w:val="bottom"/>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860" w:type="dxa"/>
            <w:vAlign w:val="bottom"/>
          </w:tcPr>
          <w:p>
            <w:pPr>
              <w:ind w:left="320"/>
              <w:spacing w:after="0"/>
              <w:rPr>
                <w:sz w:val="20"/>
                <w:szCs w:val="20"/>
                <w:color w:val="auto"/>
              </w:rPr>
            </w:pPr>
            <w:r>
              <w:rPr>
                <w:rFonts w:ascii="Arial" w:cs="Arial" w:eastAsia="Arial" w:hAnsi="Arial"/>
                <w:sz w:val="12"/>
                <w:szCs w:val="12"/>
                <w:b w:val="1"/>
                <w:bCs w:val="1"/>
                <w:color w:val="auto"/>
              </w:rPr>
              <w:t>UM</w:t>
            </w:r>
          </w:p>
        </w:tc>
      </w:tr>
      <w:tr>
        <w:trPr>
          <w:trHeight w:val="185"/>
        </w:trPr>
        <w:tc>
          <w:tcPr>
            <w:tcW w:w="60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Demolition/Temporary Protection/Daily Cleaning</w:t>
            </w: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189"/>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Demolition</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6160" w:type="dxa"/>
            <w:vAlign w:val="bottom"/>
            <w:gridSpan w:val="2"/>
          </w:tcPr>
          <w:p>
            <w:pPr>
              <w:ind w:left="400"/>
              <w:spacing w:after="0"/>
              <w:rPr>
                <w:sz w:val="20"/>
                <w:szCs w:val="20"/>
                <w:color w:val="auto"/>
              </w:rPr>
            </w:pPr>
            <w:r>
              <w:rPr>
                <w:rFonts w:ascii="Arial" w:cs="Arial" w:eastAsia="Arial" w:hAnsi="Arial"/>
                <w:sz w:val="15"/>
                <w:szCs w:val="15"/>
                <w:color w:val="auto"/>
              </w:rPr>
              <w:t>Select demo</w:t>
            </w:r>
          </w:p>
        </w:tc>
        <w:tc>
          <w:tcPr>
            <w:tcW w:w="860" w:type="dxa"/>
            <w:vAlign w:val="bottom"/>
          </w:tcPr>
          <w:p>
            <w:pPr>
              <w:jc w:val="right"/>
              <w:spacing w:after="0"/>
              <w:rPr>
                <w:sz w:val="20"/>
                <w:szCs w:val="20"/>
                <w:color w:val="auto"/>
              </w:rPr>
            </w:pPr>
            <w:r>
              <w:rPr>
                <w:rFonts w:ascii="Arial" w:cs="Arial" w:eastAsia="Arial" w:hAnsi="Arial"/>
                <w:sz w:val="15"/>
                <w:szCs w:val="15"/>
                <w:color w:val="auto"/>
              </w:rPr>
              <w:t>8,700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sf</w:t>
            </w:r>
          </w:p>
        </w:tc>
      </w:tr>
      <w:tr>
        <w:trPr>
          <w:trHeight w:val="197"/>
        </w:trPr>
        <w:tc>
          <w:tcPr>
            <w:tcW w:w="6160" w:type="dxa"/>
            <w:vAlign w:val="bottom"/>
            <w:gridSpan w:val="2"/>
          </w:tcPr>
          <w:p>
            <w:pPr>
              <w:ind w:left="400"/>
              <w:spacing w:after="0"/>
              <w:rPr>
                <w:sz w:val="20"/>
                <w:szCs w:val="20"/>
                <w:color w:val="auto"/>
              </w:rPr>
            </w:pPr>
            <w:r>
              <w:rPr>
                <w:rFonts w:ascii="Arial" w:cs="Arial" w:eastAsia="Arial" w:hAnsi="Arial"/>
                <w:sz w:val="15"/>
                <w:szCs w:val="15"/>
                <w:color w:val="auto"/>
              </w:rPr>
              <w:t>Dumpsters</w:t>
            </w: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19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Temporary Protection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8"/>
        </w:trPr>
        <w:tc>
          <w:tcPr>
            <w:tcW w:w="6160" w:type="dxa"/>
            <w:vAlign w:val="bottom"/>
            <w:gridSpan w:val="2"/>
          </w:tcPr>
          <w:p>
            <w:pPr>
              <w:ind w:left="400"/>
              <w:spacing w:after="0"/>
              <w:rPr>
                <w:sz w:val="20"/>
                <w:szCs w:val="20"/>
                <w:color w:val="auto"/>
              </w:rPr>
            </w:pPr>
            <w:r>
              <w:rPr>
                <w:rFonts w:ascii="Arial" w:cs="Arial" w:eastAsia="Arial" w:hAnsi="Arial"/>
                <w:sz w:val="15"/>
                <w:szCs w:val="15"/>
                <w:color w:val="auto"/>
              </w:rPr>
              <w:t>Floor protection</w:t>
            </w:r>
          </w:p>
        </w:tc>
        <w:tc>
          <w:tcPr>
            <w:tcW w:w="860" w:type="dxa"/>
            <w:vAlign w:val="bottom"/>
          </w:tcPr>
          <w:p>
            <w:pPr>
              <w:jc w:val="right"/>
              <w:spacing w:after="0"/>
              <w:rPr>
                <w:sz w:val="20"/>
                <w:szCs w:val="20"/>
                <w:color w:val="auto"/>
              </w:rPr>
            </w:pPr>
            <w:r>
              <w:rPr>
                <w:rFonts w:ascii="Arial" w:cs="Arial" w:eastAsia="Arial" w:hAnsi="Arial"/>
                <w:sz w:val="15"/>
                <w:szCs w:val="15"/>
                <w:color w:val="auto"/>
              </w:rPr>
              <w:t>50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shts</w:t>
            </w:r>
          </w:p>
        </w:tc>
      </w:tr>
      <w:tr>
        <w:trPr>
          <w:trHeight w:val="197"/>
        </w:trPr>
        <w:tc>
          <w:tcPr>
            <w:tcW w:w="6160" w:type="dxa"/>
            <w:vAlign w:val="bottom"/>
            <w:gridSpan w:val="2"/>
          </w:tcPr>
          <w:p>
            <w:pPr>
              <w:ind w:left="400"/>
              <w:spacing w:after="0"/>
              <w:rPr>
                <w:sz w:val="20"/>
                <w:szCs w:val="20"/>
                <w:color w:val="auto"/>
              </w:rPr>
            </w:pPr>
            <w:r>
              <w:rPr>
                <w:rFonts w:ascii="Arial" w:cs="Arial" w:eastAsia="Arial" w:hAnsi="Arial"/>
                <w:sz w:val="15"/>
                <w:szCs w:val="15"/>
                <w:color w:val="auto"/>
              </w:rPr>
              <w:t>Protect existing windows and sills.</w:t>
            </w:r>
          </w:p>
        </w:tc>
        <w:tc>
          <w:tcPr>
            <w:tcW w:w="860" w:type="dxa"/>
            <w:vAlign w:val="bottom"/>
          </w:tcPr>
          <w:p>
            <w:pPr>
              <w:jc w:val="right"/>
              <w:spacing w:after="0"/>
              <w:rPr>
                <w:sz w:val="20"/>
                <w:szCs w:val="20"/>
                <w:color w:val="auto"/>
              </w:rPr>
            </w:pPr>
            <w:r>
              <w:rPr>
                <w:rFonts w:ascii="Arial" w:cs="Arial" w:eastAsia="Arial" w:hAnsi="Arial"/>
                <w:sz w:val="15"/>
                <w:szCs w:val="15"/>
                <w:color w:val="auto"/>
              </w:rPr>
              <w:t>25</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207"/>
        </w:trPr>
        <w:tc>
          <w:tcPr>
            <w:tcW w:w="6160" w:type="dxa"/>
            <w:vAlign w:val="bottom"/>
            <w:gridSpan w:val="2"/>
          </w:tcPr>
          <w:p>
            <w:pPr>
              <w:ind w:left="400"/>
              <w:spacing w:after="0"/>
              <w:rPr>
                <w:sz w:val="20"/>
                <w:szCs w:val="20"/>
                <w:color w:val="auto"/>
              </w:rPr>
            </w:pPr>
            <w:r>
              <w:rPr>
                <w:rFonts w:ascii="Arial" w:cs="Arial" w:eastAsia="Arial" w:hAnsi="Arial"/>
                <w:sz w:val="15"/>
                <w:szCs w:val="15"/>
                <w:color w:val="auto"/>
              </w:rPr>
              <w:t>Dust protection material</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197"/>
        </w:trPr>
        <w:tc>
          <w:tcPr>
            <w:tcW w:w="6160" w:type="dxa"/>
            <w:vAlign w:val="bottom"/>
            <w:gridSpan w:val="2"/>
          </w:tcPr>
          <w:p>
            <w:pPr>
              <w:ind w:left="400"/>
              <w:spacing w:after="0"/>
              <w:rPr>
                <w:sz w:val="20"/>
                <w:szCs w:val="20"/>
                <w:color w:val="auto"/>
              </w:rPr>
            </w:pPr>
            <w:r>
              <w:rPr>
                <w:rFonts w:ascii="Arial" w:cs="Arial" w:eastAsia="Arial" w:hAnsi="Arial"/>
                <w:sz w:val="15"/>
                <w:szCs w:val="15"/>
                <w:color w:val="auto"/>
              </w:rPr>
              <w:t>Protection of existing finishes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18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Daily cleaning</w:t>
            </w:r>
          </w:p>
        </w:tc>
        <w:tc>
          <w:tcPr>
            <w:tcW w:w="860" w:type="dxa"/>
            <w:vAlign w:val="bottom"/>
          </w:tcPr>
          <w:p>
            <w:pPr>
              <w:jc w:val="right"/>
              <w:spacing w:after="0"/>
              <w:rPr>
                <w:sz w:val="20"/>
                <w:szCs w:val="20"/>
                <w:color w:val="auto"/>
              </w:rPr>
            </w:pPr>
            <w:r>
              <w:rPr>
                <w:rFonts w:ascii="Arial" w:cs="Arial" w:eastAsia="Arial" w:hAnsi="Arial"/>
                <w:sz w:val="15"/>
                <w:szCs w:val="15"/>
                <w:color w:val="auto"/>
              </w:rPr>
              <w:t>120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days</w:t>
            </w:r>
          </w:p>
        </w:tc>
      </w:tr>
      <w:tr>
        <w:trPr>
          <w:trHeight w:val="427"/>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Concrete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Coring for mechanical systems &amp; tel/data</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Concrete sawcutting &amp; trenching</w:t>
            </w:r>
          </w:p>
        </w:tc>
        <w:tc>
          <w:tcPr>
            <w:tcW w:w="860" w:type="dxa"/>
            <w:vAlign w:val="bottom"/>
          </w:tcPr>
          <w:p>
            <w:pPr>
              <w:jc w:val="right"/>
              <w:spacing w:after="0"/>
              <w:rPr>
                <w:sz w:val="20"/>
                <w:szCs w:val="20"/>
                <w:color w:val="auto"/>
              </w:rPr>
            </w:pPr>
            <w:r>
              <w:rPr>
                <w:rFonts w:ascii="Arial" w:cs="Arial" w:eastAsia="Arial" w:hAnsi="Arial"/>
                <w:sz w:val="15"/>
                <w:szCs w:val="15"/>
                <w:color w:val="auto"/>
              </w:rPr>
              <w:t>350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If</w:t>
            </w:r>
          </w:p>
        </w:tc>
      </w:tr>
      <w:tr>
        <w:trPr>
          <w:trHeight w:val="24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Concrete slab openings for shafts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Equipment pads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Patch floors at floor drains</w:t>
            </w:r>
          </w:p>
        </w:tc>
        <w:tc>
          <w:tcPr>
            <w:tcW w:w="860" w:type="dxa"/>
            <w:vAlign w:val="bottom"/>
          </w:tcPr>
          <w:p>
            <w:pPr>
              <w:jc w:val="right"/>
              <w:spacing w:after="0"/>
              <w:rPr>
                <w:sz w:val="20"/>
                <w:szCs w:val="20"/>
                <w:color w:val="auto"/>
              </w:rPr>
            </w:pPr>
            <w:r>
              <w:rPr>
                <w:rFonts w:ascii="Arial" w:cs="Arial" w:eastAsia="Arial" w:hAnsi="Arial"/>
                <w:sz w:val="15"/>
                <w:szCs w:val="15"/>
                <w:color w:val="auto"/>
              </w:rPr>
              <w:t>20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209"/>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Create a floor opening to allow basement mechanical deliveries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427"/>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Structural Steel/Misc Metals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Roof top dunnage for units</w:t>
            </w: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Steel reinforcement for mechanical units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Steel shaft &amp; floor reinforcement</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Secondary AHUs steel support</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Screen walls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48"/>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Carpentry</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9"/>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Door and hardware installation</w:t>
            </w:r>
          </w:p>
        </w:tc>
        <w:tc>
          <w:tcPr>
            <w:tcW w:w="860" w:type="dxa"/>
            <w:vAlign w:val="bottom"/>
          </w:tcPr>
          <w:p>
            <w:pPr>
              <w:jc w:val="right"/>
              <w:spacing w:after="0"/>
              <w:rPr>
                <w:sz w:val="20"/>
                <w:szCs w:val="20"/>
                <w:color w:val="auto"/>
              </w:rPr>
            </w:pPr>
            <w:r>
              <w:rPr>
                <w:rFonts w:ascii="Arial" w:cs="Arial" w:eastAsia="Arial" w:hAnsi="Arial"/>
                <w:sz w:val="15"/>
                <w:szCs w:val="15"/>
                <w:color w:val="auto"/>
              </w:rPr>
              <w:t>68</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20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General carpentry</w:t>
            </w:r>
          </w:p>
        </w:tc>
        <w:tc>
          <w:tcPr>
            <w:tcW w:w="860" w:type="dxa"/>
            <w:vAlign w:val="bottom"/>
          </w:tcPr>
          <w:p>
            <w:pPr>
              <w:jc w:val="right"/>
              <w:spacing w:after="0"/>
              <w:rPr>
                <w:sz w:val="20"/>
                <w:szCs w:val="20"/>
                <w:color w:val="auto"/>
              </w:rPr>
            </w:pPr>
            <w:r>
              <w:rPr>
                <w:rFonts w:ascii="Arial" w:cs="Arial" w:eastAsia="Arial" w:hAnsi="Arial"/>
                <w:sz w:val="15"/>
                <w:szCs w:val="15"/>
                <w:color w:val="auto"/>
              </w:rPr>
              <w:t>50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days</w:t>
            </w: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Carpentry material</w:t>
            </w:r>
          </w:p>
        </w:tc>
        <w:tc>
          <w:tcPr>
            <w:tcW w:w="860" w:type="dxa"/>
            <w:vAlign w:val="bottom"/>
          </w:tcPr>
          <w:p>
            <w:pPr>
              <w:jc w:val="right"/>
              <w:spacing w:after="0"/>
              <w:rPr>
                <w:sz w:val="20"/>
                <w:szCs w:val="20"/>
                <w:color w:val="auto"/>
              </w:rPr>
            </w:pPr>
            <w:r>
              <w:rPr>
                <w:rFonts w:ascii="Arial" w:cs="Arial" w:eastAsia="Arial" w:hAnsi="Arial"/>
                <w:sz w:val="15"/>
                <w:szCs w:val="15"/>
                <w:color w:val="auto"/>
              </w:rPr>
              <w:t>50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days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Interior blocking</w:t>
            </w:r>
          </w:p>
        </w:tc>
        <w:tc>
          <w:tcPr>
            <w:tcW w:w="860" w:type="dxa"/>
            <w:vAlign w:val="bottom"/>
          </w:tcPr>
          <w:p>
            <w:pPr>
              <w:jc w:val="right"/>
              <w:spacing w:after="0"/>
              <w:rPr>
                <w:sz w:val="20"/>
                <w:szCs w:val="20"/>
                <w:color w:val="auto"/>
              </w:rPr>
            </w:pPr>
            <w:r>
              <w:rPr>
                <w:rFonts w:ascii="Arial" w:cs="Arial" w:eastAsia="Arial" w:hAnsi="Arial"/>
                <w:sz w:val="15"/>
                <w:szCs w:val="15"/>
                <w:color w:val="auto"/>
              </w:rPr>
              <w:t>2,995</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If</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Barricades/safety</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19"/>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Install specialties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Millwork</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10/30/2015</w:t>
            </w:r>
          </w:p>
        </w:tc>
      </w:tr>
      <w:tr>
        <w:trPr>
          <w:trHeight w:val="317"/>
        </w:trPr>
        <w:tc>
          <w:tcPr>
            <w:tcW w:w="940" w:type="dxa"/>
            <w:vAlign w:val="bottom"/>
            <w:gridSpan w:val="2"/>
          </w:tcPr>
          <w:p>
            <w:pPr>
              <w:ind w:left="260"/>
              <w:spacing w:after="0"/>
              <w:rPr>
                <w:sz w:val="20"/>
                <w:szCs w:val="20"/>
                <w:color w:val="auto"/>
              </w:rPr>
            </w:pPr>
            <w:r>
              <w:rPr>
                <w:rFonts w:ascii="Arial" w:cs="Arial" w:eastAsia="Arial" w:hAnsi="Arial"/>
                <w:sz w:val="12"/>
                <w:szCs w:val="12"/>
                <w:b w:val="1"/>
                <w:bCs w:val="1"/>
                <w:color w:val="auto"/>
              </w:rPr>
              <w:t>Unit $</w:t>
            </w:r>
          </w:p>
        </w:tc>
        <w:tc>
          <w:tcPr>
            <w:tcW w:w="1160" w:type="dxa"/>
            <w:vAlign w:val="bottom"/>
            <w:gridSpan w:val="2"/>
          </w:tcPr>
          <w:p>
            <w:pPr>
              <w:ind w:left="300"/>
              <w:spacing w:after="0"/>
              <w:rPr>
                <w:sz w:val="20"/>
                <w:szCs w:val="20"/>
                <w:color w:val="auto"/>
              </w:rPr>
            </w:pPr>
            <w:r>
              <w:rPr>
                <w:rFonts w:ascii="Arial" w:cs="Arial" w:eastAsia="Arial" w:hAnsi="Arial"/>
                <w:sz w:val="12"/>
                <w:szCs w:val="12"/>
                <w:b w:val="1"/>
                <w:bCs w:val="1"/>
                <w:color w:val="auto"/>
              </w:rPr>
              <w:t>Line Sum</w:t>
            </w:r>
          </w:p>
        </w:tc>
        <w:tc>
          <w:tcPr>
            <w:tcW w:w="1280" w:type="dxa"/>
            <w:vAlign w:val="bottom"/>
          </w:tcPr>
          <w:p>
            <w:pPr>
              <w:jc w:val="right"/>
              <w:ind w:right="352"/>
              <w:spacing w:after="0"/>
              <w:rPr>
                <w:sz w:val="20"/>
                <w:szCs w:val="20"/>
                <w:color w:val="auto"/>
              </w:rPr>
            </w:pPr>
            <w:r>
              <w:rPr>
                <w:rFonts w:ascii="Arial" w:cs="Arial" w:eastAsia="Arial" w:hAnsi="Arial"/>
                <w:sz w:val="12"/>
                <w:szCs w:val="12"/>
                <w:b w:val="1"/>
                <w:bCs w:val="1"/>
                <w:color w:val="auto"/>
              </w:rPr>
              <w:t>Div. Sum</w:t>
            </w:r>
          </w:p>
        </w:tc>
      </w:tr>
      <w:tr>
        <w:trPr>
          <w:trHeight w:val="560"/>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16,965</w:t>
            </w:r>
          </w:p>
        </w:tc>
        <w:tc>
          <w:tcPr>
            <w:tcW w:w="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97"/>
        </w:trPr>
        <w:tc>
          <w:tcPr>
            <w:tcW w:w="860" w:type="dxa"/>
            <w:vAlign w:val="bottom"/>
          </w:tcPr>
          <w:p>
            <w:pPr>
              <w:jc w:val="right"/>
              <w:spacing w:after="0"/>
              <w:rPr>
                <w:sz w:val="20"/>
                <w:szCs w:val="20"/>
                <w:color w:val="auto"/>
              </w:rPr>
            </w:pPr>
            <w:r>
              <w:rPr>
                <w:rFonts w:ascii="Arial" w:cs="Arial" w:eastAsia="Arial" w:hAnsi="Arial"/>
                <w:sz w:val="15"/>
                <w:szCs w:val="15"/>
                <w:color w:val="auto"/>
              </w:rPr>
              <w:t>750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11,250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86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2,750</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7"/>
        </w:trPr>
        <w:tc>
          <w:tcPr>
            <w:tcW w:w="860" w:type="dxa"/>
            <w:vAlign w:val="bottom"/>
          </w:tcPr>
          <w:p>
            <w:pPr>
              <w:jc w:val="right"/>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6,825</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7"/>
        </w:trPr>
        <w:tc>
          <w:tcPr>
            <w:tcW w:w="860" w:type="dxa"/>
            <w:vAlign w:val="bottom"/>
          </w:tcPr>
          <w:p>
            <w:pPr>
              <w:jc w:val="right"/>
              <w:spacing w:after="0"/>
              <w:rPr>
                <w:sz w:val="20"/>
                <w:szCs w:val="20"/>
                <w:color w:val="auto"/>
              </w:rPr>
            </w:pPr>
            <w:r>
              <w:rPr>
                <w:rFonts w:ascii="Arial" w:cs="Arial" w:eastAsia="Arial" w:hAnsi="Arial"/>
                <w:sz w:val="15"/>
                <w:szCs w:val="15"/>
                <w:color w:val="auto"/>
              </w:rPr>
              <w:t>14,000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14,000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7"/>
        </w:trPr>
        <w:tc>
          <w:tcPr>
            <w:tcW w:w="86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7"/>
        </w:trPr>
        <w:tc>
          <w:tcPr>
            <w:tcW w:w="860" w:type="dxa"/>
            <w:vAlign w:val="bottom"/>
          </w:tcPr>
          <w:p>
            <w:pPr>
              <w:jc w:val="right"/>
              <w:spacing w:after="0"/>
              <w:rPr>
                <w:sz w:val="20"/>
                <w:szCs w:val="20"/>
                <w:color w:val="auto"/>
              </w:rPr>
            </w:pPr>
            <w:r>
              <w:rPr>
                <w:rFonts w:ascii="Arial" w:cs="Arial" w:eastAsia="Arial" w:hAnsi="Arial"/>
                <w:sz w:val="15"/>
                <w:szCs w:val="15"/>
                <w:color w:val="auto"/>
              </w:rPr>
              <w:t>975</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117,000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$173,790</w:t>
            </w:r>
          </w:p>
        </w:tc>
      </w:tr>
    </w:tbl>
    <w:p>
      <w:pPr>
        <w:spacing w:after="0" w:line="251" w:lineRule="exact"/>
        <w:rPr>
          <w:sz w:val="20"/>
          <w:szCs w:val="20"/>
          <w:color w:val="auto"/>
        </w:rPr>
      </w:pPr>
    </w:p>
    <w:p>
      <w:pPr>
        <w:ind w:left="480"/>
        <w:spacing w:after="0"/>
        <w:tabs>
          <w:tab w:leader="none" w:pos="1620" w:val="left"/>
        </w:tabs>
        <w:rPr>
          <w:sz w:val="20"/>
          <w:szCs w:val="20"/>
          <w:color w:val="auto"/>
        </w:rPr>
      </w:pPr>
      <w:r>
        <w:rPr>
          <w:rFonts w:ascii="Arial" w:cs="Arial" w:eastAsia="Arial" w:hAnsi="Arial"/>
          <w:sz w:val="15"/>
          <w:szCs w:val="15"/>
          <w:color w:val="auto"/>
        </w:rPr>
        <w:t>8,000</w:t>
      </w:r>
      <w:r>
        <w:rPr>
          <w:sz w:val="20"/>
          <w:szCs w:val="20"/>
          <w:color w:val="auto"/>
        </w:rPr>
        <w:tab/>
      </w:r>
      <w:r>
        <w:rPr>
          <w:rFonts w:ascii="Arial" w:cs="Arial" w:eastAsia="Arial" w:hAnsi="Arial"/>
          <w:sz w:val="15"/>
          <w:szCs w:val="15"/>
          <w:color w:val="auto"/>
        </w:rPr>
        <w:t>8,000</w:t>
      </w:r>
    </w:p>
    <w:p>
      <w:pPr>
        <w:spacing w:after="0" w:line="35" w:lineRule="exact"/>
        <w:rPr>
          <w:sz w:val="20"/>
          <w:szCs w:val="20"/>
          <w:color w:val="auto"/>
        </w:rPr>
      </w:pPr>
    </w:p>
    <w:p>
      <w:pPr>
        <w:ind w:left="1560" w:hanging="959"/>
        <w:spacing w:after="0"/>
        <w:tabs>
          <w:tab w:leader="none" w:pos="156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43,750</w:t>
      </w:r>
    </w:p>
    <w:p>
      <w:pPr>
        <w:spacing w:after="0" w:line="35"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65,000</w:t>
      </w:r>
      <w:r>
        <w:rPr>
          <w:rFonts w:ascii="Arial" w:cs="Arial" w:eastAsia="Arial" w:hAnsi="Arial"/>
          <w:sz w:val="14"/>
          <w:szCs w:val="14"/>
          <w:color w:val="auto"/>
        </w:rPr>
        <w:t>65,000</w:t>
      </w:r>
    </w:p>
    <w:p>
      <w:pPr>
        <w:spacing w:after="0" w:line="35"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5"/>
          <w:szCs w:val="15"/>
          <w:color w:val="auto"/>
        </w:rPr>
        <w:t>22,000</w:t>
      </w:r>
      <w:r>
        <w:rPr>
          <w:sz w:val="20"/>
          <w:szCs w:val="20"/>
          <w:color w:val="auto"/>
        </w:rPr>
        <w:tab/>
      </w:r>
      <w:r>
        <w:rPr>
          <w:rFonts w:ascii="Arial" w:cs="Arial" w:eastAsia="Arial" w:hAnsi="Arial"/>
          <w:sz w:val="15"/>
          <w:szCs w:val="15"/>
          <w:color w:val="auto"/>
        </w:rPr>
        <w:t>22,000</w:t>
      </w:r>
    </w:p>
    <w:p>
      <w:pPr>
        <w:spacing w:after="0" w:line="35" w:lineRule="exact"/>
        <w:rPr>
          <w:sz w:val="20"/>
          <w:szCs w:val="20"/>
          <w:color w:val="auto"/>
        </w:rPr>
      </w:pPr>
    </w:p>
    <w:p>
      <w:pPr>
        <w:ind w:left="1640" w:hanging="1039"/>
        <w:spacing w:after="0"/>
        <w:tabs>
          <w:tab w:leader="none" w:pos="164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5,500</w:t>
      </w:r>
    </w:p>
    <w:p>
      <w:pPr>
        <w:spacing w:after="0" w:line="35"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10,000</w:t>
      </w:r>
      <w:r>
        <w:rPr>
          <w:rFonts w:ascii="Arial" w:cs="Arial" w:eastAsia="Arial" w:hAnsi="Arial"/>
          <w:sz w:val="14"/>
          <w:szCs w:val="14"/>
          <w:color w:val="auto"/>
        </w:rPr>
        <w:t>10,000</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$154,250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13970</wp:posOffset>
            </wp:positionV>
            <wp:extent cx="81978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840" w:type="dxa"/>
            <w:vAlign w:val="bottom"/>
          </w:tcPr>
          <w:p>
            <w:pPr>
              <w:jc w:val="right"/>
              <w:ind w:right="247"/>
              <w:spacing w:after="0"/>
              <w:rPr>
                <w:sz w:val="20"/>
                <w:szCs w:val="20"/>
                <w:color w:val="auto"/>
              </w:rPr>
            </w:pPr>
            <w:r>
              <w:rPr>
                <w:rFonts w:ascii="Arial" w:cs="Arial" w:eastAsia="Arial" w:hAnsi="Arial"/>
                <w:sz w:val="15"/>
                <w:szCs w:val="15"/>
                <w:color w:val="auto"/>
                <w:w w:val="92"/>
              </w:rPr>
              <w:t>117,000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234,000</w:t>
            </w:r>
          </w:p>
        </w:tc>
        <w:tc>
          <w:tcPr>
            <w:tcW w:w="1280" w:type="dxa"/>
            <w:vAlign w:val="bottom"/>
          </w:tcPr>
          <w:p>
            <w:pPr>
              <w:spacing w:after="0"/>
              <w:rPr>
                <w:sz w:val="15"/>
                <w:szCs w:val="15"/>
                <w:color w:val="auto"/>
              </w:rPr>
            </w:pPr>
          </w:p>
        </w:tc>
      </w:tr>
      <w:tr>
        <w:trPr>
          <w:trHeight w:val="207"/>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80,000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80,000</w:t>
            </w:r>
          </w:p>
        </w:tc>
        <w:tc>
          <w:tcPr>
            <w:tcW w:w="1280" w:type="dxa"/>
            <w:vAlign w:val="bottom"/>
          </w:tcPr>
          <w:p>
            <w:pPr>
              <w:spacing w:after="0"/>
              <w:rPr>
                <w:sz w:val="17"/>
                <w:szCs w:val="17"/>
                <w:color w:val="auto"/>
              </w:rPr>
            </w:pPr>
          </w:p>
        </w:tc>
      </w:tr>
      <w:tr>
        <w:trPr>
          <w:trHeight w:val="176"/>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95,000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95,000</w:t>
            </w:r>
          </w:p>
        </w:tc>
        <w:tc>
          <w:tcPr>
            <w:tcW w:w="1280" w:type="dxa"/>
            <w:vAlign w:val="bottom"/>
          </w:tcPr>
          <w:p>
            <w:pPr>
              <w:spacing w:after="0"/>
              <w:rPr>
                <w:sz w:val="15"/>
                <w:szCs w:val="15"/>
                <w:color w:val="auto"/>
              </w:rPr>
            </w:pPr>
          </w:p>
        </w:tc>
      </w:tr>
      <w:tr>
        <w:trPr>
          <w:trHeight w:val="241"/>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35,000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35,000</w:t>
            </w:r>
          </w:p>
        </w:tc>
        <w:tc>
          <w:tcPr>
            <w:tcW w:w="1280" w:type="dxa"/>
            <w:vAlign w:val="bottom"/>
          </w:tcPr>
          <w:p>
            <w:pPr>
              <w:spacing w:after="0"/>
              <w:rPr>
                <w:sz w:val="20"/>
                <w:szCs w:val="20"/>
                <w:color w:val="auto"/>
              </w:rPr>
            </w:pPr>
          </w:p>
        </w:tc>
      </w:tr>
      <w:tr>
        <w:trPr>
          <w:trHeight w:val="208"/>
        </w:trPr>
        <w:tc>
          <w:tcPr>
            <w:tcW w:w="840" w:type="dxa"/>
            <w:vAlign w:val="bottom"/>
          </w:tcPr>
          <w:p>
            <w:pPr>
              <w:spacing w:after="0"/>
              <w:rPr>
                <w:sz w:val="18"/>
                <w:szCs w:val="18"/>
                <w:color w:val="auto"/>
              </w:rPr>
            </w:pPr>
          </w:p>
        </w:tc>
        <w:tc>
          <w:tcPr>
            <w:tcW w:w="2220" w:type="dxa"/>
            <w:vAlign w:val="bottom"/>
            <w:gridSpan w:val="2"/>
          </w:tcPr>
          <w:p>
            <w:pPr>
              <w:jc w:val="right"/>
              <w:ind w:right="1380"/>
              <w:spacing w:after="0"/>
              <w:rPr>
                <w:sz w:val="20"/>
                <w:szCs w:val="20"/>
                <w:color w:val="auto"/>
              </w:rPr>
            </w:pPr>
            <w:r>
              <w:rPr>
                <w:rFonts w:ascii="Arial" w:cs="Arial" w:eastAsia="Arial" w:hAnsi="Arial"/>
                <w:sz w:val="15"/>
                <w:szCs w:val="15"/>
                <w:color w:val="auto"/>
              </w:rPr>
              <w:t>NIC</w:t>
            </w:r>
          </w:p>
        </w:tc>
      </w:tr>
      <w:tr>
        <w:trPr>
          <w:trHeight w:val="404"/>
        </w:trPr>
        <w:tc>
          <w:tcPr>
            <w:tcW w:w="84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5"/>
                <w:szCs w:val="15"/>
                <w:b w:val="1"/>
                <w:bCs w:val="1"/>
                <w:color w:val="auto"/>
              </w:rPr>
              <w:t>$444,000</w:t>
            </w:r>
          </w:p>
        </w:tc>
      </w:tr>
      <w:tr>
        <w:trPr>
          <w:trHeight w:val="177"/>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750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51,000</w:t>
            </w:r>
          </w:p>
        </w:tc>
        <w:tc>
          <w:tcPr>
            <w:tcW w:w="1280" w:type="dxa"/>
            <w:vAlign w:val="bottom"/>
            <w:tcBorders>
              <w:top w:val="single" w:sz="8" w:color="auto"/>
            </w:tcBorders>
          </w:tcPr>
          <w:p>
            <w:pPr>
              <w:spacing w:after="0"/>
              <w:rPr>
                <w:sz w:val="15"/>
                <w:szCs w:val="15"/>
                <w:color w:val="auto"/>
              </w:rPr>
            </w:pPr>
          </w:p>
        </w:tc>
      </w:tr>
      <w:tr>
        <w:trPr>
          <w:trHeight w:val="240"/>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874</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43,700</w:t>
            </w:r>
          </w:p>
        </w:tc>
        <w:tc>
          <w:tcPr>
            <w:tcW w:w="1280" w:type="dxa"/>
            <w:vAlign w:val="bottom"/>
          </w:tcPr>
          <w:p>
            <w:pPr>
              <w:spacing w:after="0"/>
              <w:rPr>
                <w:sz w:val="20"/>
                <w:szCs w:val="20"/>
                <w:color w:val="auto"/>
              </w:rPr>
            </w:pPr>
          </w:p>
        </w:tc>
      </w:tr>
      <w:tr>
        <w:trPr>
          <w:trHeight w:val="208"/>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280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14,000</w:t>
            </w:r>
          </w:p>
        </w:tc>
        <w:tc>
          <w:tcPr>
            <w:tcW w:w="1280" w:type="dxa"/>
            <w:vAlign w:val="bottom"/>
          </w:tcPr>
          <w:p>
            <w:pPr>
              <w:spacing w:after="0"/>
              <w:rPr>
                <w:sz w:val="18"/>
                <w:szCs w:val="18"/>
                <w:color w:val="auto"/>
              </w:rPr>
            </w:pPr>
          </w:p>
        </w:tc>
      </w:tr>
      <w:tr>
        <w:trPr>
          <w:trHeight w:val="176"/>
        </w:trPr>
        <w:tc>
          <w:tcPr>
            <w:tcW w:w="840" w:type="dxa"/>
            <w:vAlign w:val="bottom"/>
          </w:tcPr>
          <w:p>
            <w:pPr>
              <w:jc w:val="right"/>
              <w:ind w:right="247"/>
              <w:spacing w:after="0"/>
              <w:rPr>
                <w:sz w:val="20"/>
                <w:szCs w:val="20"/>
                <w:color w:val="auto"/>
              </w:rPr>
            </w:pPr>
            <w:r>
              <w:rPr>
                <w:rFonts w:ascii="Arial" w:cs="Arial" w:eastAsia="Arial" w:hAnsi="Arial"/>
                <w:sz w:val="15"/>
                <w:szCs w:val="15"/>
                <w:color w:val="auto"/>
              </w:rPr>
              <w:t>7</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20,965</w:t>
            </w:r>
          </w:p>
        </w:tc>
        <w:tc>
          <w:tcPr>
            <w:tcW w:w="1280" w:type="dxa"/>
            <w:vAlign w:val="bottom"/>
          </w:tcPr>
          <w:p>
            <w:pPr>
              <w:spacing w:after="0"/>
              <w:rPr>
                <w:sz w:val="15"/>
                <w:szCs w:val="15"/>
                <w:color w:val="auto"/>
              </w:rPr>
            </w:pPr>
          </w:p>
        </w:tc>
      </w:tr>
    </w:tbl>
    <w:p>
      <w:pPr>
        <w:ind w:left="1640" w:hanging="1039"/>
        <w:spacing w:after="0" w:line="180" w:lineRule="auto"/>
        <w:tabs>
          <w:tab w:leader="none" w:pos="1640" w:val="left"/>
        </w:tabs>
        <w:numPr>
          <w:ilvl w:val="0"/>
          <w:numId w:val="200"/>
        </w:numPr>
        <w:rPr>
          <w:rFonts w:ascii="Arial" w:cs="Arial" w:eastAsia="Arial" w:hAnsi="Arial"/>
          <w:sz w:val="24"/>
          <w:szCs w:val="24"/>
          <w:color w:val="auto"/>
          <w:vertAlign w:val="subscript"/>
        </w:rPr>
      </w:pPr>
      <w:r>
        <w:rPr>
          <w:rFonts w:ascii="Arial" w:cs="Arial" w:eastAsia="Arial" w:hAnsi="Arial"/>
          <w:sz w:val="13"/>
          <w:szCs w:val="13"/>
          <w:color w:val="auto"/>
        </w:rPr>
        <w:t>4,800</w:t>
      </w:r>
    </w:p>
    <w:p>
      <w:pPr>
        <w:spacing w:after="0" w:line="43" w:lineRule="exact"/>
        <w:rPr>
          <w:rFonts w:ascii="Arial" w:cs="Arial" w:eastAsia="Arial" w:hAnsi="Arial"/>
          <w:sz w:val="24"/>
          <w:szCs w:val="24"/>
          <w:color w:val="auto"/>
          <w:vertAlign w:val="subscript"/>
        </w:rPr>
      </w:pPr>
    </w:p>
    <w:p>
      <w:pPr>
        <w:ind w:left="520"/>
        <w:spacing w:after="0"/>
        <w:rPr>
          <w:rFonts w:ascii="Arial" w:cs="Arial" w:eastAsia="Arial" w:hAnsi="Arial"/>
          <w:sz w:val="24"/>
          <w:szCs w:val="24"/>
          <w:color w:val="auto"/>
          <w:vertAlign w:val="subscript"/>
        </w:rPr>
      </w:pPr>
      <w:r>
        <w:rPr>
          <w:rFonts w:ascii="Arial" w:cs="Arial" w:eastAsia="Arial" w:hAnsi="Arial"/>
          <w:sz w:val="15"/>
          <w:szCs w:val="15"/>
          <w:color w:val="auto"/>
        </w:rPr>
        <w:t>8000</w:t>
      </w:r>
      <w:r>
        <w:rPr>
          <w:rFonts w:ascii="Arial" w:cs="Arial" w:eastAsia="Arial" w:hAnsi="Arial"/>
          <w:sz w:val="14"/>
          <w:szCs w:val="14"/>
          <w:color w:val="auto"/>
        </w:rPr>
        <w:t>8,000</w:t>
      </w:r>
    </w:p>
    <w:p>
      <w:pPr>
        <w:spacing w:after="0" w:line="39"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$142,465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13970</wp:posOffset>
            </wp:positionV>
            <wp:extent cx="81978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8000" w:space="100"/>
            <w:col w:w="3380"/>
          </w:cols>
          <w:pgMar w:left="220" w:top="1050" w:right="199" w:bottom="1440" w:gutter="0" w:footer="0" w:header="0"/>
        </w:sectPr>
      </w:pPr>
    </w:p>
    <w:tbl>
      <w:tblPr>
        <w:tblLayout w:type="fixed"/>
        <w:tblInd w:w="0" w:type="dxa"/>
        <w:tblCellMar>
          <w:top w:w="0" w:type="dxa"/>
          <w:left w:w="0" w:type="dxa"/>
          <w:bottom w:w="0" w:type="dxa"/>
          <w:right w:w="0" w:type="dxa"/>
        </w:tblCellMar>
      </w:tblPr>
      <w:tr>
        <w:trPr>
          <w:trHeight w:val="176"/>
        </w:trPr>
        <w:tc>
          <w:tcPr>
            <w:tcW w:w="4720" w:type="dxa"/>
            <w:vAlign w:val="bottom"/>
          </w:tcPr>
          <w:p>
            <w:pPr>
              <w:ind w:left="200"/>
              <w:spacing w:after="0"/>
              <w:rPr>
                <w:sz w:val="20"/>
                <w:szCs w:val="20"/>
                <w:color w:val="auto"/>
              </w:rPr>
            </w:pPr>
            <w:r>
              <w:rPr>
                <w:rFonts w:ascii="Arial" w:cs="Arial" w:eastAsia="Arial" w:hAnsi="Arial"/>
                <w:sz w:val="15"/>
                <w:szCs w:val="15"/>
                <w:color w:val="auto"/>
              </w:rPr>
              <w:t>Signage</w:t>
            </w:r>
          </w:p>
        </w:tc>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NIC</w:t>
            </w:r>
          </w:p>
        </w:tc>
      </w:tr>
      <w:tr>
        <w:trPr>
          <w:trHeight w:val="415"/>
        </w:trPr>
        <w:tc>
          <w:tcPr>
            <w:tcW w:w="4720" w:type="dxa"/>
            <w:vAlign w:val="bottom"/>
          </w:tcPr>
          <w:p>
            <w:pPr>
              <w:spacing w:after="0"/>
              <w:rPr>
                <w:sz w:val="20"/>
                <w:szCs w:val="20"/>
                <w:color w:val="auto"/>
              </w:rPr>
            </w:pPr>
            <w:r>
              <w:rPr>
                <w:rFonts w:ascii="Arial" w:cs="Arial" w:eastAsia="Arial" w:hAnsi="Arial"/>
                <w:sz w:val="15"/>
                <w:szCs w:val="15"/>
                <w:b w:val="1"/>
                <w:bCs w:val="1"/>
                <w:color w:val="auto"/>
              </w:rPr>
              <w:t>Roofing/Thermal Moisture Protection</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8"/>
        </w:trPr>
        <w:tc>
          <w:tcPr>
            <w:tcW w:w="4720" w:type="dxa"/>
            <w:vAlign w:val="bottom"/>
          </w:tcPr>
          <w:p>
            <w:pPr>
              <w:ind w:left="200"/>
              <w:spacing w:after="0"/>
              <w:rPr>
                <w:sz w:val="20"/>
                <w:szCs w:val="20"/>
                <w:color w:val="auto"/>
              </w:rPr>
            </w:pPr>
            <w:r>
              <w:rPr>
                <w:rFonts w:ascii="Arial" w:cs="Arial" w:eastAsia="Arial" w:hAnsi="Arial"/>
                <w:sz w:val="15"/>
                <w:szCs w:val="15"/>
                <w:color w:val="auto"/>
              </w:rPr>
              <w:t>Roofing for steel dunnage</w:t>
            </w:r>
          </w:p>
        </w:tc>
        <w:tc>
          <w:tcPr>
            <w:tcW w:w="236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900" w:type="dxa"/>
            <w:vAlign w:val="bottom"/>
          </w:tcPr>
          <w:p>
            <w:pPr>
              <w:ind w:left="60"/>
              <w:spacing w:after="0"/>
              <w:rPr>
                <w:sz w:val="20"/>
                <w:szCs w:val="20"/>
                <w:color w:val="auto"/>
              </w:rPr>
            </w:pPr>
            <w:r>
              <w:rPr>
                <w:rFonts w:ascii="Arial" w:cs="Arial" w:eastAsia="Arial" w:hAnsi="Arial"/>
                <w:sz w:val="15"/>
                <w:szCs w:val="15"/>
                <w:color w:val="auto"/>
              </w:rPr>
              <w:t>days</w:t>
            </w:r>
          </w:p>
        </w:tc>
        <w:tc>
          <w:tcPr>
            <w:tcW w:w="1320" w:type="dxa"/>
            <w:vAlign w:val="bottom"/>
          </w:tcPr>
          <w:p>
            <w:pPr>
              <w:jc w:val="right"/>
              <w:ind w:right="287"/>
              <w:spacing w:after="0"/>
              <w:rPr>
                <w:sz w:val="20"/>
                <w:szCs w:val="20"/>
                <w:color w:val="auto"/>
              </w:rPr>
            </w:pPr>
            <w:r>
              <w:rPr>
                <w:rFonts w:ascii="Arial" w:cs="Arial" w:eastAsia="Arial" w:hAnsi="Arial"/>
                <w:sz w:val="15"/>
                <w:szCs w:val="15"/>
                <w:color w:val="auto"/>
              </w:rPr>
              <w:t>1,150</w:t>
            </w:r>
          </w:p>
        </w:tc>
        <w:tc>
          <w:tcPr>
            <w:tcW w:w="800" w:type="dxa"/>
            <w:vAlign w:val="bottom"/>
          </w:tcPr>
          <w:p>
            <w:pPr>
              <w:jc w:val="right"/>
              <w:spacing w:after="0"/>
              <w:rPr>
                <w:sz w:val="20"/>
                <w:szCs w:val="20"/>
                <w:color w:val="auto"/>
              </w:rPr>
            </w:pPr>
            <w:r>
              <w:rPr>
                <w:rFonts w:ascii="Arial" w:cs="Arial" w:eastAsia="Arial" w:hAnsi="Arial"/>
                <w:sz w:val="15"/>
                <w:szCs w:val="15"/>
                <w:color w:val="auto"/>
              </w:rPr>
              <w:t>20,700</w:t>
            </w:r>
          </w:p>
        </w:tc>
      </w:tr>
      <w:tr>
        <w:trPr>
          <w:trHeight w:val="176"/>
        </w:trPr>
        <w:tc>
          <w:tcPr>
            <w:tcW w:w="4720" w:type="dxa"/>
            <w:vAlign w:val="bottom"/>
          </w:tcPr>
          <w:p>
            <w:pPr>
              <w:ind w:left="200"/>
              <w:spacing w:after="0"/>
              <w:rPr>
                <w:sz w:val="20"/>
                <w:szCs w:val="20"/>
                <w:color w:val="auto"/>
              </w:rPr>
            </w:pPr>
            <w:r>
              <w:rPr>
                <w:rFonts w:ascii="Arial" w:cs="Arial" w:eastAsia="Arial" w:hAnsi="Arial"/>
                <w:sz w:val="15"/>
                <w:szCs w:val="15"/>
                <w:color w:val="auto"/>
              </w:rPr>
              <w:t>Roofing for duct &amp; pipe flashing</w:t>
            </w:r>
          </w:p>
        </w:tc>
        <w:tc>
          <w:tcPr>
            <w:tcW w:w="2360" w:type="dxa"/>
            <w:vAlign w:val="bottom"/>
          </w:tcPr>
          <w:p>
            <w:pPr>
              <w:jc w:val="right"/>
              <w:ind w:right="7"/>
              <w:spacing w:after="0"/>
              <w:rPr>
                <w:sz w:val="20"/>
                <w:szCs w:val="20"/>
                <w:color w:val="auto"/>
              </w:rPr>
            </w:pPr>
            <w:r>
              <w:rPr>
                <w:rFonts w:ascii="Arial" w:cs="Arial" w:eastAsia="Arial" w:hAnsi="Arial"/>
                <w:sz w:val="15"/>
                <w:szCs w:val="15"/>
                <w:color w:val="auto"/>
              </w:rPr>
              <w:t>25</w:t>
            </w:r>
          </w:p>
        </w:tc>
        <w:tc>
          <w:tcPr>
            <w:tcW w:w="900" w:type="dxa"/>
            <w:vAlign w:val="bottom"/>
          </w:tcPr>
          <w:p>
            <w:pPr>
              <w:ind w:left="60"/>
              <w:spacing w:after="0"/>
              <w:rPr>
                <w:sz w:val="20"/>
                <w:szCs w:val="20"/>
                <w:color w:val="auto"/>
              </w:rPr>
            </w:pPr>
            <w:r>
              <w:rPr>
                <w:rFonts w:ascii="Arial" w:cs="Arial" w:eastAsia="Arial" w:hAnsi="Arial"/>
                <w:sz w:val="15"/>
                <w:szCs w:val="15"/>
                <w:color w:val="auto"/>
              </w:rPr>
              <w:t>days</w:t>
            </w:r>
          </w:p>
        </w:tc>
        <w:tc>
          <w:tcPr>
            <w:tcW w:w="1320" w:type="dxa"/>
            <w:vAlign w:val="bottom"/>
          </w:tcPr>
          <w:p>
            <w:pPr>
              <w:jc w:val="right"/>
              <w:ind w:right="287"/>
              <w:spacing w:after="0"/>
              <w:rPr>
                <w:sz w:val="20"/>
                <w:szCs w:val="20"/>
                <w:color w:val="auto"/>
              </w:rPr>
            </w:pPr>
            <w:r>
              <w:rPr>
                <w:rFonts w:ascii="Arial" w:cs="Arial" w:eastAsia="Arial" w:hAnsi="Arial"/>
                <w:sz w:val="15"/>
                <w:szCs w:val="15"/>
                <w:color w:val="auto"/>
              </w:rPr>
              <w:t>1,150</w:t>
            </w:r>
          </w:p>
        </w:tc>
        <w:tc>
          <w:tcPr>
            <w:tcW w:w="800" w:type="dxa"/>
            <w:vAlign w:val="bottom"/>
          </w:tcPr>
          <w:p>
            <w:pPr>
              <w:jc w:val="right"/>
              <w:spacing w:after="0"/>
              <w:rPr>
                <w:sz w:val="20"/>
                <w:szCs w:val="20"/>
                <w:color w:val="auto"/>
              </w:rPr>
            </w:pPr>
            <w:r>
              <w:rPr>
                <w:rFonts w:ascii="Arial" w:cs="Arial" w:eastAsia="Arial" w:hAnsi="Arial"/>
                <w:sz w:val="15"/>
                <w:szCs w:val="15"/>
                <w:color w:val="auto"/>
              </w:rPr>
              <w:t>28,750</w:t>
            </w:r>
          </w:p>
        </w:tc>
      </w:tr>
      <w:tr>
        <w:trPr>
          <w:trHeight w:val="240"/>
        </w:trPr>
        <w:tc>
          <w:tcPr>
            <w:tcW w:w="4720" w:type="dxa"/>
            <w:vAlign w:val="bottom"/>
          </w:tcPr>
          <w:p>
            <w:pPr>
              <w:ind w:left="200"/>
              <w:spacing w:after="0"/>
              <w:rPr>
                <w:sz w:val="20"/>
                <w:szCs w:val="20"/>
                <w:color w:val="auto"/>
              </w:rPr>
            </w:pPr>
            <w:r>
              <w:rPr>
                <w:rFonts w:ascii="Arial" w:cs="Arial" w:eastAsia="Arial" w:hAnsi="Arial"/>
                <w:sz w:val="15"/>
                <w:szCs w:val="15"/>
                <w:color w:val="auto"/>
              </w:rPr>
              <w:t>Interior sealants</w:t>
            </w:r>
          </w:p>
        </w:tc>
        <w:tc>
          <w:tcPr>
            <w:tcW w:w="2360" w:type="dxa"/>
            <w:vAlign w:val="bottom"/>
          </w:tcPr>
          <w:p>
            <w:pPr>
              <w:jc w:val="right"/>
              <w:ind w:right="7"/>
              <w:spacing w:after="0"/>
              <w:rPr>
                <w:sz w:val="20"/>
                <w:szCs w:val="20"/>
                <w:color w:val="auto"/>
              </w:rPr>
            </w:pPr>
            <w:r>
              <w:rPr>
                <w:rFonts w:ascii="Arial" w:cs="Arial" w:eastAsia="Arial" w:hAnsi="Arial"/>
                <w:sz w:val="15"/>
                <w:szCs w:val="15"/>
                <w:color w:val="auto"/>
              </w:rPr>
              <w:t>20</w:t>
            </w:r>
          </w:p>
        </w:tc>
        <w:tc>
          <w:tcPr>
            <w:tcW w:w="900" w:type="dxa"/>
            <w:vAlign w:val="bottom"/>
          </w:tcPr>
          <w:p>
            <w:pPr>
              <w:ind w:left="60"/>
              <w:spacing w:after="0"/>
              <w:rPr>
                <w:sz w:val="20"/>
                <w:szCs w:val="20"/>
                <w:color w:val="auto"/>
              </w:rPr>
            </w:pPr>
            <w:r>
              <w:rPr>
                <w:rFonts w:ascii="Arial" w:cs="Arial" w:eastAsia="Arial" w:hAnsi="Arial"/>
                <w:sz w:val="15"/>
                <w:szCs w:val="15"/>
                <w:color w:val="auto"/>
              </w:rPr>
              <w:t>days</w:t>
            </w:r>
          </w:p>
        </w:tc>
        <w:tc>
          <w:tcPr>
            <w:tcW w:w="1320" w:type="dxa"/>
            <w:vAlign w:val="bottom"/>
          </w:tcPr>
          <w:p>
            <w:pPr>
              <w:jc w:val="right"/>
              <w:ind w:right="287"/>
              <w:spacing w:after="0"/>
              <w:rPr>
                <w:sz w:val="20"/>
                <w:szCs w:val="20"/>
                <w:color w:val="auto"/>
              </w:rPr>
            </w:pPr>
            <w:r>
              <w:rPr>
                <w:rFonts w:ascii="Arial" w:cs="Arial" w:eastAsia="Arial" w:hAnsi="Arial"/>
                <w:sz w:val="15"/>
                <w:szCs w:val="15"/>
                <w:color w:val="auto"/>
              </w:rPr>
              <w:t>2,350</w:t>
            </w:r>
          </w:p>
        </w:tc>
        <w:tc>
          <w:tcPr>
            <w:tcW w:w="800" w:type="dxa"/>
            <w:vAlign w:val="bottom"/>
          </w:tcPr>
          <w:p>
            <w:pPr>
              <w:jc w:val="right"/>
              <w:spacing w:after="0"/>
              <w:rPr>
                <w:sz w:val="20"/>
                <w:szCs w:val="20"/>
                <w:color w:val="auto"/>
              </w:rPr>
            </w:pPr>
            <w:r>
              <w:rPr>
                <w:rFonts w:ascii="Arial" w:cs="Arial" w:eastAsia="Arial" w:hAnsi="Arial"/>
                <w:sz w:val="15"/>
                <w:szCs w:val="15"/>
                <w:color w:val="auto"/>
              </w:rPr>
              <w:t>47,000</w:t>
            </w:r>
          </w:p>
        </w:tc>
      </w:tr>
      <w:tr>
        <w:trPr>
          <w:trHeight w:val="208"/>
        </w:trPr>
        <w:tc>
          <w:tcPr>
            <w:tcW w:w="4720" w:type="dxa"/>
            <w:vAlign w:val="bottom"/>
          </w:tcPr>
          <w:p>
            <w:pPr>
              <w:ind w:left="200"/>
              <w:spacing w:after="0"/>
              <w:rPr>
                <w:sz w:val="20"/>
                <w:szCs w:val="20"/>
                <w:color w:val="auto"/>
              </w:rPr>
            </w:pPr>
            <w:r>
              <w:rPr>
                <w:rFonts w:ascii="Arial" w:cs="Arial" w:eastAsia="Arial" w:hAnsi="Arial"/>
                <w:sz w:val="15"/>
                <w:szCs w:val="15"/>
                <w:color w:val="auto"/>
              </w:rPr>
              <w:t>Fireproofing</w:t>
            </w:r>
          </w:p>
        </w:tc>
        <w:tc>
          <w:tcPr>
            <w:tcW w:w="236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900" w:type="dxa"/>
            <w:vAlign w:val="bottom"/>
          </w:tcPr>
          <w:p>
            <w:pPr>
              <w:ind w:left="60"/>
              <w:spacing w:after="0"/>
              <w:rPr>
                <w:sz w:val="20"/>
                <w:szCs w:val="20"/>
                <w:color w:val="auto"/>
              </w:rPr>
            </w:pPr>
            <w:r>
              <w:rPr>
                <w:rFonts w:ascii="Arial" w:cs="Arial" w:eastAsia="Arial" w:hAnsi="Arial"/>
                <w:sz w:val="15"/>
                <w:szCs w:val="15"/>
                <w:color w:val="auto"/>
              </w:rPr>
              <w:t>Is</w:t>
            </w:r>
          </w:p>
        </w:tc>
        <w:tc>
          <w:tcPr>
            <w:tcW w:w="1320" w:type="dxa"/>
            <w:vAlign w:val="bottom"/>
          </w:tcPr>
          <w:p>
            <w:pPr>
              <w:jc w:val="right"/>
              <w:ind w:right="287"/>
              <w:spacing w:after="0"/>
              <w:rPr>
                <w:sz w:val="20"/>
                <w:szCs w:val="20"/>
                <w:color w:val="auto"/>
              </w:rPr>
            </w:pPr>
            <w:r>
              <w:rPr>
                <w:rFonts w:ascii="Arial" w:cs="Arial" w:eastAsia="Arial" w:hAnsi="Arial"/>
                <w:sz w:val="15"/>
                <w:szCs w:val="15"/>
                <w:color w:val="auto"/>
              </w:rPr>
              <w:t>55,000</w:t>
            </w:r>
          </w:p>
        </w:tc>
        <w:tc>
          <w:tcPr>
            <w:tcW w:w="800" w:type="dxa"/>
            <w:vAlign w:val="bottom"/>
          </w:tcPr>
          <w:p>
            <w:pPr>
              <w:jc w:val="right"/>
              <w:spacing w:after="0"/>
              <w:rPr>
                <w:sz w:val="20"/>
                <w:szCs w:val="20"/>
                <w:color w:val="auto"/>
              </w:rPr>
            </w:pPr>
            <w:r>
              <w:rPr>
                <w:rFonts w:ascii="Arial" w:cs="Arial" w:eastAsia="Arial" w:hAnsi="Arial"/>
                <w:sz w:val="15"/>
                <w:szCs w:val="15"/>
                <w:color w:val="auto"/>
              </w:rPr>
              <w:t>55,000</w:t>
            </w:r>
          </w:p>
        </w:tc>
      </w:tr>
      <w:tr>
        <w:trPr>
          <w:trHeight w:val="187"/>
        </w:trPr>
        <w:tc>
          <w:tcPr>
            <w:tcW w:w="4720" w:type="dxa"/>
            <w:vAlign w:val="bottom"/>
          </w:tcPr>
          <w:p>
            <w:pPr>
              <w:ind w:left="200"/>
              <w:spacing w:after="0"/>
              <w:rPr>
                <w:sz w:val="20"/>
                <w:szCs w:val="20"/>
                <w:color w:val="auto"/>
              </w:rPr>
            </w:pPr>
            <w:r>
              <w:rPr>
                <w:rFonts w:ascii="Arial" w:cs="Arial" w:eastAsia="Arial" w:hAnsi="Arial"/>
                <w:sz w:val="15"/>
                <w:szCs w:val="15"/>
                <w:color w:val="auto"/>
              </w:rPr>
              <w:t>Firestopping</w:t>
            </w:r>
          </w:p>
        </w:tc>
        <w:tc>
          <w:tcPr>
            <w:tcW w:w="236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900" w:type="dxa"/>
            <w:vAlign w:val="bottom"/>
          </w:tcPr>
          <w:p>
            <w:pPr>
              <w:ind w:left="60"/>
              <w:spacing w:after="0"/>
              <w:rPr>
                <w:sz w:val="20"/>
                <w:szCs w:val="20"/>
                <w:color w:val="auto"/>
              </w:rPr>
            </w:pPr>
            <w:r>
              <w:rPr>
                <w:rFonts w:ascii="Arial" w:cs="Arial" w:eastAsia="Arial" w:hAnsi="Arial"/>
                <w:sz w:val="15"/>
                <w:szCs w:val="15"/>
                <w:color w:val="auto"/>
              </w:rPr>
              <w:t>Is</w:t>
            </w:r>
          </w:p>
        </w:tc>
        <w:tc>
          <w:tcPr>
            <w:tcW w:w="1320" w:type="dxa"/>
            <w:vAlign w:val="bottom"/>
          </w:tcPr>
          <w:p>
            <w:pPr>
              <w:jc w:val="right"/>
              <w:ind w:right="287"/>
              <w:spacing w:after="0"/>
              <w:rPr>
                <w:sz w:val="20"/>
                <w:szCs w:val="20"/>
                <w:color w:val="auto"/>
              </w:rPr>
            </w:pPr>
            <w:r>
              <w:rPr>
                <w:rFonts w:ascii="Arial" w:cs="Arial" w:eastAsia="Arial" w:hAnsi="Arial"/>
                <w:sz w:val="15"/>
                <w:szCs w:val="15"/>
                <w:color w:val="auto"/>
              </w:rPr>
              <w:t>25,000</w:t>
            </w:r>
          </w:p>
        </w:tc>
        <w:tc>
          <w:tcPr>
            <w:tcW w:w="800" w:type="dxa"/>
            <w:vAlign w:val="bottom"/>
          </w:tcPr>
          <w:p>
            <w:pPr>
              <w:jc w:val="right"/>
              <w:spacing w:after="0"/>
              <w:rPr>
                <w:sz w:val="20"/>
                <w:szCs w:val="20"/>
                <w:color w:val="auto"/>
              </w:rPr>
            </w:pPr>
            <w:r>
              <w:rPr>
                <w:rFonts w:ascii="Arial" w:cs="Arial" w:eastAsia="Arial" w:hAnsi="Arial"/>
                <w:sz w:val="15"/>
                <w:szCs w:val="15"/>
                <w:color w:val="auto"/>
              </w:rPr>
              <w:t>25,000</w:t>
            </w:r>
          </w:p>
        </w:tc>
      </w:tr>
    </w:tbl>
    <w:p>
      <w:pPr>
        <w:spacing w:after="0" w:line="3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$176,450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6471920</wp:posOffset>
            </wp:positionH>
            <wp:positionV relativeFrom="paragraph">
              <wp:posOffset>6350</wp:posOffset>
            </wp:positionV>
            <wp:extent cx="81978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80"/>
          </w:cols>
          <w:pgMar w:left="220" w:top="1050" w:right="199" w:bottom="1440" w:gutter="0" w:footer="0" w:header="0"/>
          <w:type w:val="continuous"/>
        </w:sectPr>
      </w:pPr>
    </w:p>
    <w:bookmarkStart w:id="321" w:name="page322"/>
    <w:bookmarkEnd w:id="321"/>
    <w:tbl>
      <w:tblPr>
        <w:tblLayout w:type="fixed"/>
        <w:tblInd w:w="0" w:type="dxa"/>
        <w:tblCellMar>
          <w:top w:w="0" w:type="dxa"/>
          <w:left w:w="0" w:type="dxa"/>
          <w:bottom w:w="0" w:type="dxa"/>
          <w:right w:w="0" w:type="dxa"/>
        </w:tblCellMar>
      </w:tblPr>
      <w:tr>
        <w:trPr>
          <w:trHeight w:val="138"/>
        </w:trPr>
        <w:tc>
          <w:tcPr>
            <w:tcW w:w="4300" w:type="dxa"/>
            <w:vAlign w:val="bottom"/>
          </w:tcPr>
          <w:p>
            <w:pPr>
              <w:spacing w:after="0"/>
              <w:rPr>
                <w:sz w:val="20"/>
                <w:szCs w:val="20"/>
                <w:color w:val="auto"/>
              </w:rPr>
            </w:pPr>
            <w:r>
              <w:rPr>
                <w:rFonts w:ascii="Arial" w:cs="Arial" w:eastAsia="Arial" w:hAnsi="Arial"/>
                <w:sz w:val="12"/>
                <w:szCs w:val="12"/>
                <w:b w:val="1"/>
                <w:bCs w:val="1"/>
                <w:color w:val="auto"/>
              </w:rPr>
              <w:t>Division/Description</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82"/>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960" w:type="dxa"/>
            <w:vAlign w:val="bottom"/>
            <w:gridSpan w:val="2"/>
          </w:tcPr>
          <w:p>
            <w:pPr>
              <w:ind w:left="320"/>
              <w:spacing w:after="0"/>
              <w:rPr>
                <w:sz w:val="20"/>
                <w:szCs w:val="20"/>
                <w:color w:val="auto"/>
              </w:rPr>
            </w:pPr>
            <w:r>
              <w:rPr>
                <w:rFonts w:ascii="Arial" w:cs="Arial" w:eastAsia="Arial" w:hAnsi="Arial"/>
                <w:sz w:val="12"/>
                <w:szCs w:val="12"/>
                <w:b w:val="1"/>
                <w:bCs w:val="1"/>
                <w:color w:val="auto"/>
              </w:rPr>
              <w:t>UM</w:t>
            </w:r>
          </w:p>
        </w:tc>
        <w:tc>
          <w:tcPr>
            <w:tcW w:w="860" w:type="dxa"/>
            <w:vAlign w:val="bottom"/>
          </w:tcPr>
          <w:p>
            <w:pPr>
              <w:jc w:val="right"/>
              <w:ind w:right="208"/>
              <w:spacing w:after="0"/>
              <w:rPr>
                <w:sz w:val="20"/>
                <w:szCs w:val="20"/>
                <w:color w:val="auto"/>
              </w:rPr>
            </w:pPr>
            <w:r>
              <w:rPr>
                <w:rFonts w:ascii="Arial" w:cs="Arial" w:eastAsia="Arial" w:hAnsi="Arial"/>
                <w:sz w:val="12"/>
                <w:szCs w:val="12"/>
                <w:b w:val="1"/>
                <w:bCs w:val="1"/>
                <w:color w:val="auto"/>
              </w:rPr>
              <w:t>Unit $</w:t>
            </w:r>
          </w:p>
        </w:tc>
        <w:tc>
          <w:tcPr>
            <w:tcW w:w="80" w:type="dxa"/>
            <w:vAlign w:val="bottom"/>
          </w:tcPr>
          <w:p>
            <w:pPr>
              <w:spacing w:after="0"/>
              <w:rPr>
                <w:sz w:val="12"/>
                <w:szCs w:val="12"/>
                <w:color w:val="auto"/>
              </w:rPr>
            </w:pPr>
          </w:p>
        </w:tc>
        <w:tc>
          <w:tcPr>
            <w:tcW w:w="1160" w:type="dxa"/>
            <w:vAlign w:val="bottom"/>
            <w:gridSpan w:val="2"/>
          </w:tcPr>
          <w:p>
            <w:pPr>
              <w:ind w:left="300"/>
              <w:spacing w:after="0"/>
              <w:rPr>
                <w:sz w:val="20"/>
                <w:szCs w:val="20"/>
                <w:color w:val="auto"/>
              </w:rPr>
            </w:pPr>
            <w:r>
              <w:rPr>
                <w:rFonts w:ascii="Arial" w:cs="Arial" w:eastAsia="Arial" w:hAnsi="Arial"/>
                <w:sz w:val="12"/>
                <w:szCs w:val="12"/>
                <w:b w:val="1"/>
                <w:bCs w:val="1"/>
                <w:color w:val="auto"/>
              </w:rPr>
              <w:t>Line Sum</w:t>
            </w:r>
          </w:p>
        </w:tc>
        <w:tc>
          <w:tcPr>
            <w:tcW w:w="1280" w:type="dxa"/>
            <w:vAlign w:val="bottom"/>
          </w:tcPr>
          <w:p>
            <w:pPr>
              <w:jc w:val="right"/>
              <w:ind w:right="349"/>
              <w:spacing w:after="0"/>
              <w:rPr>
                <w:sz w:val="20"/>
                <w:szCs w:val="20"/>
                <w:color w:val="auto"/>
              </w:rPr>
            </w:pPr>
            <w:r>
              <w:rPr>
                <w:rFonts w:ascii="Arial" w:cs="Arial" w:eastAsia="Arial" w:hAnsi="Arial"/>
                <w:sz w:val="12"/>
                <w:szCs w:val="12"/>
                <w:b w:val="1"/>
                <w:bCs w:val="1"/>
                <w:color w:val="auto"/>
              </w:rPr>
              <w:t>Div. Sum</w:t>
            </w:r>
          </w:p>
        </w:tc>
      </w:tr>
      <w:tr>
        <w:trPr>
          <w:trHeight w:val="210"/>
        </w:trPr>
        <w:tc>
          <w:tcPr>
            <w:tcW w:w="430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Doors/Frames/Hardware</w:t>
            </w:r>
          </w:p>
        </w:tc>
        <w:tc>
          <w:tcPr>
            <w:tcW w:w="1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Seamless (Painted) HM doors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68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2,875</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195,500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Stainlees Teel Doors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Card readers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r>
      <w:tr>
        <w:trPr>
          <w:trHeight w:val="19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$195,500</w:t>
            </w:r>
          </w:p>
        </w:tc>
      </w:tr>
      <w:tr>
        <w:trPr>
          <w:trHeight w:val="209"/>
        </w:trPr>
        <w:tc>
          <w:tcPr>
            <w:tcW w:w="4300" w:type="dxa"/>
            <w:vAlign w:val="bottom"/>
          </w:tcPr>
          <w:p>
            <w:pPr>
              <w:spacing w:after="0"/>
              <w:rPr>
                <w:sz w:val="20"/>
                <w:szCs w:val="20"/>
                <w:color w:val="auto"/>
              </w:rPr>
            </w:pPr>
            <w:r>
              <w:rPr>
                <w:rFonts w:ascii="Arial" w:cs="Arial" w:eastAsia="Arial" w:hAnsi="Arial"/>
                <w:sz w:val="15"/>
                <w:szCs w:val="15"/>
                <w:b w:val="1"/>
                <w:bCs w:val="1"/>
                <w:color w:val="auto"/>
              </w:rPr>
              <w:t>Glazing</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Power plant viewing windows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12</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6,000</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72,000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5"/>
                <w:szCs w:val="15"/>
                <w:color w:val="auto"/>
              </w:rPr>
              <w:t>Vision kits for doors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350</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17,500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$89,500</w:t>
            </w:r>
          </w:p>
        </w:tc>
      </w:tr>
      <w:tr>
        <w:trPr>
          <w:trHeight w:val="209"/>
        </w:trPr>
        <w:tc>
          <w:tcPr>
            <w:tcW w:w="4300" w:type="dxa"/>
            <w:vAlign w:val="bottom"/>
          </w:tcPr>
          <w:p>
            <w:pPr>
              <w:spacing w:after="0"/>
              <w:rPr>
                <w:sz w:val="20"/>
                <w:szCs w:val="20"/>
                <w:color w:val="auto"/>
              </w:rPr>
            </w:pPr>
            <w:r>
              <w:rPr>
                <w:rFonts w:ascii="Arial" w:cs="Arial" w:eastAsia="Arial" w:hAnsi="Arial"/>
                <w:sz w:val="15"/>
                <w:szCs w:val="15"/>
                <w:b w:val="1"/>
                <w:bCs w:val="1"/>
                <w:color w:val="auto"/>
              </w:rPr>
              <w:t>Gypsum Drywall</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5"/>
                <w:szCs w:val="15"/>
                <w:color w:val="auto"/>
              </w:rPr>
              <w:t>Pilot Plant Walls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1,500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60" w:type="dxa"/>
            <w:vAlign w:val="bottom"/>
          </w:tcPr>
          <w:p>
            <w:pPr>
              <w:jc w:val="right"/>
              <w:spacing w:after="0"/>
              <w:rPr>
                <w:sz w:val="20"/>
                <w:szCs w:val="20"/>
                <w:color w:val="auto"/>
              </w:rPr>
            </w:pPr>
            <w:r>
              <w:rPr>
                <w:rFonts w:ascii="Arial" w:cs="Arial" w:eastAsia="Arial" w:hAnsi="Arial"/>
                <w:sz w:val="15"/>
                <w:szCs w:val="15"/>
                <w:color w:val="auto"/>
              </w:rPr>
              <w:t>175</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262,500</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1"/>
        </w:trPr>
        <w:tc>
          <w:tcPr>
            <w:tcW w:w="4300" w:type="dxa"/>
            <w:vAlign w:val="bottom"/>
          </w:tcPr>
          <w:p>
            <w:pPr>
              <w:ind w:left="200"/>
              <w:spacing w:after="0"/>
              <w:rPr>
                <w:sz w:val="20"/>
                <w:szCs w:val="20"/>
                <w:color w:val="auto"/>
              </w:rPr>
            </w:pPr>
            <w:r>
              <w:rPr>
                <w:rFonts w:ascii="Arial" w:cs="Arial" w:eastAsia="Arial" w:hAnsi="Arial"/>
                <w:sz w:val="15"/>
                <w:szCs w:val="15"/>
                <w:color w:val="auto"/>
              </w:rPr>
              <w:t>Perimeter walls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60" w:type="dxa"/>
            <w:vAlign w:val="bottom"/>
          </w:tcPr>
          <w:p>
            <w:pPr>
              <w:jc w:val="right"/>
              <w:spacing w:after="0"/>
              <w:rPr>
                <w:sz w:val="20"/>
                <w:szCs w:val="20"/>
                <w:color w:val="auto"/>
              </w:rPr>
            </w:pPr>
            <w:r>
              <w:rPr>
                <w:rFonts w:ascii="Arial" w:cs="Arial" w:eastAsia="Arial" w:hAnsi="Arial"/>
                <w:sz w:val="15"/>
                <w:szCs w:val="15"/>
                <w:color w:val="auto"/>
              </w:rPr>
              <w:t>115</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23,000</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GWB walkable ceilings at the Pilot Plant</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3,000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28</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84,000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GWB duct shaft walls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2,500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21</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52,500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4300" w:type="dxa"/>
            <w:vAlign w:val="bottom"/>
          </w:tcPr>
          <w:p>
            <w:pPr>
              <w:ind w:left="200"/>
              <w:spacing w:after="0"/>
              <w:rPr>
                <w:sz w:val="20"/>
                <w:szCs w:val="20"/>
                <w:color w:val="auto"/>
              </w:rPr>
            </w:pPr>
            <w:r>
              <w:rPr>
                <w:rFonts w:ascii="Arial" w:cs="Arial" w:eastAsia="Arial" w:hAnsi="Arial"/>
                <w:sz w:val="15"/>
                <w:szCs w:val="15"/>
                <w:color w:val="auto"/>
              </w:rPr>
              <w:t>Fiberglass grating for walkable ceilings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2,000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30,000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5"/>
                <w:szCs w:val="15"/>
                <w:color w:val="auto"/>
              </w:rPr>
              <w:t>Column enclosures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960</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9,600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Clad walls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r>
      <w:tr>
        <w:trPr>
          <w:trHeight w:val="19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$461,600</w:t>
            </w:r>
          </w:p>
        </w:tc>
      </w:tr>
      <w:tr>
        <w:trPr>
          <w:trHeight w:val="210"/>
        </w:trPr>
        <w:tc>
          <w:tcPr>
            <w:tcW w:w="4300" w:type="dxa"/>
            <w:vAlign w:val="bottom"/>
          </w:tcPr>
          <w:p>
            <w:pPr>
              <w:spacing w:after="0"/>
              <w:rPr>
                <w:sz w:val="20"/>
                <w:szCs w:val="20"/>
                <w:color w:val="auto"/>
              </w:rPr>
            </w:pPr>
            <w:r>
              <w:rPr>
                <w:rFonts w:ascii="Arial" w:cs="Arial" w:eastAsia="Arial" w:hAnsi="Arial"/>
                <w:sz w:val="15"/>
                <w:szCs w:val="15"/>
                <w:b w:val="1"/>
                <w:bCs w:val="1"/>
                <w:color w:val="auto"/>
              </w:rPr>
              <w:t>Ceilings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Clean Room Gasketed Grid System</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5,700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79,800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$79,800</w:t>
            </w:r>
          </w:p>
        </w:tc>
      </w:tr>
      <w:tr>
        <w:trPr>
          <w:trHeight w:val="209"/>
        </w:trPr>
        <w:tc>
          <w:tcPr>
            <w:tcW w:w="4300" w:type="dxa"/>
            <w:vAlign w:val="bottom"/>
          </w:tcPr>
          <w:p>
            <w:pPr>
              <w:spacing w:after="0"/>
              <w:rPr>
                <w:sz w:val="20"/>
                <w:szCs w:val="20"/>
                <w:color w:val="auto"/>
              </w:rPr>
            </w:pPr>
            <w:r>
              <w:rPr>
                <w:rFonts w:ascii="Arial" w:cs="Arial" w:eastAsia="Arial" w:hAnsi="Arial"/>
                <w:sz w:val="15"/>
                <w:szCs w:val="15"/>
                <w:b w:val="1"/>
                <w:bCs w:val="1"/>
                <w:color w:val="auto"/>
              </w:rPr>
              <w:t>Flooring</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5"/>
                <w:szCs w:val="15"/>
                <w:color w:val="auto"/>
              </w:rPr>
              <w:t>Epoxy Flooring</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8,700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156,600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Floor prep allowance</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8,700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34,800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Penthouse &amp; basement flooring (Allowance)</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60" w:type="dxa"/>
            <w:vAlign w:val="bottom"/>
          </w:tcPr>
          <w:p>
            <w:pPr>
              <w:jc w:val="right"/>
              <w:spacing w:after="0"/>
              <w:rPr>
                <w:sz w:val="20"/>
                <w:szCs w:val="20"/>
                <w:color w:val="auto"/>
              </w:rPr>
            </w:pPr>
            <w:r>
              <w:rPr>
                <w:rFonts w:ascii="Arial" w:cs="Arial" w:eastAsia="Arial" w:hAnsi="Arial"/>
                <w:sz w:val="15"/>
                <w:szCs w:val="15"/>
                <w:color w:val="auto"/>
              </w:rPr>
              <w:t>60,000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60,000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$251,400</w:t>
            </w:r>
          </w:p>
        </w:tc>
      </w:tr>
      <w:tr>
        <w:trPr>
          <w:trHeight w:val="209"/>
        </w:trPr>
        <w:tc>
          <w:tcPr>
            <w:tcW w:w="4300" w:type="dxa"/>
            <w:vAlign w:val="bottom"/>
          </w:tcPr>
          <w:p>
            <w:pPr>
              <w:spacing w:after="0"/>
              <w:rPr>
                <w:sz w:val="20"/>
                <w:szCs w:val="20"/>
                <w:color w:val="auto"/>
              </w:rPr>
            </w:pPr>
            <w:r>
              <w:rPr>
                <w:rFonts w:ascii="Arial" w:cs="Arial" w:eastAsia="Arial" w:hAnsi="Arial"/>
                <w:sz w:val="15"/>
                <w:szCs w:val="15"/>
                <w:b w:val="1"/>
                <w:bCs w:val="1"/>
                <w:color w:val="auto"/>
              </w:rPr>
              <w:t>Painting</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5"/>
                <w:szCs w:val="15"/>
                <w:color w:val="auto"/>
              </w:rPr>
              <w:t>Walls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15"/>
                <w:szCs w:val="15"/>
                <w:color w:val="auto"/>
              </w:rPr>
              <w:t>Epoxy paint walls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27,700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1.65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45,705</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Epoxy paint ceilings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8,700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sf</w:t>
            </w:r>
          </w:p>
        </w:tc>
        <w:tc>
          <w:tcPr>
            <w:tcW w:w="860" w:type="dxa"/>
            <w:vAlign w:val="bottom"/>
          </w:tcPr>
          <w:p>
            <w:pPr>
              <w:jc w:val="right"/>
              <w:spacing w:after="0"/>
              <w:rPr>
                <w:sz w:val="20"/>
                <w:szCs w:val="20"/>
                <w:color w:val="auto"/>
              </w:rPr>
            </w:pPr>
            <w:r>
              <w:rPr>
                <w:rFonts w:ascii="Arial" w:cs="Arial" w:eastAsia="Arial" w:hAnsi="Arial"/>
                <w:sz w:val="15"/>
                <w:szCs w:val="15"/>
                <w:color w:val="auto"/>
              </w:rPr>
              <w:t>1.95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16,965</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5"/>
                <w:szCs w:val="15"/>
                <w:color w:val="auto"/>
              </w:rPr>
              <w:t>Touch up painting</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days</w:t>
            </w:r>
          </w:p>
        </w:tc>
        <w:tc>
          <w:tcPr>
            <w:tcW w:w="860" w:type="dxa"/>
            <w:vAlign w:val="bottom"/>
          </w:tcPr>
          <w:p>
            <w:pPr>
              <w:jc w:val="right"/>
              <w:spacing w:after="0"/>
              <w:rPr>
                <w:sz w:val="20"/>
                <w:szCs w:val="20"/>
                <w:color w:val="auto"/>
              </w:rPr>
            </w:pPr>
            <w:r>
              <w:rPr>
                <w:rFonts w:ascii="Arial" w:cs="Arial" w:eastAsia="Arial" w:hAnsi="Arial"/>
                <w:sz w:val="15"/>
                <w:szCs w:val="15"/>
                <w:color w:val="auto"/>
              </w:rPr>
              <w:t>1,175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5,875</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Doors/Frames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68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350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23,800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$92,345</w:t>
            </w:r>
          </w:p>
        </w:tc>
      </w:tr>
      <w:tr>
        <w:trPr>
          <w:trHeight w:val="209"/>
        </w:trPr>
        <w:tc>
          <w:tcPr>
            <w:tcW w:w="4300" w:type="dxa"/>
            <w:vAlign w:val="bottom"/>
          </w:tcPr>
          <w:p>
            <w:pPr>
              <w:spacing w:after="0"/>
              <w:rPr>
                <w:sz w:val="20"/>
                <w:szCs w:val="20"/>
                <w:color w:val="auto"/>
              </w:rPr>
            </w:pPr>
            <w:r>
              <w:rPr>
                <w:rFonts w:ascii="Arial" w:cs="Arial" w:eastAsia="Arial" w:hAnsi="Arial"/>
                <w:sz w:val="15"/>
                <w:szCs w:val="15"/>
                <w:b w:val="1"/>
                <w:bCs w:val="1"/>
                <w:color w:val="auto"/>
              </w:rPr>
              <w:t>Specialties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5"/>
                <w:szCs w:val="15"/>
                <w:color w:val="auto"/>
              </w:rPr>
              <w:t>Fire extinguishers and cabinets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675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3,375</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1"/>
        </w:trPr>
        <w:tc>
          <w:tcPr>
            <w:tcW w:w="4300" w:type="dxa"/>
            <w:vAlign w:val="bottom"/>
          </w:tcPr>
          <w:p>
            <w:pPr>
              <w:ind w:left="200"/>
              <w:spacing w:after="0"/>
              <w:rPr>
                <w:sz w:val="20"/>
                <w:szCs w:val="20"/>
                <w:color w:val="auto"/>
              </w:rPr>
            </w:pPr>
            <w:r>
              <w:rPr>
                <w:rFonts w:ascii="Arial" w:cs="Arial" w:eastAsia="Arial" w:hAnsi="Arial"/>
                <w:sz w:val="15"/>
                <w:szCs w:val="15"/>
                <w:color w:val="auto"/>
              </w:rPr>
              <w:t>Corner guards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275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4,950</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7"/>
        </w:trPr>
        <w:tc>
          <w:tcPr>
            <w:tcW w:w="4300" w:type="dxa"/>
            <w:vAlign w:val="bottom"/>
          </w:tcPr>
          <w:p>
            <w:pPr>
              <w:ind w:left="200"/>
              <w:spacing w:after="0"/>
              <w:rPr>
                <w:sz w:val="20"/>
                <w:szCs w:val="20"/>
                <w:color w:val="auto"/>
              </w:rPr>
            </w:pPr>
            <w:r>
              <w:rPr>
                <w:rFonts w:ascii="Arial" w:cs="Arial" w:eastAsia="Arial" w:hAnsi="Arial"/>
                <w:sz w:val="15"/>
                <w:szCs w:val="15"/>
                <w:color w:val="auto"/>
              </w:rPr>
              <w:t>Lab coat hooks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750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3,750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5"/>
                <w:szCs w:val="15"/>
                <w:color w:val="auto"/>
              </w:rPr>
              <w:t>Bumper guards - two line plastic</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450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60" w:type="dxa"/>
            <w:vAlign w:val="bottom"/>
          </w:tcPr>
          <w:p>
            <w:pPr>
              <w:jc w:val="right"/>
              <w:spacing w:after="0"/>
              <w:rPr>
                <w:sz w:val="20"/>
                <w:szCs w:val="20"/>
                <w:color w:val="auto"/>
              </w:rPr>
            </w:pPr>
            <w:r>
              <w:rPr>
                <w:rFonts w:ascii="Arial" w:cs="Arial" w:eastAsia="Arial" w:hAnsi="Arial"/>
                <w:sz w:val="15"/>
                <w:szCs w:val="15"/>
                <w:color w:val="auto"/>
              </w:rPr>
              <w:t>85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38,250</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1"/>
        </w:trPr>
        <w:tc>
          <w:tcPr>
            <w:tcW w:w="4300" w:type="dxa"/>
            <w:vAlign w:val="bottom"/>
          </w:tcPr>
          <w:p>
            <w:pPr>
              <w:ind w:left="200"/>
              <w:spacing w:after="0"/>
              <w:rPr>
                <w:sz w:val="20"/>
                <w:szCs w:val="20"/>
                <w:color w:val="auto"/>
              </w:rPr>
            </w:pPr>
            <w:r>
              <w:rPr>
                <w:rFonts w:ascii="Arial" w:cs="Arial" w:eastAsia="Arial" w:hAnsi="Arial"/>
                <w:sz w:val="15"/>
                <w:szCs w:val="15"/>
                <w:color w:val="auto"/>
              </w:rPr>
              <w:t>Access panels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10</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125</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1,250</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Gowning benches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1,500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12,000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Lockers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28</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If</w:t>
            </w:r>
          </w:p>
        </w:tc>
        <w:tc>
          <w:tcPr>
            <w:tcW w:w="860" w:type="dxa"/>
            <w:vAlign w:val="bottom"/>
          </w:tcPr>
          <w:p>
            <w:pPr>
              <w:jc w:val="right"/>
              <w:spacing w:after="0"/>
              <w:rPr>
                <w:sz w:val="20"/>
                <w:szCs w:val="20"/>
                <w:color w:val="auto"/>
              </w:rPr>
            </w:pPr>
            <w:r>
              <w:rPr>
                <w:rFonts w:ascii="Arial" w:cs="Arial" w:eastAsia="Arial" w:hAnsi="Arial"/>
                <w:sz w:val="15"/>
                <w:szCs w:val="15"/>
                <w:color w:val="auto"/>
              </w:rPr>
              <w:t>750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21,000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Pass thrus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9,500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28,500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Glove Boxes/Glass Holders/Hand sanitizers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loc</w:t>
            </w:r>
          </w:p>
        </w:tc>
        <w:tc>
          <w:tcPr>
            <w:tcW w:w="860" w:type="dxa"/>
            <w:vAlign w:val="bottom"/>
          </w:tcPr>
          <w:p>
            <w:pPr>
              <w:jc w:val="right"/>
              <w:spacing w:after="0"/>
              <w:rPr>
                <w:sz w:val="20"/>
                <w:szCs w:val="20"/>
                <w:color w:val="auto"/>
              </w:rPr>
            </w:pPr>
            <w:r>
              <w:rPr>
                <w:rFonts w:ascii="Arial" w:cs="Arial" w:eastAsia="Arial" w:hAnsi="Arial"/>
                <w:sz w:val="15"/>
                <w:szCs w:val="15"/>
                <w:color w:val="auto"/>
              </w:rPr>
              <w:t>2,500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4300" w:type="dxa"/>
            <w:vAlign w:val="bottom"/>
          </w:tcPr>
          <w:p>
            <w:pPr>
              <w:ind w:left="200"/>
              <w:spacing w:after="0"/>
              <w:rPr>
                <w:sz w:val="20"/>
                <w:szCs w:val="20"/>
                <w:color w:val="auto"/>
              </w:rPr>
            </w:pPr>
            <w:r>
              <w:rPr>
                <w:rFonts w:ascii="Arial" w:cs="Arial" w:eastAsia="Arial" w:hAnsi="Arial"/>
                <w:sz w:val="15"/>
                <w:szCs w:val="15"/>
                <w:color w:val="auto"/>
              </w:rPr>
              <w:t>Hand washers / Towel Dispensers</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2</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ea</w:t>
            </w:r>
          </w:p>
        </w:tc>
        <w:tc>
          <w:tcPr>
            <w:tcW w:w="860" w:type="dxa"/>
            <w:vAlign w:val="bottom"/>
          </w:tcPr>
          <w:p>
            <w:pPr>
              <w:jc w:val="right"/>
              <w:spacing w:after="0"/>
              <w:rPr>
                <w:sz w:val="20"/>
                <w:szCs w:val="20"/>
                <w:color w:val="auto"/>
              </w:rPr>
            </w:pPr>
            <w:r>
              <w:rPr>
                <w:rFonts w:ascii="Arial" w:cs="Arial" w:eastAsia="Arial" w:hAnsi="Arial"/>
                <w:sz w:val="15"/>
                <w:szCs w:val="15"/>
                <w:color w:val="auto"/>
              </w:rPr>
              <w:t>5,000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Gowning material (Allowance)</w:t>
            </w:r>
          </w:p>
        </w:tc>
        <w:tc>
          <w:tcPr>
            <w:tcW w:w="272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80" w:type="dxa"/>
            <w:vAlign w:val="bottom"/>
            <w:gridSpan w:val="3"/>
          </w:tcPr>
          <w:p>
            <w:pPr>
              <w:ind w:left="120"/>
              <w:spacing w:after="0"/>
              <w:rPr>
                <w:sz w:val="20"/>
                <w:szCs w:val="20"/>
                <w:color w:val="auto"/>
              </w:rPr>
            </w:pPr>
            <w:r>
              <w:rPr>
                <w:rFonts w:ascii="Arial" w:cs="Arial" w:eastAsia="Arial" w:hAnsi="Arial"/>
                <w:sz w:val="15"/>
                <w:szCs w:val="15"/>
                <w:color w:val="auto"/>
              </w:rPr>
              <w:t>Is</w:t>
            </w:r>
          </w:p>
        </w:tc>
        <w:tc>
          <w:tcPr>
            <w:tcW w:w="860" w:type="dxa"/>
            <w:vAlign w:val="bottom"/>
          </w:tcPr>
          <w:p>
            <w:pPr>
              <w:jc w:val="right"/>
              <w:spacing w:after="0"/>
              <w:rPr>
                <w:sz w:val="20"/>
                <w:szCs w:val="20"/>
                <w:color w:val="auto"/>
              </w:rPr>
            </w:pPr>
            <w:r>
              <w:rPr>
                <w:rFonts w:ascii="Arial" w:cs="Arial" w:eastAsia="Arial" w:hAnsi="Arial"/>
                <w:sz w:val="15"/>
                <w:szCs w:val="15"/>
                <w:color w:val="auto"/>
              </w:rPr>
              <w:t>20,000</w:t>
            </w:r>
          </w:p>
        </w:tc>
        <w:tc>
          <w:tcPr>
            <w:tcW w:w="1160" w:type="dxa"/>
            <w:vAlign w:val="bottom"/>
            <w:gridSpan w:val="2"/>
          </w:tcPr>
          <w:p>
            <w:pPr>
              <w:ind w:left="80"/>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5"/>
                <w:szCs w:val="15"/>
                <w:color w:val="auto"/>
              </w:rPr>
              <w:t>Mesh Partitions at the basement</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5"/>
                <w:szCs w:val="15"/>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15"/>
                <w:szCs w:val="15"/>
                <w:color w:val="auto"/>
              </w:rPr>
              <w:t>Gowning accessories</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20"/>
                <w:szCs w:val="20"/>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5"/>
                <w:szCs w:val="15"/>
                <w:color w:val="auto"/>
              </w:rPr>
              <w:t>Window treatments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5"/>
                <w:szCs w:val="15"/>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Metro Shelving</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r>
      <w:tr>
        <w:trPr>
          <w:trHeight w:val="208"/>
        </w:trPr>
        <w:tc>
          <w:tcPr>
            <w:tcW w:w="4300" w:type="dxa"/>
            <w:vAlign w:val="bottom"/>
          </w:tcPr>
          <w:p>
            <w:pPr>
              <w:ind w:left="200"/>
              <w:spacing w:after="0"/>
              <w:rPr>
                <w:sz w:val="20"/>
                <w:szCs w:val="20"/>
                <w:color w:val="auto"/>
              </w:rPr>
            </w:pPr>
            <w:r>
              <w:rPr>
                <w:rFonts w:ascii="Arial" w:cs="Arial" w:eastAsia="Arial" w:hAnsi="Arial"/>
                <w:sz w:val="15"/>
                <w:szCs w:val="15"/>
                <w:color w:val="auto"/>
              </w:rPr>
              <w:t>Signage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r>
      <w:tr>
        <w:trPr>
          <w:trHeight w:val="229"/>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$148,075</w:t>
            </w:r>
          </w:p>
        </w:tc>
      </w:tr>
      <w:tr>
        <w:trPr>
          <w:trHeight w:val="210"/>
        </w:trPr>
        <w:tc>
          <w:tcPr>
            <w:tcW w:w="4300" w:type="dxa"/>
            <w:vAlign w:val="bottom"/>
          </w:tcPr>
          <w:p>
            <w:pPr>
              <w:spacing w:after="0"/>
              <w:rPr>
                <w:sz w:val="20"/>
                <w:szCs w:val="20"/>
                <w:color w:val="auto"/>
              </w:rPr>
            </w:pPr>
            <w:r>
              <w:rPr>
                <w:rFonts w:ascii="Arial" w:cs="Arial" w:eastAsia="Arial" w:hAnsi="Arial"/>
                <w:sz w:val="15"/>
                <w:szCs w:val="15"/>
                <w:b w:val="1"/>
                <w:bCs w:val="1"/>
                <w:color w:val="auto"/>
              </w:rPr>
              <w:t>Laboratory Casework</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9"/>
        </w:trPr>
        <w:tc>
          <w:tcPr>
            <w:tcW w:w="4300" w:type="dxa"/>
            <w:vAlign w:val="bottom"/>
          </w:tcPr>
          <w:p>
            <w:pPr>
              <w:spacing w:after="0"/>
              <w:rPr>
                <w:sz w:val="24"/>
                <w:szCs w:val="24"/>
                <w:color w:val="auto"/>
              </w:rPr>
            </w:pPr>
          </w:p>
        </w:tc>
        <w:tc>
          <w:tcPr>
            <w:tcW w:w="2720" w:type="dxa"/>
            <w:vAlign w:val="bottom"/>
            <w:gridSpan w:val="3"/>
          </w:tcPr>
          <w:p>
            <w:pPr>
              <w:jc w:val="right"/>
              <w:ind w:right="1042"/>
              <w:spacing w:after="0"/>
              <w:rPr>
                <w:sz w:val="20"/>
                <w:szCs w:val="20"/>
                <w:color w:val="auto"/>
              </w:rPr>
            </w:pPr>
            <w:r>
              <w:rPr>
                <w:rFonts w:ascii="Arial" w:cs="Arial" w:eastAsia="Arial" w:hAnsi="Arial"/>
                <w:sz w:val="15"/>
                <w:szCs w:val="15"/>
                <w:color w:val="auto"/>
              </w:rPr>
              <w:t>2 of 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8"/>
        </w:trPr>
        <w:tc>
          <w:tcPr>
            <w:tcW w:w="430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7" w:right="199" w:bottom="1440" w:gutter="0" w:footer="0" w:header="0"/>
        </w:sectPr>
      </w:pPr>
    </w:p>
    <w:bookmarkStart w:id="322" w:name="page323"/>
    <w:bookmarkEnd w:id="322"/>
    <w:p>
      <w:pPr>
        <w:spacing w:after="0"/>
        <w:rPr>
          <w:sz w:val="20"/>
          <w:szCs w:val="20"/>
          <w:color w:val="auto"/>
        </w:rPr>
      </w:pPr>
      <w:r>
        <w:rPr>
          <w:rFonts w:ascii="Arial" w:cs="Arial" w:eastAsia="Arial" w:hAnsi="Arial"/>
          <w:sz w:val="12"/>
          <w:szCs w:val="12"/>
          <w:b w:val="1"/>
          <w:bCs w:val="1"/>
          <w:color w:val="auto"/>
        </w:rPr>
        <w:t>Division/Description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85508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55085" cy="698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Fume Hoods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Pilot Plant tables/benches/carts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SS sinks- In plumbing price</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Equipment</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VHP Unit (Allowance)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Biosafety cabinets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Glasswashers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Autoclave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Appliances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Lab Equipment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Fire Protection</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Complete sprinkler system for the Pilot Lab</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Plumbing</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VAC &amp; Compressed Air distribution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Hydrogen manifold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N2 Manifold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LN2 delivery system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RO distribution &amp; drops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Emergency eyewash distribution and stations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Utility piping &amp; connections to equipment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Sink assemblies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Shower stalls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Floor drains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RO reject skid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SS pipe fittings for VHP distribution into rooms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HVAC</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Sheet Metal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Insulation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ATC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Balancing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Rigging</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VAV / EXV</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HW COILS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Vibration Isolation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Munters Unit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Strobic EHU 12k CFM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VHP System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Commissioning Validation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Piping Labor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Piping Materials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Chillers 150 Tons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6 Secondary AHU</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GMP AHU 22K CFM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HEPA Diffusers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PERMIT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General Conditions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Coordination Drawings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HW Pipe for Pilot Plant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Dryroom Sampling</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Steam Boiler</w:t>
      </w:r>
    </w:p>
    <w:p>
      <w:pPr>
        <w:spacing w:after="0" w:line="20" w:lineRule="exact"/>
        <w:rPr>
          <w:sz w:val="20"/>
          <w:szCs w:val="20"/>
          <w:color w:val="auto"/>
        </w:rPr>
      </w:pPr>
      <w:r>
        <w:rPr>
          <w:sz w:val="20"/>
          <w:szCs w:val="20"/>
          <w:color w:val="auto"/>
        </w:rPr>
        <w:br w:type="column"/>
      </w:r>
    </w:p>
    <w:p>
      <w:pPr>
        <w:ind w:left="920"/>
        <w:spacing w:after="0"/>
        <w:tabs>
          <w:tab w:leader="none" w:pos="1880" w:val="left"/>
          <w:tab w:leader="none" w:pos="2780" w:val="left"/>
          <w:tab w:leader="none" w:pos="3760" w:val="left"/>
          <w:tab w:leader="none" w:pos="5020" w:val="left"/>
        </w:tabs>
        <w:rPr>
          <w:sz w:val="20"/>
          <w:szCs w:val="20"/>
          <w:color w:val="auto"/>
        </w:rPr>
      </w:pPr>
      <w:r>
        <w:rPr>
          <w:rFonts w:ascii="Arial" w:cs="Arial" w:eastAsia="Arial" w:hAnsi="Arial"/>
          <w:sz w:val="12"/>
          <w:szCs w:val="12"/>
          <w:b w:val="1"/>
          <w:bCs w:val="1"/>
          <w:color w:val="auto"/>
        </w:rPr>
        <w:t>Qty</w:t>
      </w:r>
      <w:r>
        <w:rPr>
          <w:sz w:val="20"/>
          <w:szCs w:val="20"/>
          <w:color w:val="auto"/>
        </w:rPr>
        <w:tab/>
      </w:r>
      <w:r>
        <w:rPr>
          <w:rFonts w:ascii="Arial" w:cs="Arial" w:eastAsia="Arial" w:hAnsi="Arial"/>
          <w:sz w:val="12"/>
          <w:szCs w:val="12"/>
          <w:b w:val="1"/>
          <w:bCs w:val="1"/>
          <w:color w:val="auto"/>
        </w:rPr>
        <w:t>UM</w:t>
      </w:r>
      <w:r>
        <w:rPr>
          <w:sz w:val="20"/>
          <w:szCs w:val="20"/>
          <w:color w:val="auto"/>
        </w:rPr>
        <w:tab/>
      </w:r>
      <w:r>
        <w:rPr>
          <w:rFonts w:ascii="Arial" w:cs="Arial" w:eastAsia="Arial" w:hAnsi="Arial"/>
          <w:sz w:val="12"/>
          <w:szCs w:val="12"/>
          <w:b w:val="1"/>
          <w:bCs w:val="1"/>
          <w:color w:val="auto"/>
        </w:rPr>
        <w:t>Unit $</w:t>
      </w:r>
      <w:r>
        <w:rPr>
          <w:sz w:val="20"/>
          <w:szCs w:val="20"/>
          <w:color w:val="auto"/>
        </w:rPr>
        <w:tab/>
      </w:r>
      <w:r>
        <w:rPr>
          <w:rFonts w:ascii="Arial" w:cs="Arial" w:eastAsia="Arial" w:hAnsi="Arial"/>
          <w:sz w:val="12"/>
          <w:szCs w:val="12"/>
          <w:b w:val="1"/>
          <w:bCs w:val="1"/>
          <w:color w:val="auto"/>
        </w:rPr>
        <w:t>Line Sum</w:t>
      </w:r>
      <w:r>
        <w:rPr>
          <w:sz w:val="20"/>
          <w:szCs w:val="20"/>
          <w:color w:val="auto"/>
        </w:rPr>
        <w:tab/>
      </w:r>
      <w:r>
        <w:rPr>
          <w:rFonts w:ascii="Arial" w:cs="Arial" w:eastAsia="Arial" w:hAnsi="Arial"/>
          <w:sz w:val="10"/>
          <w:szCs w:val="10"/>
          <w:b w:val="1"/>
          <w:bCs w:val="1"/>
          <w:color w:val="auto"/>
        </w:rPr>
        <w:t>Div.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0</wp:posOffset>
            </wp:positionV>
            <wp:extent cx="338264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82645" cy="6985"/>
                    </a:xfrm>
                    <a:prstGeom prst="rect">
                      <a:avLst/>
                    </a:prstGeom>
                    <a:noFill/>
                  </pic:spPr>
                </pic:pic>
              </a:graphicData>
            </a:graphic>
          </wp:anchor>
        </w:drawing>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NIC</w:t>
      </w:r>
    </w:p>
    <w:p>
      <w:pPr>
        <w:spacing w:after="0" w:line="35"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NIC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150,000</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NIC</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NIC</w:t>
      </w:r>
    </w:p>
    <w:p>
      <w:pPr>
        <w:spacing w:after="0" w:line="68"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NIC</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NIC</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NIC</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6350</wp:posOffset>
            </wp:positionV>
            <wp:extent cx="81978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52"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920" w:type="dxa"/>
            <w:vAlign w:val="bottom"/>
          </w:tcPr>
          <w:p>
            <w:pPr>
              <w:spacing w:after="0"/>
              <w:rPr>
                <w:sz w:val="20"/>
                <w:szCs w:val="20"/>
                <w:color w:val="auto"/>
              </w:rPr>
            </w:pPr>
            <w:r>
              <w:rPr>
                <w:rFonts w:ascii="Arial" w:cs="Arial" w:eastAsia="Arial" w:hAnsi="Arial"/>
                <w:sz w:val="15"/>
                <w:szCs w:val="15"/>
                <w:color w:val="auto"/>
              </w:rPr>
              <w:t>1  Is</w:t>
            </w:r>
          </w:p>
        </w:tc>
        <w:tc>
          <w:tcPr>
            <w:tcW w:w="1420" w:type="dxa"/>
            <w:vAlign w:val="bottom"/>
          </w:tcPr>
          <w:p>
            <w:pPr>
              <w:jc w:val="right"/>
              <w:ind w:right="247"/>
              <w:spacing w:after="0"/>
              <w:rPr>
                <w:sz w:val="20"/>
                <w:szCs w:val="20"/>
                <w:color w:val="auto"/>
              </w:rPr>
            </w:pPr>
            <w:r>
              <w:rPr>
                <w:rFonts w:ascii="Arial" w:cs="Arial" w:eastAsia="Arial" w:hAnsi="Arial"/>
                <w:sz w:val="15"/>
                <w:szCs w:val="15"/>
                <w:color w:val="auto"/>
              </w:rPr>
              <w:t>150,000</w:t>
            </w:r>
          </w:p>
        </w:tc>
        <w:tc>
          <w:tcPr>
            <w:tcW w:w="840" w:type="dxa"/>
            <w:vAlign w:val="bottom"/>
          </w:tcPr>
          <w:p>
            <w:pPr>
              <w:jc w:val="right"/>
              <w:spacing w:after="0"/>
              <w:rPr>
                <w:sz w:val="20"/>
                <w:szCs w:val="20"/>
                <w:color w:val="auto"/>
              </w:rPr>
            </w:pPr>
            <w:r>
              <w:rPr>
                <w:rFonts w:ascii="Arial" w:cs="Arial" w:eastAsia="Arial" w:hAnsi="Arial"/>
                <w:sz w:val="15"/>
                <w:szCs w:val="15"/>
                <w:color w:val="auto"/>
              </w:rPr>
              <w:t>150,000</w:t>
            </w:r>
          </w:p>
        </w:tc>
      </w:tr>
    </w:tbl>
    <w:p>
      <w:pPr>
        <w:spacing w:after="0" w:line="1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6350</wp:posOffset>
            </wp:positionV>
            <wp:extent cx="81978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44"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768,400</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In abv</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65,000</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$833,400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6350</wp:posOffset>
            </wp:positionV>
            <wp:extent cx="81978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1,200,000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170,000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755,000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20,000</w:t>
      </w:r>
    </w:p>
    <w:p>
      <w:pPr>
        <w:spacing w:after="0" w:line="35"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5,000</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195,000</w:t>
      </w:r>
    </w:p>
    <w:p>
      <w:pPr>
        <w:spacing w:after="0" w:line="68"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12,000</w:t>
      </w:r>
    </w:p>
    <w:p>
      <w:pPr>
        <w:spacing w:after="0" w:line="35"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2,500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110,000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80,000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30,000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10,000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140,000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25,000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185,000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80,000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288,000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30,000</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750</w:t>
      </w:r>
    </w:p>
    <w:p>
      <w:pPr>
        <w:spacing w:after="0" w:line="35"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2,000</w:t>
      </w:r>
    </w:p>
    <w:p>
      <w:pPr>
        <w:spacing w:after="0" w:line="35"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2,500</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86,000</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220,000</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50,000</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38100</wp:posOffset>
            </wp:positionV>
            <wp:extent cx="731202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4840" w:space="720"/>
            <w:col w:w="5920"/>
          </w:cols>
          <w:pgMar w:left="220" w:top="308" w:right="19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138"/>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Division/Description</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UM</w:t>
            </w:r>
          </w:p>
        </w:tc>
      </w:tr>
      <w:tr>
        <w:trPr>
          <w:trHeight w:val="21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Steam Pipe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Supplemental Cooling</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HW Boiler</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Pumps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Sales Tax</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1"/>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OHP at 15%</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DELETE FUTURE CAPACITY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CONTINGENCY</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27"/>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Electrical and Fire Alarm</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1"/>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Demolition/make safe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Feeders &amp; Power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Distribution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Lighting and controls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Devices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Dedicated 450kw Generator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Interlocks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7"/>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Fire alarm</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HVAC wiring</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27"/>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General Requirements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Parking</w:t>
            </w: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mnths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Police details</w:t>
            </w: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Allowance for MEP distribution in occupied spaces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alw</w:t>
            </w: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Signage for occupancy</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Is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Allowance for rigging equipment</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alw</w:t>
            </w:r>
          </w:p>
        </w:tc>
      </w:tr>
      <w:tr>
        <w:trPr>
          <w:trHeight w:val="427"/>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General Conditions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Safety/third party inspection</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Consumables</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ea</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Field operation expenses</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Final cleaning</w:t>
            </w:r>
          </w:p>
        </w:tc>
        <w:tc>
          <w:tcPr>
            <w:tcW w:w="860" w:type="dxa"/>
            <w:vAlign w:val="bottom"/>
          </w:tcPr>
          <w:p>
            <w:pPr>
              <w:jc w:val="right"/>
              <w:spacing w:after="0"/>
              <w:rPr>
                <w:sz w:val="20"/>
                <w:szCs w:val="20"/>
                <w:color w:val="auto"/>
              </w:rPr>
            </w:pPr>
            <w:r>
              <w:rPr>
                <w:rFonts w:ascii="Arial" w:cs="Arial" w:eastAsia="Arial" w:hAnsi="Arial"/>
                <w:sz w:val="15"/>
                <w:szCs w:val="15"/>
                <w:color w:val="auto"/>
              </w:rPr>
              <w:t>8,700</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sf</w:t>
            </w:r>
          </w:p>
        </w:tc>
      </w:tr>
      <w:tr>
        <w:trPr>
          <w:trHeight w:val="209"/>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Sanitary facilities</w:t>
            </w: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mnths</w:t>
            </w:r>
          </w:p>
        </w:tc>
      </w:tr>
      <w:tr>
        <w:trPr>
          <w:trHeight w:val="394"/>
        </w:trPr>
        <w:tc>
          <w:tcPr>
            <w:tcW w:w="6160" w:type="dxa"/>
            <w:vAlign w:val="bottom"/>
            <w:gridSpan w:val="2"/>
          </w:tcPr>
          <w:p>
            <w:pPr>
              <w:spacing w:after="0"/>
              <w:rPr>
                <w:sz w:val="20"/>
                <w:szCs w:val="20"/>
                <w:color w:val="auto"/>
              </w:rPr>
            </w:pPr>
            <w:r>
              <w:rPr>
                <w:rFonts w:ascii="Arial" w:cs="Arial" w:eastAsia="Arial" w:hAnsi="Arial"/>
                <w:sz w:val="15"/>
                <w:szCs w:val="15"/>
                <w:b w:val="1"/>
                <w:bCs w:val="1"/>
                <w:color w:val="auto"/>
              </w:rPr>
              <w:t>Supervision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Project Executive (1 day/week)</w:t>
            </w:r>
          </w:p>
        </w:tc>
        <w:tc>
          <w:tcPr>
            <w:tcW w:w="860" w:type="dxa"/>
            <w:vAlign w:val="bottom"/>
          </w:tcPr>
          <w:p>
            <w:pPr>
              <w:jc w:val="right"/>
              <w:spacing w:after="0"/>
              <w:rPr>
                <w:sz w:val="20"/>
                <w:szCs w:val="20"/>
                <w:color w:val="auto"/>
              </w:rPr>
            </w:pPr>
            <w:r>
              <w:rPr>
                <w:rFonts w:ascii="Arial" w:cs="Arial" w:eastAsia="Arial" w:hAnsi="Arial"/>
                <w:sz w:val="15"/>
                <w:szCs w:val="15"/>
                <w:color w:val="auto"/>
              </w:rPr>
              <w:t>21</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days</w:t>
            </w:r>
          </w:p>
        </w:tc>
      </w:tr>
      <w:tr>
        <w:trPr>
          <w:trHeight w:val="176"/>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Project Manager (PM carried under the Office/Lab/ACF Project)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0"/>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Assistant Project Manager</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Assistant Project Manager</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Project Superintendent</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Assistant Superintendent</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Planner (1 day/week)</w:t>
            </w:r>
          </w:p>
        </w:tc>
        <w:tc>
          <w:tcPr>
            <w:tcW w:w="860" w:type="dxa"/>
            <w:vAlign w:val="bottom"/>
          </w:tcPr>
          <w:p>
            <w:pPr>
              <w:jc w:val="right"/>
              <w:spacing w:after="0"/>
              <w:rPr>
                <w:sz w:val="20"/>
                <w:szCs w:val="20"/>
                <w:color w:val="auto"/>
              </w:rPr>
            </w:pPr>
            <w:r>
              <w:rPr>
                <w:rFonts w:ascii="Arial" w:cs="Arial" w:eastAsia="Arial" w:hAnsi="Arial"/>
                <w:sz w:val="15"/>
                <w:szCs w:val="15"/>
                <w:color w:val="auto"/>
              </w:rPr>
              <w:t>12</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MEP Coordinator</w:t>
            </w: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Field Operations Manager</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Estimator</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wks</w:t>
            </w:r>
          </w:p>
        </w:tc>
      </w:tr>
      <w:tr>
        <w:trPr>
          <w:trHeight w:val="208"/>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Project Administrative Assistant</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days</w:t>
            </w:r>
          </w:p>
        </w:tc>
      </w:tr>
      <w:tr>
        <w:trPr>
          <w:trHeight w:val="209"/>
        </w:trPr>
        <w:tc>
          <w:tcPr>
            <w:tcW w:w="6160" w:type="dxa"/>
            <w:vAlign w:val="bottom"/>
            <w:gridSpan w:val="2"/>
          </w:tcPr>
          <w:p>
            <w:pPr>
              <w:ind w:left="200"/>
              <w:spacing w:after="0"/>
              <w:rPr>
                <w:sz w:val="20"/>
                <w:szCs w:val="20"/>
                <w:color w:val="auto"/>
              </w:rPr>
            </w:pPr>
            <w:r>
              <w:rPr>
                <w:rFonts w:ascii="Arial" w:cs="Arial" w:eastAsia="Arial" w:hAnsi="Arial"/>
                <w:sz w:val="15"/>
                <w:szCs w:val="15"/>
                <w:color w:val="auto"/>
              </w:rPr>
              <w:t>Project Accountant</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days</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Engineering</w:t>
      </w: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960" w:val="left"/>
          <w:tab w:leader="none" w:pos="2220" w:val="left"/>
        </w:tabs>
        <w:rPr>
          <w:sz w:val="20"/>
          <w:szCs w:val="20"/>
          <w:color w:val="auto"/>
        </w:rPr>
      </w:pPr>
      <w:r>
        <w:rPr>
          <w:rFonts w:ascii="Arial" w:cs="Arial" w:eastAsia="Arial" w:hAnsi="Arial"/>
          <w:sz w:val="12"/>
          <w:szCs w:val="12"/>
          <w:b w:val="1"/>
          <w:bCs w:val="1"/>
          <w:color w:val="auto"/>
        </w:rPr>
        <w:t>Unit $</w:t>
      </w:r>
      <w:r>
        <w:rPr>
          <w:sz w:val="20"/>
          <w:szCs w:val="20"/>
          <w:color w:val="auto"/>
        </w:rPr>
        <w:tab/>
      </w:r>
      <w:r>
        <w:rPr>
          <w:rFonts w:ascii="Arial" w:cs="Arial" w:eastAsia="Arial" w:hAnsi="Arial"/>
          <w:sz w:val="12"/>
          <w:szCs w:val="12"/>
          <w:b w:val="1"/>
          <w:bCs w:val="1"/>
          <w:color w:val="auto"/>
        </w:rPr>
        <w:t>Line Sum</w:t>
      </w:r>
      <w:r>
        <w:rPr>
          <w:sz w:val="20"/>
          <w:szCs w:val="20"/>
          <w:color w:val="auto"/>
        </w:rPr>
        <w:tab/>
      </w:r>
      <w:r>
        <w:rPr>
          <w:rFonts w:ascii="Arial" w:cs="Arial" w:eastAsia="Arial" w:hAnsi="Arial"/>
          <w:sz w:val="10"/>
          <w:szCs w:val="10"/>
          <w:b w:val="1"/>
          <w:bCs w:val="1"/>
          <w:color w:val="auto"/>
        </w:rPr>
        <w:t>Div.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0</wp:posOffset>
            </wp:positionV>
            <wp:extent cx="215328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3285" cy="6985"/>
                    </a:xfrm>
                    <a:prstGeom prst="rect">
                      <a:avLst/>
                    </a:prstGeom>
                    <a:noFill/>
                  </pic:spPr>
                </pic:pic>
              </a:graphicData>
            </a:graphic>
          </wp:anchor>
        </w:drawing>
      </w:r>
    </w:p>
    <w:p>
      <w:pPr>
        <w:spacing w:after="0" w:line="3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75,000</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25,000</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70,000</w:t>
      </w:r>
    </w:p>
    <w:p>
      <w:pPr>
        <w:spacing w:after="0" w:line="68"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30,000</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69,594</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563,752</w:t>
      </w:r>
    </w:p>
    <w:p>
      <w:pPr>
        <w:spacing w:after="0" w:line="35"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-315,000</w:t>
      </w:r>
    </w:p>
    <w:p>
      <w:pPr>
        <w:spacing w:after="0" w:line="3" w:lineRule="exact"/>
        <w:rPr>
          <w:sz w:val="20"/>
          <w:szCs w:val="20"/>
          <w:color w:val="auto"/>
        </w:rPr>
      </w:pPr>
    </w:p>
    <w:p>
      <w:pPr>
        <w:jc w:val="right"/>
        <w:ind w:right="1380"/>
        <w:spacing w:after="0"/>
        <w:rPr>
          <w:sz w:val="20"/>
          <w:szCs w:val="20"/>
          <w:color w:val="auto"/>
        </w:rPr>
      </w:pPr>
      <w:r>
        <w:rPr>
          <w:rFonts w:ascii="Arial" w:cs="Arial" w:eastAsia="Arial" w:hAnsi="Arial"/>
          <w:sz w:val="15"/>
          <w:szCs w:val="15"/>
          <w:color w:val="auto"/>
        </w:rPr>
        <w:t>25,000</w:t>
      </w:r>
    </w:p>
    <w:p>
      <w:pPr>
        <w:spacing w:after="0" w:line="50"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$4,242,096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13970</wp:posOffset>
            </wp:positionV>
            <wp:extent cx="81978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6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9,545</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65,000</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45,000</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205,000</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30,000</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360,000</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44,000</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30,000</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40,000</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$828,545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13970</wp:posOffset>
            </wp:positionV>
            <wp:extent cx="81978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31" w:lineRule="exact"/>
        <w:rPr>
          <w:sz w:val="20"/>
          <w:szCs w:val="20"/>
          <w:color w:val="auto"/>
        </w:rPr>
      </w:pPr>
    </w:p>
    <w:p>
      <w:pPr>
        <w:ind w:left="1380" w:hanging="1039"/>
        <w:spacing w:after="0"/>
        <w:tabs>
          <w:tab w:leader="none" w:pos="138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5,700</w:t>
      </w:r>
    </w:p>
    <w:p>
      <w:pPr>
        <w:spacing w:after="0" w:line="35" w:lineRule="exact"/>
        <w:rPr>
          <w:rFonts w:ascii="Arial" w:cs="Arial" w:eastAsia="Arial" w:hAnsi="Arial"/>
          <w:sz w:val="15"/>
          <w:szCs w:val="15"/>
          <w:color w:val="auto"/>
        </w:rPr>
      </w:pPr>
    </w:p>
    <w:p>
      <w:pPr>
        <w:ind w:left="1380" w:hanging="1039"/>
        <w:spacing w:after="0"/>
        <w:tabs>
          <w:tab w:leader="none" w:pos="138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3,080</w:t>
      </w:r>
    </w:p>
    <w:p>
      <w:pPr>
        <w:spacing w:after="0" w:line="35"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5"/>
          <w:szCs w:val="15"/>
          <w:color w:val="auto"/>
        </w:rPr>
        <w:t>35,000</w:t>
      </w:r>
      <w:r>
        <w:rPr>
          <w:sz w:val="20"/>
          <w:szCs w:val="20"/>
          <w:color w:val="auto"/>
        </w:rPr>
        <w:tab/>
      </w:r>
      <w:r>
        <w:rPr>
          <w:rFonts w:ascii="Arial" w:cs="Arial" w:eastAsia="Arial" w:hAnsi="Arial"/>
          <w:sz w:val="15"/>
          <w:szCs w:val="15"/>
          <w:color w:val="auto"/>
        </w:rPr>
        <w:t>35,000</w:t>
      </w:r>
    </w:p>
    <w:p>
      <w:pPr>
        <w:spacing w:after="0" w:line="35" w:lineRule="exact"/>
        <w:rPr>
          <w:sz w:val="20"/>
          <w:szCs w:val="20"/>
          <w:color w:val="auto"/>
        </w:rPr>
      </w:pPr>
    </w:p>
    <w:p>
      <w:pPr>
        <w:ind w:left="220"/>
        <w:spacing w:after="0"/>
        <w:tabs>
          <w:tab w:leader="none" w:pos="1360" w:val="left"/>
        </w:tabs>
        <w:rPr>
          <w:sz w:val="20"/>
          <w:szCs w:val="20"/>
          <w:color w:val="auto"/>
        </w:rPr>
      </w:pPr>
      <w:r>
        <w:rPr>
          <w:rFonts w:ascii="Arial" w:cs="Arial" w:eastAsia="Arial" w:hAnsi="Arial"/>
          <w:sz w:val="15"/>
          <w:szCs w:val="15"/>
          <w:color w:val="auto"/>
        </w:rPr>
        <w:t>2,500</w:t>
      </w:r>
      <w:r>
        <w:rPr>
          <w:sz w:val="20"/>
          <w:szCs w:val="20"/>
          <w:color w:val="auto"/>
        </w:rPr>
        <w:tab/>
      </w:r>
      <w:r>
        <w:rPr>
          <w:rFonts w:ascii="Arial" w:cs="Arial" w:eastAsia="Arial" w:hAnsi="Arial"/>
          <w:sz w:val="15"/>
          <w:szCs w:val="15"/>
          <w:color w:val="auto"/>
        </w:rPr>
        <w:t>2,500</w:t>
      </w:r>
    </w:p>
    <w:p>
      <w:pPr>
        <w:spacing w:after="0" w:line="35"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5"/>
          <w:szCs w:val="15"/>
          <w:color w:val="auto"/>
        </w:rPr>
        <w:t>25,000</w:t>
      </w:r>
      <w:r>
        <w:rPr>
          <w:sz w:val="20"/>
          <w:szCs w:val="20"/>
          <w:color w:val="auto"/>
        </w:rPr>
        <w:tab/>
      </w:r>
      <w:r>
        <w:rPr>
          <w:rFonts w:ascii="Arial" w:cs="Arial" w:eastAsia="Arial" w:hAnsi="Arial"/>
          <w:sz w:val="15"/>
          <w:szCs w:val="15"/>
          <w:color w:val="auto"/>
        </w:rPr>
        <w:t>25,000</w:t>
      </w:r>
    </w:p>
    <w:p>
      <w:pPr>
        <w:spacing w:after="0" w:line="50"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76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Arial" w:cs="Arial" w:eastAsia="Arial" w:hAnsi="Arial"/>
                <w:sz w:val="15"/>
                <w:szCs w:val="15"/>
                <w:b w:val="1"/>
                <w:bCs w:val="1"/>
                <w:color w:val="auto"/>
              </w:rPr>
              <w:t>$71,280</w:t>
            </w:r>
          </w:p>
        </w:tc>
      </w:tr>
      <w:tr>
        <w:trPr>
          <w:trHeight w:val="385"/>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250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6,000</w:t>
            </w:r>
          </w:p>
        </w:tc>
        <w:tc>
          <w:tcPr>
            <w:tcW w:w="1280" w:type="dxa"/>
            <w:vAlign w:val="bottom"/>
            <w:tcBorders>
              <w:top w:val="single" w:sz="8" w:color="auto"/>
            </w:tcBorders>
          </w:tcPr>
          <w:p>
            <w:pPr>
              <w:spacing w:after="0"/>
              <w:rPr>
                <w:sz w:val="24"/>
                <w:szCs w:val="24"/>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w w:val="91"/>
              </w:rPr>
              <w:t>15,000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15,000</w:t>
            </w:r>
          </w:p>
        </w:tc>
        <w:tc>
          <w:tcPr>
            <w:tcW w:w="1280" w:type="dxa"/>
            <w:vAlign w:val="bottom"/>
          </w:tcPr>
          <w:p>
            <w:pPr>
              <w:spacing w:after="0"/>
              <w:rPr>
                <w:sz w:val="18"/>
                <w:szCs w:val="18"/>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780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18,720</w:t>
            </w:r>
          </w:p>
        </w:tc>
        <w:tc>
          <w:tcPr>
            <w:tcW w:w="1280" w:type="dxa"/>
            <w:vAlign w:val="bottom"/>
          </w:tcPr>
          <w:p>
            <w:pPr>
              <w:spacing w:after="0"/>
              <w:rPr>
                <w:sz w:val="18"/>
                <w:szCs w:val="18"/>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3.95</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34,365</w:t>
            </w:r>
          </w:p>
        </w:tc>
        <w:tc>
          <w:tcPr>
            <w:tcW w:w="1280" w:type="dxa"/>
            <w:vAlign w:val="bottom"/>
          </w:tcPr>
          <w:p>
            <w:pPr>
              <w:spacing w:after="0"/>
              <w:rPr>
                <w:sz w:val="18"/>
                <w:szCs w:val="18"/>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975</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4,875</w:t>
            </w:r>
          </w:p>
        </w:tc>
        <w:tc>
          <w:tcPr>
            <w:tcW w:w="1280" w:type="dxa"/>
            <w:vAlign w:val="bottom"/>
          </w:tcPr>
          <w:p>
            <w:pPr>
              <w:spacing w:after="0"/>
              <w:rPr>
                <w:sz w:val="18"/>
                <w:szCs w:val="18"/>
                <w:color w:val="auto"/>
              </w:rPr>
            </w:pPr>
          </w:p>
        </w:tc>
      </w:tr>
      <w:tr>
        <w:trPr>
          <w:trHeight w:val="229"/>
        </w:trPr>
        <w:tc>
          <w:tcPr>
            <w:tcW w:w="76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5"/>
                <w:szCs w:val="15"/>
                <w:b w:val="1"/>
                <w:bCs w:val="1"/>
                <w:color w:val="auto"/>
              </w:rPr>
              <w:t>$78,960</w:t>
            </w:r>
          </w:p>
        </w:tc>
      </w:tr>
      <w:tr>
        <w:trPr>
          <w:trHeight w:val="385"/>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1,240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26,040</w:t>
            </w:r>
          </w:p>
        </w:tc>
        <w:tc>
          <w:tcPr>
            <w:tcW w:w="1280" w:type="dxa"/>
            <w:vAlign w:val="bottom"/>
            <w:tcBorders>
              <w:top w:val="single" w:sz="8" w:color="auto"/>
            </w:tcBorders>
          </w:tcPr>
          <w:p>
            <w:pPr>
              <w:spacing w:after="0"/>
              <w:rPr>
                <w:sz w:val="24"/>
                <w:szCs w:val="24"/>
                <w:color w:val="auto"/>
              </w:rPr>
            </w:pPr>
          </w:p>
        </w:tc>
      </w:tr>
      <w:tr>
        <w:trPr>
          <w:trHeight w:val="208"/>
        </w:trPr>
        <w:tc>
          <w:tcPr>
            <w:tcW w:w="760" w:type="dxa"/>
            <w:vAlign w:val="bottom"/>
          </w:tcPr>
          <w:p>
            <w:pPr>
              <w:spacing w:after="0"/>
              <w:rPr>
                <w:sz w:val="18"/>
                <w:szCs w:val="18"/>
                <w:color w:val="auto"/>
              </w:rPr>
            </w:pPr>
          </w:p>
        </w:tc>
        <w:tc>
          <w:tcPr>
            <w:tcW w:w="2220" w:type="dxa"/>
            <w:vAlign w:val="bottom"/>
            <w:gridSpan w:val="2"/>
          </w:tcPr>
          <w:p>
            <w:pPr>
              <w:jc w:val="right"/>
              <w:ind w:right="1380"/>
              <w:spacing w:after="0"/>
              <w:rPr>
                <w:sz w:val="20"/>
                <w:szCs w:val="20"/>
                <w:color w:val="auto"/>
              </w:rPr>
            </w:pPr>
            <w:r>
              <w:rPr>
                <w:rFonts w:ascii="Arial" w:cs="Arial" w:eastAsia="Arial" w:hAnsi="Arial"/>
                <w:sz w:val="15"/>
                <w:szCs w:val="15"/>
                <w:color w:val="auto"/>
              </w:rPr>
              <w:t>NIC</w:t>
            </w: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3,000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72,000</w:t>
            </w:r>
          </w:p>
        </w:tc>
        <w:tc>
          <w:tcPr>
            <w:tcW w:w="1280" w:type="dxa"/>
            <w:vAlign w:val="bottom"/>
          </w:tcPr>
          <w:p>
            <w:pPr>
              <w:spacing w:after="0"/>
              <w:rPr>
                <w:sz w:val="18"/>
                <w:szCs w:val="18"/>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3,000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72,000</w:t>
            </w:r>
          </w:p>
        </w:tc>
        <w:tc>
          <w:tcPr>
            <w:tcW w:w="1280" w:type="dxa"/>
            <w:vAlign w:val="bottom"/>
          </w:tcPr>
          <w:p>
            <w:pPr>
              <w:spacing w:after="0"/>
              <w:rPr>
                <w:sz w:val="18"/>
                <w:szCs w:val="18"/>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4,200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100,800</w:t>
            </w:r>
          </w:p>
        </w:tc>
        <w:tc>
          <w:tcPr>
            <w:tcW w:w="1280" w:type="dxa"/>
            <w:vAlign w:val="bottom"/>
          </w:tcPr>
          <w:p>
            <w:pPr>
              <w:spacing w:after="0"/>
              <w:rPr>
                <w:sz w:val="18"/>
                <w:szCs w:val="18"/>
                <w:color w:val="auto"/>
              </w:rPr>
            </w:pPr>
          </w:p>
        </w:tc>
      </w:tr>
      <w:tr>
        <w:trPr>
          <w:trHeight w:val="208"/>
        </w:trPr>
        <w:tc>
          <w:tcPr>
            <w:tcW w:w="760" w:type="dxa"/>
            <w:vAlign w:val="bottom"/>
          </w:tcPr>
          <w:p>
            <w:pPr>
              <w:jc w:val="right"/>
              <w:ind w:right="247"/>
              <w:spacing w:after="0"/>
              <w:rPr>
                <w:sz w:val="20"/>
                <w:szCs w:val="20"/>
                <w:color w:val="auto"/>
              </w:rPr>
            </w:pPr>
            <w:r>
              <w:rPr>
                <w:rFonts w:ascii="Arial" w:cs="Arial" w:eastAsia="Arial" w:hAnsi="Arial"/>
                <w:sz w:val="15"/>
                <w:szCs w:val="15"/>
                <w:color w:val="auto"/>
              </w:rPr>
              <w:t>3,000</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72,000</w:t>
            </w:r>
          </w:p>
        </w:tc>
        <w:tc>
          <w:tcPr>
            <w:tcW w:w="1280" w:type="dxa"/>
            <w:vAlign w:val="bottom"/>
          </w:tcPr>
          <w:p>
            <w:pPr>
              <w:spacing w:after="0"/>
              <w:rPr>
                <w:sz w:val="18"/>
                <w:szCs w:val="18"/>
                <w:color w:val="auto"/>
              </w:rPr>
            </w:pPr>
          </w:p>
        </w:tc>
      </w:tr>
    </w:tbl>
    <w:p>
      <w:pPr>
        <w:spacing w:after="0" w:line="32" w:lineRule="exact"/>
        <w:rPr>
          <w:sz w:val="20"/>
          <w:szCs w:val="20"/>
          <w:color w:val="auto"/>
        </w:rPr>
      </w:pPr>
    </w:p>
    <w:p>
      <w:pPr>
        <w:ind w:left="1300" w:hanging="959"/>
        <w:spacing w:after="0"/>
        <w:tabs>
          <w:tab w:leader="none" w:pos="13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11,520</w:t>
      </w:r>
    </w:p>
    <w:p>
      <w:pPr>
        <w:spacing w:after="0" w:line="35"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color w:val="auto"/>
        </w:rPr>
        <w:t>4,200</w:t>
      </w:r>
      <w:r>
        <w:rPr>
          <w:rFonts w:ascii="Arial" w:cs="Arial" w:eastAsia="Arial" w:hAnsi="Arial"/>
          <w:sz w:val="14"/>
          <w:szCs w:val="14"/>
          <w:color w:val="auto"/>
        </w:rPr>
        <w:t>33,600</w:t>
      </w:r>
    </w:p>
    <w:p>
      <w:pPr>
        <w:spacing w:after="0" w:line="35"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color w:val="auto"/>
        </w:rPr>
        <w:t>4,800</w:t>
      </w:r>
      <w:r>
        <w:rPr>
          <w:rFonts w:ascii="Arial" w:cs="Arial" w:eastAsia="Arial" w:hAnsi="Arial"/>
          <w:sz w:val="14"/>
          <w:szCs w:val="14"/>
          <w:color w:val="auto"/>
        </w:rPr>
        <w:t>19,200</w:t>
      </w:r>
    </w:p>
    <w:p>
      <w:pPr>
        <w:spacing w:after="0" w:line="35"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5"/>
          <w:szCs w:val="15"/>
          <w:color w:val="auto"/>
        </w:rPr>
        <w:t>5,600</w:t>
      </w:r>
      <w:r>
        <w:rPr>
          <w:sz w:val="20"/>
          <w:szCs w:val="20"/>
          <w:color w:val="auto"/>
        </w:rPr>
        <w:tab/>
      </w:r>
      <w:r>
        <w:rPr>
          <w:rFonts w:ascii="Arial" w:cs="Arial" w:eastAsia="Arial" w:hAnsi="Arial"/>
          <w:sz w:val="15"/>
          <w:szCs w:val="15"/>
          <w:color w:val="auto"/>
        </w:rPr>
        <w:t>22,400</w:t>
      </w:r>
    </w:p>
    <w:p>
      <w:pPr>
        <w:spacing w:after="0" w:line="35" w:lineRule="exact"/>
        <w:rPr>
          <w:sz w:val="20"/>
          <w:szCs w:val="20"/>
          <w:color w:val="auto"/>
        </w:rPr>
      </w:pPr>
    </w:p>
    <w:p>
      <w:pPr>
        <w:ind w:left="1300" w:hanging="959"/>
        <w:spacing w:after="0"/>
        <w:tabs>
          <w:tab w:leader="none" w:pos="130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11,520</w:t>
      </w:r>
    </w:p>
    <w:p>
      <w:pPr>
        <w:spacing w:after="0" w:line="35" w:lineRule="exact"/>
        <w:rPr>
          <w:rFonts w:ascii="Arial" w:cs="Arial" w:eastAsia="Arial" w:hAnsi="Arial"/>
          <w:sz w:val="15"/>
          <w:szCs w:val="15"/>
          <w:color w:val="auto"/>
        </w:rPr>
      </w:pPr>
    </w:p>
    <w:p>
      <w:pPr>
        <w:ind w:left="1300" w:hanging="959"/>
        <w:spacing w:after="0"/>
        <w:tabs>
          <w:tab w:leader="none" w:pos="13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14,400</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$455,480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13970</wp:posOffset>
            </wp:positionV>
            <wp:extent cx="81978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ectPr>
          <w:pgSz w:w="11900" w:h="16838" w:orient="portrait"/>
          <w:cols w:equalWidth="0" w:num="2">
            <w:col w:w="8000" w:space="360"/>
            <w:col w:w="3120"/>
          </w:cols>
          <w:pgMar w:left="220" w:top="307" w:right="199" w:bottom="1440" w:gutter="0" w:footer="0" w:header="0"/>
        </w:sectPr>
      </w:pPr>
    </w:p>
    <w:bookmarkStart w:id="324" w:name="page325"/>
    <w:bookmarkEnd w:id="324"/>
    <w:p>
      <w:pPr>
        <w:spacing w:after="0"/>
        <w:rPr>
          <w:sz w:val="20"/>
          <w:szCs w:val="20"/>
          <w:color w:val="auto"/>
        </w:rPr>
      </w:pPr>
      <w:r>
        <w:rPr>
          <w:rFonts w:ascii="Arial" w:cs="Arial" w:eastAsia="Arial" w:hAnsi="Arial"/>
          <w:sz w:val="12"/>
          <w:szCs w:val="12"/>
          <w:b w:val="1"/>
          <w:bCs w:val="1"/>
          <w:color w:val="auto"/>
        </w:rPr>
        <w:t>Division/Description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85508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55085" cy="698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Architectural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Structural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MEP</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and Permits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General Liability Insurance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Building Permits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Contingency</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Overhead and Profit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Budget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138"/>
        </w:trPr>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Qty</w:t>
            </w:r>
          </w:p>
        </w:tc>
        <w:tc>
          <w:tcPr>
            <w:tcW w:w="120" w:type="dxa"/>
            <w:vAlign w:val="bottom"/>
          </w:tcPr>
          <w:p>
            <w:pPr>
              <w:spacing w:after="0"/>
              <w:rPr>
                <w:sz w:val="12"/>
                <w:szCs w:val="12"/>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UM</w:t>
            </w:r>
          </w:p>
        </w:tc>
        <w:tc>
          <w:tcPr>
            <w:tcW w:w="100" w:type="dxa"/>
            <w:vAlign w:val="bottom"/>
          </w:tcPr>
          <w:p>
            <w:pPr>
              <w:spacing w:after="0"/>
              <w:rPr>
                <w:sz w:val="12"/>
                <w:szCs w:val="1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Unit $</w:t>
            </w:r>
          </w:p>
        </w:tc>
        <w:tc>
          <w:tcPr>
            <w:tcW w:w="80" w:type="dxa"/>
            <w:vAlign w:val="bottom"/>
          </w:tcPr>
          <w:p>
            <w:pPr>
              <w:spacing w:after="0"/>
              <w:rPr>
                <w:sz w:val="12"/>
                <w:szCs w:val="12"/>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Line Sum</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Div. Sum</w:t>
            </w: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NIC</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4"/>
        </w:trPr>
        <w:tc>
          <w:tcPr>
            <w:tcW w:w="86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92,189</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138,284</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$230,473</w:t>
            </w:r>
          </w:p>
        </w:tc>
        <w:tc>
          <w:tcPr>
            <w:tcW w:w="0" w:type="dxa"/>
            <w:vAlign w:val="bottom"/>
          </w:tcPr>
          <w:p>
            <w:pPr>
              <w:spacing w:after="0"/>
              <w:rPr>
                <w:sz w:val="1"/>
                <w:szCs w:val="1"/>
                <w:color w:val="auto"/>
              </w:rPr>
            </w:pPr>
          </w:p>
        </w:tc>
      </w:tr>
      <w:tr>
        <w:trPr>
          <w:trHeight w:val="22"/>
        </w:trPr>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921,894</w:t>
            </w: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$921,894</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13970</wp:posOffset>
            </wp:positionV>
            <wp:extent cx="81978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56" w:lineRule="exact"/>
        <w:rPr>
          <w:sz w:val="20"/>
          <w:szCs w:val="20"/>
          <w:color w:val="auto"/>
        </w:rPr>
      </w:pPr>
    </w:p>
    <w:p>
      <w:pPr>
        <w:jc w:val="center"/>
        <w:ind w:right="3420"/>
        <w:spacing w:after="0"/>
        <w:rPr>
          <w:sz w:val="20"/>
          <w:szCs w:val="20"/>
          <w:color w:val="auto"/>
        </w:rPr>
      </w:pPr>
      <w:r>
        <w:rPr>
          <w:rFonts w:ascii="Arial" w:cs="Arial" w:eastAsia="Arial" w:hAnsi="Arial"/>
          <w:sz w:val="15"/>
          <w:szCs w:val="15"/>
          <w:color w:val="auto"/>
        </w:rPr>
        <w:t>3.50%</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$362,996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13970</wp:posOffset>
            </wp:positionV>
            <wp:extent cx="81978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19785" cy="6985"/>
                    </a:xfrm>
                    <a:prstGeom prst="rect">
                      <a:avLst/>
                    </a:prstGeom>
                    <a:noFill/>
                  </pic:spPr>
                </pic:pic>
              </a:graphicData>
            </a:graphic>
          </wp:anchor>
        </w:drawing>
      </w:r>
    </w:p>
    <w:p>
      <w:pPr>
        <w:spacing w:after="0" w:line="246"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$10,734,299</w:t>
      </w: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38100</wp:posOffset>
            </wp:positionV>
            <wp:extent cx="7312025"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4840" w:space="720"/>
            <w:col w:w="5920"/>
          </w:cols>
          <w:pgMar w:left="220" w:top="308" w:right="199" w:bottom="1440" w:gutter="0" w:footer="0" w:header="0"/>
        </w:sectPr>
      </w:pPr>
    </w:p>
    <w:bookmarkStart w:id="325" w:name="page326"/>
    <w:bookmarkEnd w:id="325"/>
    <w:p>
      <w:pPr>
        <w:jc w:val="center"/>
        <w:ind w:right="-20"/>
        <w:spacing w:after="0"/>
        <w:rPr>
          <w:sz w:val="20"/>
          <w:szCs w:val="20"/>
          <w:color w:val="auto"/>
        </w:rPr>
      </w:pPr>
      <w:r>
        <w:rPr>
          <w:rFonts w:ascii="Arial" w:cs="Arial" w:eastAsia="Arial" w:hAnsi="Arial"/>
          <w:sz w:val="15"/>
          <w:szCs w:val="15"/>
          <w:b w:val="1"/>
          <w:bCs w:val="1"/>
          <w:color w:val="auto"/>
        </w:rPr>
        <w:t>EXHIBIT B-4-a</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PHASE 1 SCHEDULE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746125</wp:posOffset>
            </wp:positionV>
            <wp:extent cx="731202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311150</wp:posOffset>
            </wp:positionV>
            <wp:extent cx="7312025" cy="47637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312025" cy="4763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311150</wp:posOffset>
            </wp:positionV>
            <wp:extent cx="7312025" cy="47917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31202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311150</wp:posOffset>
            </wp:positionV>
            <wp:extent cx="7312025" cy="47917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31202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421640</wp:posOffset>
            </wp:positionV>
            <wp:extent cx="7312025" cy="47428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12025" cy="4742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5215890</wp:posOffset>
            </wp:positionV>
            <wp:extent cx="731202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drawing>
          <wp:anchor simplePos="0" relativeHeight="251657728" behindDoc="1" locked="0" layoutInCell="0" allowOverlap="1">
            <wp:simplePos x="0" y="0"/>
            <wp:positionH relativeFrom="page">
              <wp:posOffset>831850</wp:posOffset>
            </wp:positionH>
            <wp:positionV relativeFrom="page">
              <wp:posOffset>311150</wp:posOffset>
            </wp:positionV>
            <wp:extent cx="5897245" cy="44176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5897245" cy="4417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jc w:val="center"/>
        <w:ind w:right="-20"/>
        <w:spacing w:after="0"/>
        <w:rPr>
          <w:sz w:val="20"/>
          <w:szCs w:val="20"/>
          <w:color w:val="auto"/>
        </w:rPr>
      </w:pPr>
      <w:r>
        <w:rPr>
          <w:rFonts w:ascii="Arial" w:cs="Arial" w:eastAsia="Arial" w:hAnsi="Arial"/>
          <w:sz w:val="15"/>
          <w:szCs w:val="15"/>
          <w:b w:val="1"/>
          <w:bCs w:val="1"/>
          <w:color w:val="auto"/>
        </w:rPr>
        <w:t>EXHIBIT B-4-b</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PHASE 2 SCHEDULE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718185</wp:posOffset>
            </wp:positionV>
            <wp:extent cx="7312025"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311150</wp:posOffset>
            </wp:positionV>
            <wp:extent cx="7312025" cy="48679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312025" cy="4867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311150</wp:posOffset>
            </wp:positionV>
            <wp:extent cx="7312025" cy="4867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312025" cy="4867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311150</wp:posOffset>
            </wp:positionV>
            <wp:extent cx="7312025" cy="48679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312025" cy="4867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5251450</wp:posOffset>
            </wp:positionV>
            <wp:extent cx="7312025"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drawing>
          <wp:anchor simplePos="0" relativeHeight="251657728" behindDoc="1" locked="0" layoutInCell="0" allowOverlap="1">
            <wp:simplePos x="0" y="0"/>
            <wp:positionH relativeFrom="page">
              <wp:posOffset>818515</wp:posOffset>
            </wp:positionH>
            <wp:positionV relativeFrom="page">
              <wp:posOffset>311150</wp:posOffset>
            </wp:positionV>
            <wp:extent cx="5932170" cy="4452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5932170" cy="445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5"/>
          <w:szCs w:val="15"/>
          <w:b w:val="1"/>
          <w:bCs w:val="1"/>
          <w:color w:val="auto"/>
        </w:rPr>
        <w:t>EXHIBIT B-5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TENANT WORK INSURANCE REQUIREMENTS</w:t>
      </w:r>
    </w:p>
    <w:p>
      <w:pPr>
        <w:spacing w:after="0" w:line="182" w:lineRule="exact"/>
        <w:rPr>
          <w:sz w:val="20"/>
          <w:szCs w:val="20"/>
          <w:color w:val="auto"/>
        </w:rPr>
      </w:pPr>
    </w:p>
    <w:p>
      <w:pPr>
        <w:jc w:val="both"/>
        <w:ind w:firstLine="520"/>
        <w:spacing w:after="0" w:line="252" w:lineRule="auto"/>
        <w:rPr>
          <w:sz w:val="20"/>
          <w:szCs w:val="20"/>
          <w:color w:val="auto"/>
        </w:rPr>
      </w:pPr>
      <w:r>
        <w:rPr>
          <w:rFonts w:ascii="Arial" w:cs="Arial" w:eastAsia="Arial" w:hAnsi="Arial"/>
          <w:sz w:val="15"/>
          <w:szCs w:val="15"/>
          <w:color w:val="auto"/>
        </w:rPr>
        <w:t>Tenant shall be responsible for requiring all of Tenant contractors doing construction or renovation work to purchase and maintain such insurance as shall protect it from the claims set forth below which may arise out of or result from any Tenant Work whether such Tenant Work is completed by Tenant or by any Tenant contractors or by any person directly or indirectly employed by Tenant or any Tenant contractors, or by any person for whose acts Tenant or any Tenant contractors may be liable:</w:t>
      </w:r>
    </w:p>
    <w:p>
      <w:pPr>
        <w:spacing w:after="0" w:line="69" w:lineRule="exact"/>
        <w:rPr>
          <w:sz w:val="20"/>
          <w:szCs w:val="20"/>
          <w:color w:val="auto"/>
        </w:rPr>
      </w:pPr>
    </w:p>
    <w:p>
      <w:pPr>
        <w:ind w:left="160" w:hanging="152"/>
        <w:spacing w:after="0"/>
        <w:tabs>
          <w:tab w:leader="none" w:pos="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Claims under workers’ compensation, disability benefit and other similar employee benefit acts which are applicable to the Tenant Work to be performed.</w:t>
      </w:r>
    </w:p>
    <w:p>
      <w:pPr>
        <w:spacing w:after="0" w:line="90" w:lineRule="exact"/>
        <w:rPr>
          <w:rFonts w:ascii="Arial" w:cs="Arial" w:eastAsia="Arial" w:hAnsi="Arial"/>
          <w:sz w:val="15"/>
          <w:szCs w:val="15"/>
          <w:color w:val="auto"/>
        </w:rPr>
      </w:pPr>
    </w:p>
    <w:p>
      <w:pPr>
        <w:ind w:left="160" w:hanging="152"/>
        <w:spacing w:after="0"/>
        <w:tabs>
          <w:tab w:leader="none" w:pos="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Claims for damages because of bodily injury, occupational sickness or disease, or death of employees under any applicable employer’s liability law.</w:t>
      </w:r>
    </w:p>
    <w:p>
      <w:pPr>
        <w:spacing w:after="0" w:line="90" w:lineRule="exact"/>
        <w:rPr>
          <w:rFonts w:ascii="Arial" w:cs="Arial" w:eastAsia="Arial" w:hAnsi="Arial"/>
          <w:sz w:val="15"/>
          <w:szCs w:val="15"/>
          <w:color w:val="auto"/>
        </w:rPr>
      </w:pPr>
    </w:p>
    <w:p>
      <w:pPr>
        <w:ind w:left="160" w:hanging="152"/>
        <w:spacing w:after="0"/>
        <w:tabs>
          <w:tab w:leader="none" w:pos="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Claims for damages because of bodily injury, or death of any person other than Tenant’s or any Tenant contractors’ employees.</w:t>
      </w:r>
    </w:p>
    <w:p>
      <w:pPr>
        <w:spacing w:after="0" w:line="90" w:lineRule="exact"/>
        <w:rPr>
          <w:rFonts w:ascii="Arial" w:cs="Arial" w:eastAsia="Arial" w:hAnsi="Arial"/>
          <w:sz w:val="15"/>
          <w:szCs w:val="15"/>
          <w:color w:val="auto"/>
        </w:rPr>
      </w:pPr>
    </w:p>
    <w:p>
      <w:pPr>
        <w:ind w:firstLine="8"/>
        <w:spacing w:after="0" w:line="262" w:lineRule="auto"/>
        <w:tabs>
          <w:tab w:leader="none" w:pos="154"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Claims for damages insured by usual personal injury liability coverage which are sustained (a) by any person as a result of an offense directly or indirectly related to the employment of such person by Tenant or any Tenant contractors or (b) by any other person.</w:t>
      </w:r>
    </w:p>
    <w:p>
      <w:pPr>
        <w:spacing w:after="0" w:line="60" w:lineRule="exact"/>
        <w:rPr>
          <w:rFonts w:ascii="Arial" w:cs="Arial" w:eastAsia="Arial" w:hAnsi="Arial"/>
          <w:sz w:val="15"/>
          <w:szCs w:val="15"/>
          <w:color w:val="auto"/>
        </w:rPr>
      </w:pPr>
    </w:p>
    <w:p>
      <w:pPr>
        <w:ind w:left="160" w:hanging="152"/>
        <w:spacing w:after="0"/>
        <w:tabs>
          <w:tab w:leader="none" w:pos="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Claims for damages, other than to the Tenant Work itself, because of injury to or destruction of tangible property, including loss of use therefrom.</w:t>
      </w:r>
    </w:p>
    <w:p>
      <w:pPr>
        <w:spacing w:after="0" w:line="90" w:lineRule="exact"/>
        <w:rPr>
          <w:rFonts w:ascii="Arial" w:cs="Arial" w:eastAsia="Arial" w:hAnsi="Arial"/>
          <w:sz w:val="15"/>
          <w:szCs w:val="15"/>
          <w:color w:val="auto"/>
        </w:rPr>
      </w:pPr>
    </w:p>
    <w:p>
      <w:pPr>
        <w:ind w:left="160" w:hanging="152"/>
        <w:spacing w:after="0"/>
        <w:tabs>
          <w:tab w:leader="none" w:pos="1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Claims for damages because of bodily injury or death of any person or property damage arising out of the ownership, maintenance or use of any motor vehicle.</w:t>
      </w:r>
    </w:p>
    <w:p>
      <w:pPr>
        <w:spacing w:after="0" w:line="178" w:lineRule="exact"/>
        <w:rPr>
          <w:sz w:val="20"/>
          <w:szCs w:val="20"/>
          <w:color w:val="auto"/>
        </w:rPr>
      </w:pPr>
    </w:p>
    <w:p>
      <w:pPr>
        <w:jc w:val="both"/>
        <w:ind w:firstLine="520"/>
        <w:spacing w:after="0" w:line="252" w:lineRule="auto"/>
        <w:rPr>
          <w:sz w:val="20"/>
          <w:szCs w:val="20"/>
          <w:color w:val="auto"/>
        </w:rPr>
      </w:pPr>
      <w:r>
        <w:rPr>
          <w:rFonts w:ascii="Arial" w:cs="Arial" w:eastAsia="Arial" w:hAnsi="Arial"/>
          <w:sz w:val="15"/>
          <w:szCs w:val="15"/>
          <w:color w:val="auto"/>
        </w:rPr>
        <w:t>Tenant contractors’ Commercial General Liability Insurance shall include premises/operations (including explosion, collapse and underground coverage if such Tenant Work involves any underground work), elevators, independent contractors, products and completed operations, and blanket contractual liability on all written contracts, all including broad form property damage coverage.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Tenant contractors’ Commercial General, Automobile, Employers and Umbrella LiabilityInsurance shall be written for not less than limits of liability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4320" w:type="dxa"/>
            <w:vAlign w:val="bottom"/>
          </w:tcPr>
          <w:p>
            <w:pPr>
              <w:spacing w:after="0"/>
              <w:rPr>
                <w:sz w:val="20"/>
                <w:szCs w:val="20"/>
                <w:color w:val="auto"/>
              </w:rPr>
            </w:pPr>
            <w:r>
              <w:rPr>
                <w:rFonts w:ascii="Arial" w:cs="Arial" w:eastAsia="Arial" w:hAnsi="Arial"/>
                <w:sz w:val="15"/>
                <w:szCs w:val="15"/>
                <w:color w:val="auto"/>
              </w:rPr>
              <w:t>a. Commercial General Liability:</w:t>
            </w:r>
          </w:p>
        </w:tc>
        <w:tc>
          <w:tcPr>
            <w:tcW w:w="6220" w:type="dxa"/>
            <w:vAlign w:val="bottom"/>
          </w:tcPr>
          <w:p>
            <w:pPr>
              <w:ind w:left="2140"/>
              <w:spacing w:after="0"/>
              <w:rPr>
                <w:sz w:val="20"/>
                <w:szCs w:val="20"/>
                <w:color w:val="auto"/>
              </w:rPr>
            </w:pPr>
            <w:r>
              <w:rPr>
                <w:rFonts w:ascii="Arial" w:cs="Arial" w:eastAsia="Arial" w:hAnsi="Arial"/>
                <w:sz w:val="15"/>
                <w:szCs w:val="15"/>
                <w:color w:val="auto"/>
              </w:rPr>
              <w:t>Commercially reasonable amounts, but in any event no less</w:t>
            </w:r>
          </w:p>
        </w:tc>
        <w:tc>
          <w:tcPr>
            <w:tcW w:w="0" w:type="dxa"/>
            <w:vAlign w:val="bottom"/>
          </w:tcPr>
          <w:p>
            <w:pPr>
              <w:spacing w:after="0"/>
              <w:rPr>
                <w:sz w:val="1"/>
                <w:szCs w:val="1"/>
                <w:color w:val="auto"/>
              </w:rPr>
            </w:pPr>
          </w:p>
        </w:tc>
      </w:tr>
      <w:tr>
        <w:trPr>
          <w:trHeight w:val="176"/>
        </w:trPr>
        <w:tc>
          <w:tcPr>
            <w:tcW w:w="4320" w:type="dxa"/>
            <w:vAlign w:val="bottom"/>
            <w:vMerge w:val="restart"/>
          </w:tcPr>
          <w:p>
            <w:pPr>
              <w:ind w:left="180"/>
              <w:spacing w:after="0"/>
              <w:rPr>
                <w:sz w:val="20"/>
                <w:szCs w:val="20"/>
                <w:color w:val="auto"/>
              </w:rPr>
            </w:pPr>
            <w:r>
              <w:rPr>
                <w:rFonts w:ascii="Arial" w:cs="Arial" w:eastAsia="Arial" w:hAnsi="Arial"/>
                <w:sz w:val="15"/>
                <w:szCs w:val="15"/>
                <w:color w:val="auto"/>
              </w:rPr>
              <w:t>Bodily Injury and Property</w:t>
            </w:r>
          </w:p>
        </w:tc>
        <w:tc>
          <w:tcPr>
            <w:tcW w:w="6220" w:type="dxa"/>
            <w:vAlign w:val="bottom"/>
          </w:tcPr>
          <w:p>
            <w:pPr>
              <w:ind w:left="2140"/>
              <w:spacing w:after="0"/>
              <w:rPr>
                <w:sz w:val="20"/>
                <w:szCs w:val="20"/>
                <w:color w:val="auto"/>
              </w:rPr>
            </w:pPr>
            <w:r>
              <w:rPr>
                <w:rFonts w:ascii="Arial" w:cs="Arial" w:eastAsia="Arial" w:hAnsi="Arial"/>
                <w:sz w:val="15"/>
                <w:szCs w:val="15"/>
                <w:color w:val="auto"/>
              </w:rPr>
              <w:t>than $1,000,000 per</w:t>
            </w:r>
          </w:p>
        </w:tc>
        <w:tc>
          <w:tcPr>
            <w:tcW w:w="0" w:type="dxa"/>
            <w:vAlign w:val="bottom"/>
          </w:tcPr>
          <w:p>
            <w:pPr>
              <w:spacing w:after="0"/>
              <w:rPr>
                <w:sz w:val="1"/>
                <w:szCs w:val="1"/>
                <w:color w:val="auto"/>
              </w:rPr>
            </w:pPr>
          </w:p>
        </w:tc>
      </w:tr>
      <w:tr>
        <w:trPr>
          <w:trHeight w:val="185"/>
        </w:trPr>
        <w:tc>
          <w:tcPr>
            <w:tcW w:w="4320" w:type="dxa"/>
            <w:vAlign w:val="bottom"/>
            <w:vMerge w:val="continue"/>
          </w:tcPr>
          <w:p>
            <w:pPr>
              <w:spacing w:after="0"/>
              <w:rPr>
                <w:sz w:val="16"/>
                <w:szCs w:val="16"/>
                <w:color w:val="auto"/>
              </w:rPr>
            </w:pPr>
          </w:p>
        </w:tc>
        <w:tc>
          <w:tcPr>
            <w:tcW w:w="6220" w:type="dxa"/>
            <w:vAlign w:val="bottom"/>
          </w:tcPr>
          <w:p>
            <w:pPr>
              <w:ind w:left="2140"/>
              <w:spacing w:after="0"/>
              <w:rPr>
                <w:sz w:val="20"/>
                <w:szCs w:val="20"/>
                <w:color w:val="auto"/>
              </w:rPr>
            </w:pPr>
            <w:r>
              <w:rPr>
                <w:rFonts w:ascii="Arial" w:cs="Arial" w:eastAsia="Arial" w:hAnsi="Arial"/>
                <w:sz w:val="15"/>
                <w:szCs w:val="15"/>
                <w:color w:val="auto"/>
              </w:rPr>
              <w:t>occurrence and $2,000,000 general</w:t>
            </w:r>
          </w:p>
        </w:tc>
        <w:tc>
          <w:tcPr>
            <w:tcW w:w="0" w:type="dxa"/>
            <w:vAlign w:val="bottom"/>
          </w:tcPr>
          <w:p>
            <w:pPr>
              <w:spacing w:after="0"/>
              <w:rPr>
                <w:sz w:val="1"/>
                <w:szCs w:val="1"/>
                <w:color w:val="auto"/>
              </w:rPr>
            </w:pPr>
          </w:p>
        </w:tc>
      </w:tr>
      <w:tr>
        <w:trPr>
          <w:trHeight w:val="164"/>
        </w:trPr>
        <w:tc>
          <w:tcPr>
            <w:tcW w:w="4320" w:type="dxa"/>
            <w:vAlign w:val="bottom"/>
          </w:tcPr>
          <w:p>
            <w:pPr>
              <w:ind w:left="180"/>
              <w:spacing w:after="0" w:line="164" w:lineRule="exact"/>
              <w:rPr>
                <w:sz w:val="20"/>
                <w:szCs w:val="20"/>
                <w:color w:val="auto"/>
              </w:rPr>
            </w:pPr>
            <w:r>
              <w:rPr>
                <w:rFonts w:ascii="Arial" w:cs="Arial" w:eastAsia="Arial" w:hAnsi="Arial"/>
                <w:sz w:val="15"/>
                <w:szCs w:val="15"/>
                <w:color w:val="auto"/>
              </w:rPr>
              <w:t>Damage</w:t>
            </w:r>
          </w:p>
        </w:tc>
        <w:tc>
          <w:tcPr>
            <w:tcW w:w="6220" w:type="dxa"/>
            <w:vAlign w:val="bottom"/>
          </w:tcPr>
          <w:p>
            <w:pPr>
              <w:ind w:left="2140"/>
              <w:spacing w:after="0" w:line="164" w:lineRule="exact"/>
              <w:rPr>
                <w:sz w:val="20"/>
                <w:szCs w:val="20"/>
                <w:color w:val="auto"/>
              </w:rPr>
            </w:pPr>
            <w:r>
              <w:rPr>
                <w:rFonts w:ascii="Arial" w:cs="Arial" w:eastAsia="Arial" w:hAnsi="Arial"/>
                <w:sz w:val="15"/>
                <w:szCs w:val="15"/>
                <w:color w:val="auto"/>
                <w:w w:val="96"/>
              </w:rPr>
              <w:t>aggregate, with $2,000,000 products and completed operations</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6220" w:type="dxa"/>
            <w:vAlign w:val="bottom"/>
          </w:tcPr>
          <w:p>
            <w:pPr>
              <w:ind w:left="2140"/>
              <w:spacing w:after="0"/>
              <w:rPr>
                <w:sz w:val="20"/>
                <w:szCs w:val="20"/>
                <w:color w:val="auto"/>
              </w:rPr>
            </w:pPr>
            <w:r>
              <w:rPr>
                <w:rFonts w:ascii="Arial" w:cs="Arial" w:eastAsia="Arial" w:hAnsi="Arial"/>
                <w:sz w:val="15"/>
                <w:szCs w:val="15"/>
                <w:color w:val="auto"/>
              </w:rPr>
              <w:t>aggregate.</w:t>
            </w:r>
          </w:p>
        </w:tc>
        <w:tc>
          <w:tcPr>
            <w:tcW w:w="0" w:type="dxa"/>
            <w:vAlign w:val="bottom"/>
          </w:tcPr>
          <w:p>
            <w:pPr>
              <w:spacing w:after="0"/>
              <w:rPr>
                <w:sz w:val="1"/>
                <w:szCs w:val="1"/>
                <w:color w:val="auto"/>
              </w:rPr>
            </w:pPr>
          </w:p>
        </w:tc>
      </w:tr>
      <w:tr>
        <w:trPr>
          <w:trHeight w:val="361"/>
        </w:trPr>
        <w:tc>
          <w:tcPr>
            <w:tcW w:w="4320" w:type="dxa"/>
            <w:vAlign w:val="bottom"/>
          </w:tcPr>
          <w:p>
            <w:pPr>
              <w:spacing w:after="0"/>
              <w:rPr>
                <w:sz w:val="20"/>
                <w:szCs w:val="20"/>
                <w:color w:val="auto"/>
              </w:rPr>
            </w:pPr>
            <w:r>
              <w:rPr>
                <w:rFonts w:ascii="Arial" w:cs="Arial" w:eastAsia="Arial" w:hAnsi="Arial"/>
                <w:sz w:val="15"/>
                <w:szCs w:val="15"/>
                <w:color w:val="auto"/>
              </w:rPr>
              <w:t>b. Commercial Automobile Liability:</w:t>
            </w:r>
          </w:p>
        </w:tc>
        <w:tc>
          <w:tcPr>
            <w:tcW w:w="6220" w:type="dxa"/>
            <w:vAlign w:val="bottom"/>
          </w:tcPr>
          <w:p>
            <w:pPr>
              <w:ind w:left="2140"/>
              <w:spacing w:after="0"/>
              <w:rPr>
                <w:sz w:val="20"/>
                <w:szCs w:val="20"/>
                <w:color w:val="auto"/>
              </w:rPr>
            </w:pPr>
            <w:r>
              <w:rPr>
                <w:rFonts w:ascii="Arial" w:cs="Arial" w:eastAsia="Arial" w:hAnsi="Arial"/>
                <w:sz w:val="15"/>
                <w:szCs w:val="15"/>
                <w:color w:val="auto"/>
              </w:rPr>
              <w:t>$1,000,000 per accident</w:t>
            </w:r>
          </w:p>
        </w:tc>
        <w:tc>
          <w:tcPr>
            <w:tcW w:w="0" w:type="dxa"/>
            <w:vAlign w:val="bottom"/>
          </w:tcPr>
          <w:p>
            <w:pPr>
              <w:spacing w:after="0"/>
              <w:rPr>
                <w:sz w:val="1"/>
                <w:szCs w:val="1"/>
                <w:color w:val="auto"/>
              </w:rPr>
            </w:pPr>
          </w:p>
        </w:tc>
      </w:tr>
      <w:tr>
        <w:trPr>
          <w:trHeight w:val="197"/>
        </w:trPr>
        <w:tc>
          <w:tcPr>
            <w:tcW w:w="4320" w:type="dxa"/>
            <w:vAlign w:val="bottom"/>
          </w:tcPr>
          <w:p>
            <w:pPr>
              <w:ind w:left="180"/>
              <w:spacing w:after="0"/>
              <w:rPr>
                <w:sz w:val="20"/>
                <w:szCs w:val="20"/>
                <w:color w:val="auto"/>
              </w:rPr>
            </w:pPr>
            <w:r>
              <w:rPr>
                <w:rFonts w:ascii="Arial" w:cs="Arial" w:eastAsia="Arial" w:hAnsi="Arial"/>
                <w:sz w:val="15"/>
                <w:szCs w:val="15"/>
                <w:color w:val="auto"/>
              </w:rPr>
              <w:t>Bodily Injury and Property</w:t>
            </w: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180"/>
              <w:spacing w:after="0"/>
              <w:rPr>
                <w:sz w:val="20"/>
                <w:szCs w:val="20"/>
                <w:color w:val="auto"/>
              </w:rPr>
            </w:pPr>
            <w:r>
              <w:rPr>
                <w:rFonts w:ascii="Arial" w:cs="Arial" w:eastAsia="Arial" w:hAnsi="Arial"/>
                <w:sz w:val="15"/>
                <w:szCs w:val="15"/>
                <w:color w:val="auto"/>
              </w:rPr>
              <w:t>Damage</w:t>
            </w: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Arial" w:cs="Arial" w:eastAsia="Arial" w:hAnsi="Arial"/>
                <w:sz w:val="15"/>
                <w:szCs w:val="15"/>
                <w:color w:val="auto"/>
              </w:rPr>
              <w:t>c. Employer’s Liability:</w:t>
            </w: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5"/>
                <w:szCs w:val="15"/>
                <w:color w:val="auto"/>
              </w:rPr>
              <w:t>Each Accident</w:t>
            </w:r>
          </w:p>
        </w:tc>
        <w:tc>
          <w:tcPr>
            <w:tcW w:w="6220" w:type="dxa"/>
            <w:vAlign w:val="bottom"/>
          </w:tcPr>
          <w:p>
            <w:pPr>
              <w:ind w:left="2140"/>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64"/>
        </w:trPr>
        <w:tc>
          <w:tcPr>
            <w:tcW w:w="4320" w:type="dxa"/>
            <w:vAlign w:val="bottom"/>
          </w:tcPr>
          <w:p>
            <w:pPr>
              <w:ind w:left="180"/>
              <w:spacing w:after="0" w:line="164" w:lineRule="exact"/>
              <w:rPr>
                <w:sz w:val="20"/>
                <w:szCs w:val="20"/>
                <w:color w:val="auto"/>
              </w:rPr>
            </w:pPr>
            <w:r>
              <w:rPr>
                <w:rFonts w:ascii="Arial" w:cs="Arial" w:eastAsia="Arial" w:hAnsi="Arial"/>
                <w:sz w:val="15"/>
                <w:szCs w:val="15"/>
                <w:color w:val="auto"/>
              </w:rPr>
              <w:t>Disease - Policy Limit</w:t>
            </w:r>
          </w:p>
        </w:tc>
        <w:tc>
          <w:tcPr>
            <w:tcW w:w="6220" w:type="dxa"/>
            <w:vAlign w:val="bottom"/>
          </w:tcPr>
          <w:p>
            <w:pPr>
              <w:ind w:left="2140"/>
              <w:spacing w:after="0" w:line="164" w:lineRule="exact"/>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86"/>
        </w:trPr>
        <w:tc>
          <w:tcPr>
            <w:tcW w:w="4320" w:type="dxa"/>
            <w:vAlign w:val="bottom"/>
          </w:tcPr>
          <w:p>
            <w:pPr>
              <w:ind w:left="180"/>
              <w:spacing w:after="0"/>
              <w:rPr>
                <w:sz w:val="20"/>
                <w:szCs w:val="20"/>
                <w:color w:val="auto"/>
              </w:rPr>
            </w:pPr>
            <w:r>
              <w:rPr>
                <w:rFonts w:ascii="Arial" w:cs="Arial" w:eastAsia="Arial" w:hAnsi="Arial"/>
                <w:sz w:val="15"/>
                <w:szCs w:val="15"/>
                <w:color w:val="auto"/>
              </w:rPr>
              <w:t>Disease - Each Employee</w:t>
            </w:r>
          </w:p>
        </w:tc>
        <w:tc>
          <w:tcPr>
            <w:tcW w:w="6220" w:type="dxa"/>
            <w:vAlign w:val="bottom"/>
          </w:tcPr>
          <w:p>
            <w:pPr>
              <w:ind w:left="2140"/>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Arial" w:cs="Arial" w:eastAsia="Arial" w:hAnsi="Arial"/>
                <w:sz w:val="15"/>
                <w:szCs w:val="15"/>
                <w:color w:val="auto"/>
              </w:rPr>
              <w:t>d. Umbrella Liability:</w:t>
            </w:r>
          </w:p>
        </w:tc>
        <w:tc>
          <w:tcPr>
            <w:tcW w:w="6220" w:type="dxa"/>
            <w:vAlign w:val="bottom"/>
          </w:tcPr>
          <w:p>
            <w:pPr>
              <w:ind w:left="2140"/>
              <w:spacing w:after="0"/>
              <w:rPr>
                <w:sz w:val="20"/>
                <w:szCs w:val="20"/>
                <w:color w:val="auto"/>
              </w:rPr>
            </w:pPr>
            <w:r>
              <w:rPr>
                <w:rFonts w:ascii="Arial" w:cs="Arial" w:eastAsia="Arial" w:hAnsi="Arial"/>
                <w:sz w:val="15"/>
                <w:szCs w:val="15"/>
                <w:color w:val="auto"/>
              </w:rPr>
              <w:t>Commercially reasonable amounts</w:t>
            </w: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6220" w:type="dxa"/>
            <w:vAlign w:val="bottom"/>
          </w:tcPr>
          <w:p>
            <w:pPr>
              <w:ind w:left="2140"/>
              <w:spacing w:after="0"/>
              <w:rPr>
                <w:sz w:val="20"/>
                <w:szCs w:val="20"/>
                <w:color w:val="auto"/>
              </w:rPr>
            </w:pPr>
            <w:r>
              <w:rPr>
                <w:rFonts w:ascii="Arial" w:cs="Arial" w:eastAsia="Arial" w:hAnsi="Arial"/>
                <w:sz w:val="15"/>
                <w:szCs w:val="15"/>
                <w:color w:val="auto"/>
              </w:rPr>
              <w:t>(excess of coverages a, b and c above),</w:t>
            </w:r>
          </w:p>
        </w:tc>
        <w:tc>
          <w:tcPr>
            <w:tcW w:w="0" w:type="dxa"/>
            <w:vAlign w:val="bottom"/>
          </w:tcPr>
          <w:p>
            <w:pPr>
              <w:spacing w:after="0"/>
              <w:rPr>
                <w:sz w:val="1"/>
                <w:szCs w:val="1"/>
                <w:color w:val="auto"/>
              </w:rPr>
            </w:pPr>
          </w:p>
        </w:tc>
      </w:tr>
      <w:tr>
        <w:trPr>
          <w:trHeight w:val="197"/>
        </w:trPr>
        <w:tc>
          <w:tcPr>
            <w:tcW w:w="4320" w:type="dxa"/>
            <w:vAlign w:val="bottom"/>
          </w:tcPr>
          <w:p>
            <w:pPr>
              <w:ind w:left="180"/>
              <w:spacing w:after="0"/>
              <w:rPr>
                <w:sz w:val="20"/>
                <w:szCs w:val="20"/>
                <w:color w:val="auto"/>
              </w:rPr>
            </w:pPr>
            <w:r>
              <w:rPr>
                <w:rFonts w:ascii="Arial" w:cs="Arial" w:eastAsia="Arial" w:hAnsi="Arial"/>
                <w:sz w:val="15"/>
                <w:szCs w:val="15"/>
                <w:color w:val="auto"/>
              </w:rPr>
              <w:t>Bodily Injury and Property</w:t>
            </w:r>
          </w:p>
        </w:tc>
        <w:tc>
          <w:tcPr>
            <w:tcW w:w="6220" w:type="dxa"/>
            <w:vAlign w:val="bottom"/>
          </w:tcPr>
          <w:p>
            <w:pPr>
              <w:ind w:left="2140"/>
              <w:spacing w:after="0"/>
              <w:rPr>
                <w:sz w:val="20"/>
                <w:szCs w:val="20"/>
                <w:color w:val="auto"/>
              </w:rPr>
            </w:pPr>
            <w:r>
              <w:rPr>
                <w:rFonts w:ascii="Arial" w:cs="Arial" w:eastAsia="Arial" w:hAnsi="Arial"/>
                <w:sz w:val="15"/>
                <w:szCs w:val="15"/>
                <w:color w:val="auto"/>
              </w:rPr>
              <w:t>but in any event no less than $5,000,000</w:t>
            </w:r>
          </w:p>
        </w:tc>
        <w:tc>
          <w:tcPr>
            <w:tcW w:w="0" w:type="dxa"/>
            <w:vAlign w:val="bottom"/>
          </w:tcPr>
          <w:p>
            <w:pPr>
              <w:spacing w:after="0"/>
              <w:rPr>
                <w:sz w:val="1"/>
                <w:szCs w:val="1"/>
                <w:color w:val="auto"/>
              </w:rPr>
            </w:pPr>
          </w:p>
        </w:tc>
      </w:tr>
      <w:tr>
        <w:trPr>
          <w:trHeight w:val="197"/>
        </w:trPr>
        <w:tc>
          <w:tcPr>
            <w:tcW w:w="4320" w:type="dxa"/>
            <w:vAlign w:val="bottom"/>
          </w:tcPr>
          <w:p>
            <w:pPr>
              <w:ind w:left="180"/>
              <w:spacing w:after="0"/>
              <w:rPr>
                <w:sz w:val="20"/>
                <w:szCs w:val="20"/>
                <w:color w:val="auto"/>
              </w:rPr>
            </w:pPr>
            <w:r>
              <w:rPr>
                <w:rFonts w:ascii="Arial" w:cs="Arial" w:eastAsia="Arial" w:hAnsi="Arial"/>
                <w:sz w:val="15"/>
                <w:szCs w:val="15"/>
                <w:color w:val="auto"/>
              </w:rPr>
              <w:t>Damage</w:t>
            </w:r>
          </w:p>
        </w:tc>
        <w:tc>
          <w:tcPr>
            <w:tcW w:w="6220" w:type="dxa"/>
            <w:vAlign w:val="bottom"/>
          </w:tcPr>
          <w:p>
            <w:pPr>
              <w:ind w:left="2140"/>
              <w:spacing w:after="0"/>
              <w:rPr>
                <w:sz w:val="20"/>
                <w:szCs w:val="20"/>
                <w:color w:val="auto"/>
              </w:rPr>
            </w:pPr>
            <w:r>
              <w:rPr>
                <w:rFonts w:ascii="Arial" w:cs="Arial" w:eastAsia="Arial" w:hAnsi="Arial"/>
                <w:sz w:val="15"/>
                <w:szCs w:val="15"/>
                <w:color w:val="auto"/>
              </w:rPr>
              <w:t>per occurrence / aggregate.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All subcontractors for Tenant contractors shall carry the same coverages and limits as specified above, unless different limits are reasonably approved by Landlord. The foregoing policies shall contain a provision that coverages afforded under the policies shall not be canceled or not renewed until at least thirty (30) days’ prior written notice has been given to the Landlord. Certificates of insurance including required endorsements showing such coverages to be in force shall be filed with Landlord prior to the commencement of any Tenant Work and prior to each renewal. Coverage for completed operations must be maintained for the lesser of ten (10) years and the applicable statue of repose following completion of the Tenant Work, and certificates evidencing this coverage must be provided to Landlord. The minimum A.M. Best’s rating of each insurer shall be A- VII. Landlord and its mortgagees shall be named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37" w:name="page338"/>
    <w:bookmarkEnd w:id="337"/>
    <w:p>
      <w:pPr>
        <w:jc w:val="both"/>
        <w:spacing w:after="0" w:line="279" w:lineRule="auto"/>
        <w:rPr>
          <w:sz w:val="20"/>
          <w:szCs w:val="20"/>
          <w:color w:val="auto"/>
        </w:rPr>
      </w:pPr>
      <w:r>
        <w:rPr>
          <w:rFonts w:ascii="Arial" w:cs="Arial" w:eastAsia="Arial" w:hAnsi="Arial"/>
          <w:sz w:val="14"/>
          <w:szCs w:val="14"/>
          <w:color w:val="auto"/>
        </w:rPr>
        <w:t>as an additional insureds under Tenant contractors’ Commercial General Liability, Commercial Automobile Liability and Umbrella Liability Insurance policies as respects liability arising from work or operations performed, or ownership, maintenance or use of autos, by or on behalf of such contractors. Each contractor and its insurers shall provide waivers of subrogation with respect to any claims covered or that should have been covered by valid and collectible insurance, including any deductibles or self-insurance maintained thereunder.</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any contractor’s work involves the handling or removal of asbestos (as determined by Landlord in its sole and absolute discretion), such contractor shall also carry Pollution Legal Liability insurance.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Term Commencement Date, and coverage is continuously maintained during all periods in which</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Tenant occupies the Premises. Coverage shall be maintained with limits of not less than $1,000,000 per incident with a $2,000,000 policy aggregate</w:t>
      </w:r>
      <w:r>
        <w:rPr>
          <w:rFonts w:ascii="Arial" w:cs="Arial" w:eastAsia="Arial" w:hAnsi="Arial"/>
          <w:sz w:val="16"/>
          <w:szCs w:val="16"/>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B-5-2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5"/>
          <w:szCs w:val="15"/>
          <w:b w:val="1"/>
          <w:bCs w:val="1"/>
          <w:color w:val="auto"/>
        </w:rPr>
        <w:t>EXHIBIT C -1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ACKNOWLEDGEMENT OF TERM COMMENCEMENT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THIS ACKNOWLEDGEMENT OF TERM COMMENCEMENT DATE is entered into as of [_______], 20[__], with reference to that certain Lease (the “</w:t>
      </w:r>
      <w:r>
        <w:rPr>
          <w:rFonts w:ascii="Arial" w:cs="Arial" w:eastAsia="Arial" w:hAnsi="Arial"/>
          <w:sz w:val="12"/>
          <w:szCs w:val="12"/>
          <w:u w:val="single" w:color="auto"/>
          <w:color w:val="auto"/>
        </w:rPr>
        <w:t>Lease</w:t>
      </w:r>
      <w:r>
        <w:rPr>
          <w:rFonts w:ascii="Arial" w:cs="Arial" w:eastAsia="Arial" w:hAnsi="Arial"/>
          <w:sz w:val="12"/>
          <w:szCs w:val="12"/>
          <w:color w:val="auto"/>
        </w:rPr>
        <w:t>”) dated as of [_______],</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2015, by [_______], a [_______] (“</w:t>
      </w:r>
      <w:r>
        <w:rPr>
          <w:rFonts w:ascii="Arial" w:cs="Arial" w:eastAsia="Arial" w:hAnsi="Arial"/>
          <w:sz w:val="14"/>
          <w:szCs w:val="14"/>
          <w:u w:val="single" w:color="auto"/>
          <w:color w:val="auto"/>
        </w:rPr>
        <w:t>Tenant</w:t>
      </w:r>
      <w:r>
        <w:rPr>
          <w:rFonts w:ascii="Arial" w:cs="Arial" w:eastAsia="Arial" w:hAnsi="Arial"/>
          <w:sz w:val="14"/>
          <w:szCs w:val="14"/>
          <w:color w:val="auto"/>
        </w:rPr>
        <w:t>”), in favor of BMR-Sidney Research Campus LLC, a Delaware limited liability company (“</w:t>
      </w:r>
      <w:r>
        <w:rPr>
          <w:rFonts w:ascii="Arial" w:cs="Arial" w:eastAsia="Arial" w:hAnsi="Arial"/>
          <w:sz w:val="14"/>
          <w:szCs w:val="14"/>
          <w:u w:val="single" w:color="auto"/>
          <w:color w:val="auto"/>
        </w:rPr>
        <w:t>Landlord</w:t>
      </w:r>
      <w:r>
        <w:rPr>
          <w:rFonts w:ascii="Arial" w:cs="Arial" w:eastAsia="Arial" w:hAnsi="Arial"/>
          <w:sz w:val="14"/>
          <w:szCs w:val="14"/>
          <w:color w:val="auto"/>
        </w:rPr>
        <w:t>”).  All capitalized terms used herein without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definition shall have the meanings ascribed to them in the Lease.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Tenant hereby confirms the following:</w:t>
      </w:r>
    </w:p>
    <w:p>
      <w:pPr>
        <w:spacing w:after="0" w:line="90" w:lineRule="exact"/>
        <w:rPr>
          <w:sz w:val="20"/>
          <w:szCs w:val="20"/>
          <w:color w:val="auto"/>
        </w:rPr>
      </w:pPr>
    </w:p>
    <w:p>
      <w:pPr>
        <w:ind w:firstLine="527"/>
        <w:spacing w:after="0" w:line="262" w:lineRule="auto"/>
        <w:tabs>
          <w:tab w:leader="none" w:pos="671"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Tenant accepted possession of the Fourth Floor Premises for use in accordance with the Permitted Use on [_______], 20[__]. Tenant first occupied the Premises for the Permitted Use on [_______], 20[__].</w:t>
      </w:r>
    </w:p>
    <w:p>
      <w:pPr>
        <w:spacing w:after="0" w:line="148" w:lineRule="exact"/>
        <w:rPr>
          <w:rFonts w:ascii="Arial" w:cs="Arial" w:eastAsia="Arial" w:hAnsi="Arial"/>
          <w:sz w:val="15"/>
          <w:szCs w:val="15"/>
          <w:color w:val="auto"/>
        </w:rPr>
      </w:pPr>
    </w:p>
    <w:p>
      <w:pPr>
        <w:ind w:left="680" w:hanging="153"/>
        <w:spacing w:after="0"/>
        <w:tabs>
          <w:tab w:leader="none" w:pos="68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Fourth Floor Premises are in good order, condition and repair.</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Phase 1A Improvements are Substantially Complete.</w:t>
      </w:r>
    </w:p>
    <w:p>
      <w:pPr>
        <w:spacing w:after="0" w:line="177" w:lineRule="exact"/>
        <w:rPr>
          <w:rFonts w:ascii="Arial" w:cs="Arial" w:eastAsia="Arial" w:hAnsi="Arial"/>
          <w:sz w:val="15"/>
          <w:szCs w:val="15"/>
          <w:color w:val="auto"/>
        </w:rPr>
      </w:pPr>
    </w:p>
    <w:p>
      <w:pPr>
        <w:ind w:firstLine="527"/>
        <w:spacing w:after="0" w:line="298" w:lineRule="auto"/>
        <w:tabs>
          <w:tab w:leader="none" w:pos="681" w:val="left"/>
        </w:tabs>
        <w:numPr>
          <w:ilvl w:val="0"/>
          <w:numId w:val="207"/>
        </w:numPr>
        <w:rPr>
          <w:rFonts w:ascii="Arial" w:cs="Arial" w:eastAsia="Arial" w:hAnsi="Arial"/>
          <w:sz w:val="14"/>
          <w:szCs w:val="14"/>
          <w:color w:val="auto"/>
        </w:rPr>
      </w:pPr>
      <w:r>
        <w:rPr>
          <w:rFonts w:ascii="Arial" w:cs="Arial" w:eastAsia="Arial" w:hAnsi="Arial"/>
          <w:sz w:val="14"/>
          <w:szCs w:val="14"/>
          <w:color w:val="auto"/>
        </w:rPr>
        <w:t>Except with respect to Landlord’s delivery of the Phase 1B Premises and the Phase 2 Premises, 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125" w:lineRule="exact"/>
        <w:rPr>
          <w:rFonts w:ascii="Arial" w:cs="Arial" w:eastAsia="Arial" w:hAnsi="Arial"/>
          <w:sz w:val="14"/>
          <w:szCs w:val="14"/>
          <w:color w:val="auto"/>
        </w:rPr>
      </w:pPr>
    </w:p>
    <w:p>
      <w:pPr>
        <w:ind w:left="680" w:hanging="153"/>
        <w:spacing w:after="0"/>
        <w:tabs>
          <w:tab w:leader="none" w:pos="68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In accordance with the provisions of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of the Lease, the Term Commencement Date is [_______], 20[__].</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Lease is in full force and effect, and the same represents the entire agreement between Landlord and Tenant concerning the Premises.</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Tenant has no existing defenses against the enforcement of the Lease by Landlord, and there exist no offsets or credits against Rent owed or to be owed by Tenant.</w:t>
      </w:r>
    </w:p>
    <w:p>
      <w:pPr>
        <w:spacing w:after="0" w:line="189" w:lineRule="exact"/>
        <w:rPr>
          <w:rFonts w:ascii="Arial" w:cs="Arial" w:eastAsia="Arial" w:hAnsi="Arial"/>
          <w:sz w:val="14"/>
          <w:szCs w:val="14"/>
          <w:color w:val="auto"/>
        </w:rPr>
      </w:pPr>
    </w:p>
    <w:p>
      <w:pPr>
        <w:ind w:firstLine="527"/>
        <w:spacing w:after="0" w:line="262" w:lineRule="auto"/>
        <w:tabs>
          <w:tab w:leader="none" w:pos="667"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obligation to pay Rent with respect to the Fourth Floor Premises is presently in effect and all Rent obligations on the part of Tenant under the Lease with respect to the Fourth Floor Premises commenced to accrue on [_______], 20[__], with Base Rent payable on the dates and amounts set forth in the chart below:</w:t>
      </w:r>
    </w:p>
    <w:p>
      <w:pPr>
        <w:spacing w:after="0" w:line="161" w:lineRule="exact"/>
        <w:rPr>
          <w:sz w:val="20"/>
          <w:szCs w:val="20"/>
          <w:color w:val="auto"/>
        </w:rPr>
      </w:pPr>
    </w:p>
    <w:tbl>
      <w:tblPr>
        <w:tblLayout w:type="fixed"/>
        <w:tblInd w:w="870" w:type="dxa"/>
        <w:tblCellMar>
          <w:top w:w="0" w:type="dxa"/>
          <w:left w:w="0" w:type="dxa"/>
          <w:bottom w:w="0" w:type="dxa"/>
          <w:right w:w="0" w:type="dxa"/>
        </w:tblCellMar>
      </w:tblPr>
      <w:tr>
        <w:trPr>
          <w:trHeight w:val="241"/>
        </w:trPr>
        <w:tc>
          <w:tcPr>
            <w:tcW w:w="840" w:type="dxa"/>
            <w:vAlign w:val="bottom"/>
            <w:tcBorders>
              <w:top w:val="single" w:sz="8" w:color="auto"/>
              <w:lef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960" w:type="dxa"/>
            <w:vAlign w:val="bottom"/>
            <w:tcBorders>
              <w:top w:val="single" w:sz="8" w:color="auto"/>
              <w:right w:val="single" w:sz="8" w:color="auto"/>
            </w:tcBorders>
            <w:gridSpan w:val="6"/>
          </w:tcPr>
          <w:p>
            <w:pPr>
              <w:jc w:val="center"/>
              <w:ind w:right="600"/>
              <w:spacing w:after="0"/>
              <w:rPr>
                <w:sz w:val="20"/>
                <w:szCs w:val="20"/>
                <w:color w:val="auto"/>
              </w:rPr>
            </w:pPr>
            <w:r>
              <w:rPr>
                <w:rFonts w:ascii="Arial" w:cs="Arial" w:eastAsia="Arial" w:hAnsi="Arial"/>
                <w:sz w:val="15"/>
                <w:szCs w:val="15"/>
                <w:b w:val="1"/>
                <w:bCs w:val="1"/>
                <w:color w:val="auto"/>
                <w:w w:val="87"/>
              </w:rPr>
              <w:t>Base Rent per Square</w:t>
            </w: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spacing w:after="0"/>
              <w:rPr>
                <w:sz w:val="20"/>
                <w:szCs w:val="20"/>
                <w:color w:val="auto"/>
              </w:rPr>
            </w:pPr>
          </w:p>
        </w:tc>
      </w:tr>
      <w:tr>
        <w:trPr>
          <w:trHeight w:val="155"/>
        </w:trPr>
        <w:tc>
          <w:tcPr>
            <w:tcW w:w="840" w:type="dxa"/>
            <w:vAlign w:val="bottom"/>
            <w:tcBorders>
              <w:lef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89"/>
              </w:rPr>
              <w:t>Approximate</w:t>
            </w:r>
          </w:p>
        </w:tc>
        <w:tc>
          <w:tcPr>
            <w:tcW w:w="540" w:type="dxa"/>
            <w:vAlign w:val="bottom"/>
            <w:tcBorders>
              <w:right w:val="single" w:sz="8" w:color="auto"/>
            </w:tcBorders>
            <w:gridSpan w:val="2"/>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5"/>
                <w:szCs w:val="15"/>
                <w:b w:val="1"/>
                <w:bCs w:val="1"/>
                <w:color w:val="auto"/>
                <w:w w:val="87"/>
              </w:rPr>
              <w:t>Foot of Rentable</w:t>
            </w:r>
          </w:p>
        </w:tc>
        <w:tc>
          <w:tcPr>
            <w:tcW w:w="140" w:type="dxa"/>
            <w:vAlign w:val="bottom"/>
            <w:tcBorders>
              <w:top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500"/>
              <w:spacing w:after="0" w:line="155" w:lineRule="exact"/>
              <w:rPr>
                <w:sz w:val="20"/>
                <w:szCs w:val="20"/>
                <w:color w:val="auto"/>
              </w:rPr>
            </w:pPr>
            <w:r>
              <w:rPr>
                <w:rFonts w:ascii="Arial" w:cs="Arial" w:eastAsia="Arial" w:hAnsi="Arial"/>
                <w:sz w:val="15"/>
                <w:szCs w:val="15"/>
                <w:b w:val="1"/>
                <w:bCs w:val="1"/>
                <w:color w:val="auto"/>
                <w:w w:val="90"/>
              </w:rPr>
              <w:t>Monthly</w:t>
            </w:r>
          </w:p>
        </w:tc>
        <w:tc>
          <w:tcPr>
            <w:tcW w:w="1860" w:type="dxa"/>
            <w:vAlign w:val="bottom"/>
            <w:tcBorders>
              <w:right w:val="single" w:sz="8" w:color="auto"/>
            </w:tcBorders>
            <w:gridSpan w:val="5"/>
          </w:tcPr>
          <w:p>
            <w:pPr>
              <w:jc w:val="center"/>
              <w:ind w:right="40"/>
              <w:spacing w:after="0" w:line="155" w:lineRule="exact"/>
              <w:rPr>
                <w:sz w:val="20"/>
                <w:szCs w:val="20"/>
                <w:color w:val="auto"/>
              </w:rPr>
            </w:pPr>
            <w:r>
              <w:rPr>
                <w:rFonts w:ascii="Arial" w:cs="Arial" w:eastAsia="Arial" w:hAnsi="Arial"/>
                <w:sz w:val="15"/>
                <w:szCs w:val="15"/>
                <w:b w:val="1"/>
                <w:bCs w:val="1"/>
                <w:color w:val="auto"/>
                <w:w w:val="85"/>
              </w:rPr>
              <w:t>Annual Base</w:t>
            </w:r>
          </w:p>
        </w:tc>
      </w:tr>
      <w:tr>
        <w:trPr>
          <w:trHeight w:val="20"/>
        </w:trPr>
        <w:tc>
          <w:tcPr>
            <w:tcW w:w="2060" w:type="dxa"/>
            <w:vAlign w:val="bottom"/>
            <w:tcBorders>
              <w:left w:val="single" w:sz="8" w:color="auto"/>
              <w:right w:val="single" w:sz="8" w:color="auto"/>
            </w:tcBorders>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155"/>
        </w:trPr>
        <w:tc>
          <w:tcPr>
            <w:tcW w:w="2060" w:type="dxa"/>
            <w:vAlign w:val="bottom"/>
            <w:tcBorders>
              <w:left w:val="single" w:sz="8" w:color="auto"/>
              <w:right w:val="single" w:sz="8" w:color="auto"/>
            </w:tcBorders>
            <w:gridSpan w:val="3"/>
          </w:tcPr>
          <w:p>
            <w:pPr>
              <w:ind w:left="840"/>
              <w:spacing w:after="0" w:line="155" w:lineRule="exact"/>
              <w:rPr>
                <w:sz w:val="20"/>
                <w:szCs w:val="20"/>
                <w:color w:val="auto"/>
              </w:rPr>
            </w:pPr>
            <w:r>
              <w:rPr>
                <w:rFonts w:ascii="Arial" w:cs="Arial" w:eastAsia="Arial" w:hAnsi="Arial"/>
                <w:sz w:val="15"/>
                <w:szCs w:val="15"/>
                <w:b w:val="1"/>
                <w:bCs w:val="1"/>
                <w:color w:val="auto"/>
              </w:rPr>
              <w:t>Dates</w:t>
            </w:r>
          </w:p>
        </w:tc>
        <w:tc>
          <w:tcPr>
            <w:tcW w:w="1860" w:type="dxa"/>
            <w:vAlign w:val="bottom"/>
            <w:tcBorders>
              <w:right w:val="single" w:sz="8" w:color="auto"/>
            </w:tcBorders>
            <w:gridSpan w:val="4"/>
          </w:tcPr>
          <w:p>
            <w:pPr>
              <w:jc w:val="center"/>
              <w:ind w:right="40"/>
              <w:spacing w:after="0" w:line="155" w:lineRule="exact"/>
              <w:rPr>
                <w:sz w:val="20"/>
                <w:szCs w:val="20"/>
                <w:color w:val="auto"/>
              </w:rPr>
            </w:pPr>
            <w:r>
              <w:rPr>
                <w:rFonts w:ascii="Arial" w:cs="Arial" w:eastAsia="Arial" w:hAnsi="Arial"/>
                <w:sz w:val="15"/>
                <w:szCs w:val="15"/>
                <w:b w:val="1"/>
                <w:bCs w:val="1"/>
                <w:color w:val="auto"/>
                <w:w w:val="86"/>
              </w:rPr>
              <w:t>Square Feet of Rentable Area</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Borders>
              <w:right w:val="single" w:sz="8" w:color="auto"/>
            </w:tcBorders>
            <w:gridSpan w:val="5"/>
          </w:tcPr>
          <w:p>
            <w:pPr>
              <w:jc w:val="center"/>
              <w:ind w:right="780"/>
              <w:spacing w:after="0" w:line="155" w:lineRule="exact"/>
              <w:rPr>
                <w:sz w:val="20"/>
                <w:szCs w:val="20"/>
                <w:color w:val="auto"/>
              </w:rPr>
            </w:pPr>
            <w:r>
              <w:rPr>
                <w:rFonts w:ascii="Arial" w:cs="Arial" w:eastAsia="Arial" w:hAnsi="Arial"/>
                <w:sz w:val="15"/>
                <w:szCs w:val="15"/>
                <w:b w:val="1"/>
                <w:bCs w:val="1"/>
                <w:color w:val="auto"/>
                <w:w w:val="89"/>
              </w:rPr>
              <w:t>Area</w:t>
            </w:r>
          </w:p>
        </w:tc>
        <w:tc>
          <w:tcPr>
            <w:tcW w:w="1480" w:type="dxa"/>
            <w:vAlign w:val="bottom"/>
            <w:tcBorders>
              <w:right w:val="single" w:sz="8" w:color="auto"/>
            </w:tcBorders>
            <w:gridSpan w:val="5"/>
          </w:tcPr>
          <w:p>
            <w:pPr>
              <w:jc w:val="center"/>
              <w:ind w:right="40"/>
              <w:spacing w:after="0" w:line="155" w:lineRule="exact"/>
              <w:rPr>
                <w:sz w:val="20"/>
                <w:szCs w:val="20"/>
                <w:color w:val="auto"/>
              </w:rPr>
            </w:pPr>
            <w:r>
              <w:rPr>
                <w:rFonts w:ascii="Arial" w:cs="Arial" w:eastAsia="Arial" w:hAnsi="Arial"/>
                <w:sz w:val="15"/>
                <w:szCs w:val="15"/>
                <w:b w:val="1"/>
                <w:bCs w:val="1"/>
                <w:color w:val="auto"/>
                <w:w w:val="87"/>
              </w:rPr>
              <w:t>Base Rent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right w:val="single" w:sz="8" w:color="auto"/>
            </w:tcBorders>
            <w:gridSpan w:val="3"/>
          </w:tcPr>
          <w:p>
            <w:pPr>
              <w:jc w:val="center"/>
              <w:ind w:right="800"/>
              <w:spacing w:after="0" w:line="155" w:lineRule="exact"/>
              <w:rPr>
                <w:sz w:val="20"/>
                <w:szCs w:val="20"/>
                <w:color w:val="auto"/>
              </w:rPr>
            </w:pPr>
            <w:r>
              <w:rPr>
                <w:rFonts w:ascii="Arial" w:cs="Arial" w:eastAsia="Arial" w:hAnsi="Arial"/>
                <w:sz w:val="15"/>
                <w:szCs w:val="15"/>
                <w:b w:val="1"/>
                <w:bCs w:val="1"/>
                <w:color w:val="auto"/>
                <w:w w:val="89"/>
              </w:rPr>
              <w:t>Rent</w:t>
            </w:r>
          </w:p>
        </w:tc>
      </w:tr>
      <w:tr>
        <w:trPr>
          <w:trHeight w:val="100"/>
        </w:trPr>
        <w:tc>
          <w:tcPr>
            <w:tcW w:w="840" w:type="dxa"/>
            <w:vAlign w:val="bottom"/>
            <w:tcBorders>
              <w:left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r>
      <w:tr>
        <w:trPr>
          <w:trHeight w:val="243"/>
        </w:trPr>
        <w:tc>
          <w:tcPr>
            <w:tcW w:w="2060" w:type="dxa"/>
            <w:vAlign w:val="bottom"/>
            <w:tcBorders>
              <w:left w:val="single" w:sz="8" w:color="auto"/>
              <w:right w:val="single" w:sz="8" w:color="auto"/>
            </w:tcBorders>
            <w:gridSpan w:val="3"/>
          </w:tcPr>
          <w:p>
            <w:pPr>
              <w:jc w:val="right"/>
              <w:ind w:right="620"/>
              <w:spacing w:after="0"/>
              <w:rPr>
                <w:sz w:val="20"/>
                <w:szCs w:val="20"/>
                <w:color w:val="auto"/>
              </w:rPr>
            </w:pPr>
            <w:r>
              <w:rPr>
                <w:rFonts w:ascii="Arial" w:cs="Arial" w:eastAsia="Arial" w:hAnsi="Arial"/>
                <w:sz w:val="15"/>
                <w:szCs w:val="15"/>
                <w:color w:val="auto"/>
              </w:rPr>
              <w:t>[__]/[__]/[__]-</w:t>
            </w:r>
          </w:p>
        </w:tc>
        <w:tc>
          <w:tcPr>
            <w:tcW w:w="1320" w:type="dxa"/>
            <w:vAlign w:val="bottom"/>
            <w:gridSpan w:val="2"/>
          </w:tcPr>
          <w:p>
            <w:pPr>
              <w:jc w:val="center"/>
              <w:ind w:left="407"/>
              <w:spacing w:after="0"/>
              <w:rPr>
                <w:sz w:val="20"/>
                <w:szCs w:val="20"/>
                <w:color w:val="auto"/>
              </w:rPr>
            </w:pPr>
            <w:r>
              <w:rPr>
                <w:rFonts w:ascii="Arial" w:cs="Arial" w:eastAsia="Arial" w:hAnsi="Arial"/>
                <w:sz w:val="15"/>
                <w:szCs w:val="15"/>
                <w:color w:val="auto"/>
                <w:w w:val="90"/>
              </w:rPr>
              <w:t>[________]</w:t>
            </w:r>
          </w:p>
        </w:tc>
        <w:tc>
          <w:tcPr>
            <w:tcW w:w="5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760" w:type="dxa"/>
            <w:vAlign w:val="bottom"/>
            <w:gridSpan w:val="5"/>
          </w:tcPr>
          <w:p>
            <w:pPr>
              <w:jc w:val="center"/>
              <w:ind w:left="627"/>
              <w:spacing w:after="0"/>
              <w:rPr>
                <w:sz w:val="20"/>
                <w:szCs w:val="20"/>
                <w:color w:val="auto"/>
              </w:rPr>
            </w:pPr>
            <w:r>
              <w:rPr>
                <w:rFonts w:ascii="Arial" w:cs="Arial" w:eastAsia="Arial" w:hAnsi="Arial"/>
                <w:sz w:val="15"/>
                <w:szCs w:val="15"/>
                <w:color w:val="auto"/>
                <w:w w:val="88"/>
              </w:rPr>
              <w:t>$[________]</w:t>
            </w:r>
          </w:p>
        </w:tc>
        <w:tc>
          <w:tcPr>
            <w:tcW w:w="1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5"/>
                <w:szCs w:val="15"/>
                <w:color w:val="auto"/>
                <w:w w:val="91"/>
              </w:rPr>
              <w:t>$[________]</w:t>
            </w:r>
          </w:p>
        </w:tc>
        <w:tc>
          <w:tcPr>
            <w:tcW w:w="1300" w:type="dxa"/>
            <w:vAlign w:val="bottom"/>
            <w:gridSpan w:val="4"/>
          </w:tcPr>
          <w:p>
            <w:pPr>
              <w:jc w:val="center"/>
              <w:ind w:left="467"/>
              <w:spacing w:after="0"/>
              <w:rPr>
                <w:sz w:val="20"/>
                <w:szCs w:val="20"/>
                <w:color w:val="auto"/>
              </w:rPr>
            </w:pPr>
            <w:r>
              <w:rPr>
                <w:rFonts w:ascii="Arial" w:cs="Arial" w:eastAsia="Arial" w:hAnsi="Arial"/>
                <w:sz w:val="15"/>
                <w:szCs w:val="15"/>
                <w:color w:val="auto"/>
                <w:w w:val="91"/>
              </w:rPr>
              <w:t>$[________]</w:t>
            </w:r>
          </w:p>
        </w:tc>
        <w:tc>
          <w:tcPr>
            <w:tcW w:w="560" w:type="dxa"/>
            <w:vAlign w:val="bottom"/>
            <w:tcBorders>
              <w:right w:val="single" w:sz="8" w:color="auto"/>
            </w:tcBorders>
          </w:tcPr>
          <w:p>
            <w:pPr>
              <w:spacing w:after="0"/>
              <w:rPr>
                <w:sz w:val="21"/>
                <w:szCs w:val="21"/>
                <w:color w:val="auto"/>
              </w:rPr>
            </w:pPr>
          </w:p>
        </w:tc>
      </w:tr>
      <w:tr>
        <w:trPr>
          <w:trHeight w:val="186"/>
        </w:trPr>
        <w:tc>
          <w:tcPr>
            <w:tcW w:w="2060" w:type="dxa"/>
            <w:vAlign w:val="bottom"/>
            <w:tcBorders>
              <w:left w:val="single" w:sz="8" w:color="auto"/>
              <w:right w:val="single" w:sz="8" w:color="auto"/>
            </w:tcBorders>
            <w:gridSpan w:val="3"/>
          </w:tcPr>
          <w:p>
            <w:pPr>
              <w:jc w:val="right"/>
              <w:ind w:right="640"/>
              <w:spacing w:after="0"/>
              <w:rPr>
                <w:sz w:val="20"/>
                <w:szCs w:val="20"/>
                <w:color w:val="auto"/>
              </w:rPr>
            </w:pPr>
            <w:r>
              <w:rPr>
                <w:rFonts w:ascii="Arial" w:cs="Arial" w:eastAsia="Arial" w:hAnsi="Arial"/>
                <w:sz w:val="15"/>
                <w:szCs w:val="15"/>
                <w:color w:val="auto"/>
              </w:rPr>
              <w:t>[__]/[__]/[__]</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r>
      <w:tr>
        <w:trPr>
          <w:trHeight w:val="87"/>
        </w:trPr>
        <w:tc>
          <w:tcPr>
            <w:tcW w:w="84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r>
    </w:tbl>
    <w:p>
      <w:pPr>
        <w:spacing w:after="0" w:line="164" w:lineRule="exact"/>
        <w:rPr>
          <w:sz w:val="20"/>
          <w:szCs w:val="20"/>
          <w:color w:val="auto"/>
        </w:rPr>
      </w:pPr>
    </w:p>
    <w:p>
      <w:pPr>
        <w:ind w:left="680" w:hanging="153"/>
        <w:spacing w:after="0"/>
        <w:tabs>
          <w:tab w:leader="none" w:pos="68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The undersigned Tenant has not made any prior assignment, transfer, hypothecation or pledge of the Lease or of the rents thereunder or sublease of the Premises or any portion thereof.</w:t>
      </w:r>
    </w:p>
    <w:p>
      <w:pPr>
        <w:spacing w:after="0" w:line="212" w:lineRule="exact"/>
        <w:rPr>
          <w:rFonts w:ascii="Arial" w:cs="Arial" w:eastAsia="Arial" w:hAnsi="Arial"/>
          <w:sz w:val="12"/>
          <w:szCs w:val="12"/>
          <w:color w:val="auto"/>
        </w:rPr>
      </w:pPr>
    </w:p>
    <w:p>
      <w:pPr>
        <w:ind w:left="3700"/>
        <w:spacing w:after="0"/>
        <w:rPr>
          <w:rFonts w:ascii="Arial" w:cs="Arial" w:eastAsia="Arial" w:hAnsi="Arial"/>
          <w:sz w:val="12"/>
          <w:szCs w:val="12"/>
          <w:color w:val="auto"/>
        </w:rPr>
      </w:pPr>
      <w:r>
        <w:rPr>
          <w:rFonts w:ascii="Arial" w:cs="Arial" w:eastAsia="Arial" w:hAnsi="Arial"/>
          <w:sz w:val="15"/>
          <w:szCs w:val="15"/>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312025"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39" w:name="page340"/>
    <w:bookmarkEnd w:id="339"/>
    <w:p>
      <w:pPr>
        <w:ind w:left="520"/>
        <w:spacing w:after="0"/>
        <w:rPr>
          <w:sz w:val="20"/>
          <w:szCs w:val="20"/>
          <w:color w:val="auto"/>
        </w:rPr>
      </w:pPr>
      <w:r>
        <w:rPr>
          <w:rFonts w:ascii="Arial" w:cs="Arial" w:eastAsia="Arial" w:hAnsi="Arial"/>
          <w:sz w:val="12"/>
          <w:szCs w:val="12"/>
          <w:color w:val="auto"/>
        </w:rPr>
        <w:t>IN WITNESS WHEREOF, Tenant has executed this Acknowledgment of Term Commencement Date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TENANT: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SERES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 Delaware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6570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280670</wp:posOffset>
            </wp:positionV>
            <wp:extent cx="7312025"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304" w:right="1440"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5"/>
          <w:szCs w:val="15"/>
          <w:b w:val="1"/>
          <w:bCs w:val="1"/>
          <w:color w:val="auto"/>
        </w:rPr>
        <w:t>EXHIBIT C-2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ACKNOWLEDGEMENT OF PHASE 1B SUBSTANTIAL COMPLETION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THIS ACKNOWLEDGEMENT OF PHASE 1B SUBSTANTIAL COMPLETION DATE is entered into as of [_______], 20[__], with reference to that certain Lease (the “</w:t>
      </w:r>
      <w:r>
        <w:rPr>
          <w:rFonts w:ascii="Arial" w:cs="Arial" w:eastAsia="Arial" w:hAnsi="Arial"/>
          <w:sz w:val="12"/>
          <w:szCs w:val="12"/>
          <w:u w:val="single" w:color="auto"/>
          <w:color w:val="auto"/>
        </w:rPr>
        <w:t>Lease</w:t>
      </w:r>
      <w:r>
        <w:rPr>
          <w:rFonts w:ascii="Arial" w:cs="Arial" w:eastAsia="Arial" w:hAnsi="Arial"/>
          <w:sz w:val="12"/>
          <w:szCs w:val="12"/>
          <w:color w:val="auto"/>
        </w:rPr>
        <w:t>”) dated</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as of [_______], 2015, by [_______], a [_______] (“</w:t>
      </w:r>
      <w:r>
        <w:rPr>
          <w:rFonts w:ascii="Arial" w:cs="Arial" w:eastAsia="Arial" w:hAnsi="Arial"/>
          <w:sz w:val="12"/>
          <w:szCs w:val="12"/>
          <w:u w:val="single" w:color="auto"/>
          <w:color w:val="auto"/>
        </w:rPr>
        <w:t>Tenant</w:t>
      </w:r>
      <w:r>
        <w:rPr>
          <w:rFonts w:ascii="Arial" w:cs="Arial" w:eastAsia="Arial" w:hAnsi="Arial"/>
          <w:sz w:val="12"/>
          <w:szCs w:val="12"/>
          <w:color w:val="auto"/>
        </w:rPr>
        <w:t>”), in favor of BMR-Sidney Research Campus LLC, a Delaware limited liability company (“</w:t>
      </w:r>
      <w:r>
        <w:rPr>
          <w:rFonts w:ascii="Arial" w:cs="Arial" w:eastAsia="Arial" w:hAnsi="Arial"/>
          <w:sz w:val="12"/>
          <w:szCs w:val="12"/>
          <w:u w:val="single" w:color="auto"/>
          <w:color w:val="auto"/>
        </w:rPr>
        <w:t>Landlord</w:t>
      </w:r>
      <w:r>
        <w:rPr>
          <w:rFonts w:ascii="Arial" w:cs="Arial" w:eastAsia="Arial" w:hAnsi="Arial"/>
          <w:sz w:val="12"/>
          <w:szCs w:val="12"/>
          <w:color w:val="auto"/>
        </w:rPr>
        <w:t>”). All capitalized terms used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herein without definition shall have the meanings ascribed to them in the Lease.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Tenant hereby confirms the following:</w:t>
      </w:r>
    </w:p>
    <w:p>
      <w:pPr>
        <w:spacing w:after="0" w:line="90" w:lineRule="exact"/>
        <w:rPr>
          <w:sz w:val="20"/>
          <w:szCs w:val="20"/>
          <w:color w:val="auto"/>
        </w:rPr>
      </w:pPr>
    </w:p>
    <w:p>
      <w:pPr>
        <w:ind w:left="680" w:hanging="153"/>
        <w:spacing w:after="0"/>
        <w:tabs>
          <w:tab w:leader="none" w:pos="68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Tenant accepted possession of the Phase 1B Premises for use in accordance with the Permitted Use on [_______], 20[__].</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Phase 1B Premises are in good order, condition and repair.</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Phase 1B Improvements are Substantially Complete.</w:t>
      </w:r>
    </w:p>
    <w:p>
      <w:pPr>
        <w:spacing w:after="0" w:line="177" w:lineRule="exact"/>
        <w:rPr>
          <w:rFonts w:ascii="Arial" w:cs="Arial" w:eastAsia="Arial" w:hAnsi="Arial"/>
          <w:sz w:val="15"/>
          <w:szCs w:val="15"/>
          <w:color w:val="auto"/>
        </w:rPr>
      </w:pPr>
    </w:p>
    <w:p>
      <w:pPr>
        <w:ind w:firstLine="527"/>
        <w:spacing w:after="0" w:line="262" w:lineRule="auto"/>
        <w:tabs>
          <w:tab w:leader="none" w:pos="673" w:val="left"/>
        </w:tabs>
        <w:numPr>
          <w:ilvl w:val="0"/>
          <w:numId w:val="209"/>
        </w:numPr>
        <w:rPr>
          <w:rFonts w:ascii="Arial" w:cs="Arial" w:eastAsia="Arial" w:hAnsi="Arial"/>
          <w:sz w:val="15"/>
          <w:szCs w:val="15"/>
          <w:color w:val="auto"/>
        </w:rPr>
      </w:pPr>
      <w:r>
        <w:rPr>
          <w:rFonts w:ascii="Arial" w:cs="Arial" w:eastAsia="Arial" w:hAnsi="Arial"/>
          <w:sz w:val="15"/>
          <w:szCs w:val="15"/>
          <w:color w:val="auto"/>
        </w:rPr>
        <w:t>Except with respect to Landlord’s delivery of the Phase 2 Premises, 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148" w:lineRule="exact"/>
        <w:rPr>
          <w:rFonts w:ascii="Arial" w:cs="Arial" w:eastAsia="Arial" w:hAnsi="Arial"/>
          <w:sz w:val="15"/>
          <w:szCs w:val="15"/>
          <w:color w:val="auto"/>
        </w:rPr>
      </w:pPr>
    </w:p>
    <w:p>
      <w:pPr>
        <w:ind w:left="680" w:hanging="153"/>
        <w:spacing w:after="0"/>
        <w:tabs>
          <w:tab w:leader="none" w:pos="68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Lease is in full force and effect, and the same represents the entire agreement between Landlord and Tenant concerning the Premises.</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Tenant has no existing defenses against the enforcement of the Lease by Landlord, and there exist no offsets or credits against Rent owed or to be owed by Tenant.</w:t>
      </w:r>
    </w:p>
    <w:p>
      <w:pPr>
        <w:spacing w:after="0" w:line="189" w:lineRule="exact"/>
        <w:rPr>
          <w:rFonts w:ascii="Arial" w:cs="Arial" w:eastAsia="Arial" w:hAnsi="Arial"/>
          <w:sz w:val="14"/>
          <w:szCs w:val="14"/>
          <w:color w:val="auto"/>
        </w:rPr>
      </w:pPr>
    </w:p>
    <w:p>
      <w:pPr>
        <w:ind w:firstLine="527"/>
        <w:spacing w:after="0" w:line="387" w:lineRule="auto"/>
        <w:tabs>
          <w:tab w:leader="none" w:pos="673" w:val="left"/>
        </w:tabs>
        <w:numPr>
          <w:ilvl w:val="0"/>
          <w:numId w:val="209"/>
        </w:numPr>
        <w:rPr>
          <w:rFonts w:ascii="Arial" w:cs="Arial" w:eastAsia="Arial" w:hAnsi="Arial"/>
          <w:sz w:val="12"/>
          <w:szCs w:val="12"/>
          <w:color w:val="auto"/>
        </w:rPr>
      </w:pPr>
      <w:r>
        <w:rPr>
          <w:rFonts w:ascii="Arial" w:cs="Arial" w:eastAsia="Arial" w:hAnsi="Arial"/>
          <w:sz w:val="12"/>
          <w:szCs w:val="12"/>
          <w:color w:val="auto"/>
        </w:rPr>
        <w:t>The obligation to pay Rent with respect to the Fourth Floor Premises and Phase 1B Premises is presently in effect and all Rent obligations on the part of Tenant under the Lease with respect to the Phase 1B Premises commenced to accrue on [_______], 20[__], with Base Rent for the Phase 1B Premises payable on the dates and amounts set forth in the chart below:</w:t>
      </w:r>
    </w:p>
    <w:p>
      <w:pPr>
        <w:spacing w:after="0" w:line="93" w:lineRule="exact"/>
        <w:rPr>
          <w:sz w:val="20"/>
          <w:szCs w:val="20"/>
          <w:color w:val="auto"/>
        </w:rPr>
      </w:pPr>
    </w:p>
    <w:tbl>
      <w:tblPr>
        <w:tblLayout w:type="fixed"/>
        <w:tblInd w:w="870" w:type="dxa"/>
        <w:tblCellMar>
          <w:top w:w="0" w:type="dxa"/>
          <w:left w:w="0" w:type="dxa"/>
          <w:bottom w:w="0" w:type="dxa"/>
          <w:right w:w="0" w:type="dxa"/>
        </w:tblCellMar>
      </w:tblPr>
      <w:tr>
        <w:trPr>
          <w:trHeight w:val="241"/>
        </w:trPr>
        <w:tc>
          <w:tcPr>
            <w:tcW w:w="840" w:type="dxa"/>
            <w:vAlign w:val="bottom"/>
            <w:tcBorders>
              <w:top w:val="single" w:sz="8" w:color="auto"/>
              <w:lef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960" w:type="dxa"/>
            <w:vAlign w:val="bottom"/>
            <w:tcBorders>
              <w:top w:val="single" w:sz="8" w:color="auto"/>
              <w:right w:val="single" w:sz="8" w:color="auto"/>
            </w:tcBorders>
            <w:gridSpan w:val="6"/>
          </w:tcPr>
          <w:p>
            <w:pPr>
              <w:jc w:val="center"/>
              <w:ind w:right="600"/>
              <w:spacing w:after="0"/>
              <w:rPr>
                <w:sz w:val="20"/>
                <w:szCs w:val="20"/>
                <w:color w:val="auto"/>
              </w:rPr>
            </w:pPr>
            <w:r>
              <w:rPr>
                <w:rFonts w:ascii="Arial" w:cs="Arial" w:eastAsia="Arial" w:hAnsi="Arial"/>
                <w:sz w:val="15"/>
                <w:szCs w:val="15"/>
                <w:b w:val="1"/>
                <w:bCs w:val="1"/>
                <w:color w:val="auto"/>
                <w:w w:val="87"/>
              </w:rPr>
              <w:t>Base Rent per Square</w:t>
            </w: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spacing w:after="0"/>
              <w:rPr>
                <w:sz w:val="20"/>
                <w:szCs w:val="20"/>
                <w:color w:val="auto"/>
              </w:rPr>
            </w:pPr>
          </w:p>
        </w:tc>
      </w:tr>
      <w:tr>
        <w:trPr>
          <w:trHeight w:val="155"/>
        </w:trPr>
        <w:tc>
          <w:tcPr>
            <w:tcW w:w="840" w:type="dxa"/>
            <w:vAlign w:val="bottom"/>
            <w:tcBorders>
              <w:lef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89"/>
              </w:rPr>
              <w:t>Approximate</w:t>
            </w:r>
          </w:p>
        </w:tc>
        <w:tc>
          <w:tcPr>
            <w:tcW w:w="540" w:type="dxa"/>
            <w:vAlign w:val="bottom"/>
            <w:tcBorders>
              <w:right w:val="single" w:sz="8" w:color="auto"/>
            </w:tcBorders>
            <w:gridSpan w:val="2"/>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5"/>
                <w:szCs w:val="15"/>
                <w:b w:val="1"/>
                <w:bCs w:val="1"/>
                <w:color w:val="auto"/>
                <w:w w:val="87"/>
              </w:rPr>
              <w:t>Foot of Rentable</w:t>
            </w:r>
          </w:p>
        </w:tc>
        <w:tc>
          <w:tcPr>
            <w:tcW w:w="140" w:type="dxa"/>
            <w:vAlign w:val="bottom"/>
            <w:tcBorders>
              <w:top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500"/>
              <w:spacing w:after="0" w:line="155" w:lineRule="exact"/>
              <w:rPr>
                <w:sz w:val="20"/>
                <w:szCs w:val="20"/>
                <w:color w:val="auto"/>
              </w:rPr>
            </w:pPr>
            <w:r>
              <w:rPr>
                <w:rFonts w:ascii="Arial" w:cs="Arial" w:eastAsia="Arial" w:hAnsi="Arial"/>
                <w:sz w:val="15"/>
                <w:szCs w:val="15"/>
                <w:b w:val="1"/>
                <w:bCs w:val="1"/>
                <w:color w:val="auto"/>
                <w:w w:val="90"/>
              </w:rPr>
              <w:t>Monthly</w:t>
            </w:r>
          </w:p>
        </w:tc>
        <w:tc>
          <w:tcPr>
            <w:tcW w:w="1860" w:type="dxa"/>
            <w:vAlign w:val="bottom"/>
            <w:tcBorders>
              <w:right w:val="single" w:sz="8" w:color="auto"/>
            </w:tcBorders>
            <w:gridSpan w:val="5"/>
          </w:tcPr>
          <w:p>
            <w:pPr>
              <w:jc w:val="center"/>
              <w:ind w:right="40"/>
              <w:spacing w:after="0" w:line="155" w:lineRule="exact"/>
              <w:rPr>
                <w:sz w:val="20"/>
                <w:szCs w:val="20"/>
                <w:color w:val="auto"/>
              </w:rPr>
            </w:pPr>
            <w:r>
              <w:rPr>
                <w:rFonts w:ascii="Arial" w:cs="Arial" w:eastAsia="Arial" w:hAnsi="Arial"/>
                <w:sz w:val="15"/>
                <w:szCs w:val="15"/>
                <w:b w:val="1"/>
                <w:bCs w:val="1"/>
                <w:color w:val="auto"/>
                <w:w w:val="85"/>
              </w:rPr>
              <w:t>Annual Base</w:t>
            </w:r>
          </w:p>
        </w:tc>
      </w:tr>
      <w:tr>
        <w:trPr>
          <w:trHeight w:val="20"/>
        </w:trPr>
        <w:tc>
          <w:tcPr>
            <w:tcW w:w="2060" w:type="dxa"/>
            <w:vAlign w:val="bottom"/>
            <w:tcBorders>
              <w:left w:val="single" w:sz="8" w:color="auto"/>
              <w:right w:val="single" w:sz="8" w:color="auto"/>
            </w:tcBorders>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155"/>
        </w:trPr>
        <w:tc>
          <w:tcPr>
            <w:tcW w:w="2060" w:type="dxa"/>
            <w:vAlign w:val="bottom"/>
            <w:tcBorders>
              <w:left w:val="single" w:sz="8" w:color="auto"/>
              <w:right w:val="single" w:sz="8" w:color="auto"/>
            </w:tcBorders>
            <w:gridSpan w:val="3"/>
          </w:tcPr>
          <w:p>
            <w:pPr>
              <w:ind w:left="840"/>
              <w:spacing w:after="0" w:line="155" w:lineRule="exact"/>
              <w:rPr>
                <w:sz w:val="20"/>
                <w:szCs w:val="20"/>
                <w:color w:val="auto"/>
              </w:rPr>
            </w:pPr>
            <w:r>
              <w:rPr>
                <w:rFonts w:ascii="Arial" w:cs="Arial" w:eastAsia="Arial" w:hAnsi="Arial"/>
                <w:sz w:val="15"/>
                <w:szCs w:val="15"/>
                <w:b w:val="1"/>
                <w:bCs w:val="1"/>
                <w:color w:val="auto"/>
              </w:rPr>
              <w:t>Dates</w:t>
            </w:r>
          </w:p>
        </w:tc>
        <w:tc>
          <w:tcPr>
            <w:tcW w:w="1860" w:type="dxa"/>
            <w:vAlign w:val="bottom"/>
            <w:tcBorders>
              <w:right w:val="single" w:sz="8" w:color="auto"/>
            </w:tcBorders>
            <w:gridSpan w:val="4"/>
          </w:tcPr>
          <w:p>
            <w:pPr>
              <w:jc w:val="center"/>
              <w:ind w:right="40"/>
              <w:spacing w:after="0" w:line="155" w:lineRule="exact"/>
              <w:rPr>
                <w:sz w:val="20"/>
                <w:szCs w:val="20"/>
                <w:color w:val="auto"/>
              </w:rPr>
            </w:pPr>
            <w:r>
              <w:rPr>
                <w:rFonts w:ascii="Arial" w:cs="Arial" w:eastAsia="Arial" w:hAnsi="Arial"/>
                <w:sz w:val="15"/>
                <w:szCs w:val="15"/>
                <w:b w:val="1"/>
                <w:bCs w:val="1"/>
                <w:color w:val="auto"/>
                <w:w w:val="86"/>
              </w:rPr>
              <w:t>Square Feet of Rentable Area</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Borders>
              <w:right w:val="single" w:sz="8" w:color="auto"/>
            </w:tcBorders>
            <w:gridSpan w:val="5"/>
          </w:tcPr>
          <w:p>
            <w:pPr>
              <w:jc w:val="center"/>
              <w:ind w:right="780"/>
              <w:spacing w:after="0" w:line="155" w:lineRule="exact"/>
              <w:rPr>
                <w:sz w:val="20"/>
                <w:szCs w:val="20"/>
                <w:color w:val="auto"/>
              </w:rPr>
            </w:pPr>
            <w:r>
              <w:rPr>
                <w:rFonts w:ascii="Arial" w:cs="Arial" w:eastAsia="Arial" w:hAnsi="Arial"/>
                <w:sz w:val="15"/>
                <w:szCs w:val="15"/>
                <w:b w:val="1"/>
                <w:bCs w:val="1"/>
                <w:color w:val="auto"/>
                <w:w w:val="89"/>
              </w:rPr>
              <w:t>Area</w:t>
            </w:r>
          </w:p>
        </w:tc>
        <w:tc>
          <w:tcPr>
            <w:tcW w:w="1480" w:type="dxa"/>
            <w:vAlign w:val="bottom"/>
            <w:tcBorders>
              <w:right w:val="single" w:sz="8" w:color="auto"/>
            </w:tcBorders>
            <w:gridSpan w:val="5"/>
          </w:tcPr>
          <w:p>
            <w:pPr>
              <w:jc w:val="center"/>
              <w:ind w:right="40"/>
              <w:spacing w:after="0" w:line="155" w:lineRule="exact"/>
              <w:rPr>
                <w:sz w:val="20"/>
                <w:szCs w:val="20"/>
                <w:color w:val="auto"/>
              </w:rPr>
            </w:pPr>
            <w:r>
              <w:rPr>
                <w:rFonts w:ascii="Arial" w:cs="Arial" w:eastAsia="Arial" w:hAnsi="Arial"/>
                <w:sz w:val="15"/>
                <w:szCs w:val="15"/>
                <w:b w:val="1"/>
                <w:bCs w:val="1"/>
                <w:color w:val="auto"/>
                <w:w w:val="87"/>
              </w:rPr>
              <w:t>Base Rent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right w:val="single" w:sz="8" w:color="auto"/>
            </w:tcBorders>
            <w:gridSpan w:val="3"/>
          </w:tcPr>
          <w:p>
            <w:pPr>
              <w:jc w:val="center"/>
              <w:ind w:right="800"/>
              <w:spacing w:after="0" w:line="155" w:lineRule="exact"/>
              <w:rPr>
                <w:sz w:val="20"/>
                <w:szCs w:val="20"/>
                <w:color w:val="auto"/>
              </w:rPr>
            </w:pPr>
            <w:r>
              <w:rPr>
                <w:rFonts w:ascii="Arial" w:cs="Arial" w:eastAsia="Arial" w:hAnsi="Arial"/>
                <w:sz w:val="15"/>
                <w:szCs w:val="15"/>
                <w:b w:val="1"/>
                <w:bCs w:val="1"/>
                <w:color w:val="auto"/>
                <w:w w:val="89"/>
              </w:rPr>
              <w:t>Rent</w:t>
            </w:r>
          </w:p>
        </w:tc>
      </w:tr>
      <w:tr>
        <w:trPr>
          <w:trHeight w:val="100"/>
        </w:trPr>
        <w:tc>
          <w:tcPr>
            <w:tcW w:w="840" w:type="dxa"/>
            <w:vAlign w:val="bottom"/>
            <w:tcBorders>
              <w:left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r>
      <w:tr>
        <w:trPr>
          <w:trHeight w:val="243"/>
        </w:trPr>
        <w:tc>
          <w:tcPr>
            <w:tcW w:w="2060" w:type="dxa"/>
            <w:vAlign w:val="bottom"/>
            <w:tcBorders>
              <w:left w:val="single" w:sz="8" w:color="auto"/>
              <w:right w:val="single" w:sz="8" w:color="auto"/>
            </w:tcBorders>
            <w:gridSpan w:val="3"/>
          </w:tcPr>
          <w:p>
            <w:pPr>
              <w:jc w:val="right"/>
              <w:ind w:right="620"/>
              <w:spacing w:after="0"/>
              <w:rPr>
                <w:sz w:val="20"/>
                <w:szCs w:val="20"/>
                <w:color w:val="auto"/>
              </w:rPr>
            </w:pPr>
            <w:r>
              <w:rPr>
                <w:rFonts w:ascii="Arial" w:cs="Arial" w:eastAsia="Arial" w:hAnsi="Arial"/>
                <w:sz w:val="15"/>
                <w:szCs w:val="15"/>
                <w:color w:val="auto"/>
              </w:rPr>
              <w:t>[__]/[__]/[__]-</w:t>
            </w:r>
          </w:p>
        </w:tc>
        <w:tc>
          <w:tcPr>
            <w:tcW w:w="1320" w:type="dxa"/>
            <w:vAlign w:val="bottom"/>
            <w:gridSpan w:val="2"/>
          </w:tcPr>
          <w:p>
            <w:pPr>
              <w:jc w:val="center"/>
              <w:ind w:left="407"/>
              <w:spacing w:after="0"/>
              <w:rPr>
                <w:sz w:val="20"/>
                <w:szCs w:val="20"/>
                <w:color w:val="auto"/>
              </w:rPr>
            </w:pPr>
            <w:r>
              <w:rPr>
                <w:rFonts w:ascii="Arial" w:cs="Arial" w:eastAsia="Arial" w:hAnsi="Arial"/>
                <w:sz w:val="15"/>
                <w:szCs w:val="15"/>
                <w:color w:val="auto"/>
                <w:w w:val="90"/>
              </w:rPr>
              <w:t>[________]</w:t>
            </w:r>
          </w:p>
        </w:tc>
        <w:tc>
          <w:tcPr>
            <w:tcW w:w="5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760" w:type="dxa"/>
            <w:vAlign w:val="bottom"/>
            <w:gridSpan w:val="5"/>
          </w:tcPr>
          <w:p>
            <w:pPr>
              <w:jc w:val="center"/>
              <w:ind w:left="627"/>
              <w:spacing w:after="0"/>
              <w:rPr>
                <w:sz w:val="20"/>
                <w:szCs w:val="20"/>
                <w:color w:val="auto"/>
              </w:rPr>
            </w:pPr>
            <w:r>
              <w:rPr>
                <w:rFonts w:ascii="Arial" w:cs="Arial" w:eastAsia="Arial" w:hAnsi="Arial"/>
                <w:sz w:val="15"/>
                <w:szCs w:val="15"/>
                <w:color w:val="auto"/>
                <w:w w:val="88"/>
              </w:rPr>
              <w:t>$[________]</w:t>
            </w:r>
          </w:p>
        </w:tc>
        <w:tc>
          <w:tcPr>
            <w:tcW w:w="1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5"/>
                <w:szCs w:val="15"/>
                <w:color w:val="auto"/>
                <w:w w:val="91"/>
              </w:rPr>
              <w:t>$[________]</w:t>
            </w:r>
          </w:p>
        </w:tc>
        <w:tc>
          <w:tcPr>
            <w:tcW w:w="1300" w:type="dxa"/>
            <w:vAlign w:val="bottom"/>
            <w:gridSpan w:val="4"/>
          </w:tcPr>
          <w:p>
            <w:pPr>
              <w:jc w:val="center"/>
              <w:ind w:left="467"/>
              <w:spacing w:after="0"/>
              <w:rPr>
                <w:sz w:val="20"/>
                <w:szCs w:val="20"/>
                <w:color w:val="auto"/>
              </w:rPr>
            </w:pPr>
            <w:r>
              <w:rPr>
                <w:rFonts w:ascii="Arial" w:cs="Arial" w:eastAsia="Arial" w:hAnsi="Arial"/>
                <w:sz w:val="15"/>
                <w:szCs w:val="15"/>
                <w:color w:val="auto"/>
                <w:w w:val="91"/>
              </w:rPr>
              <w:t>$[________]</w:t>
            </w:r>
          </w:p>
        </w:tc>
        <w:tc>
          <w:tcPr>
            <w:tcW w:w="560" w:type="dxa"/>
            <w:vAlign w:val="bottom"/>
            <w:tcBorders>
              <w:right w:val="single" w:sz="8" w:color="auto"/>
            </w:tcBorders>
          </w:tcPr>
          <w:p>
            <w:pPr>
              <w:spacing w:after="0"/>
              <w:rPr>
                <w:sz w:val="21"/>
                <w:szCs w:val="21"/>
                <w:color w:val="auto"/>
              </w:rPr>
            </w:pPr>
          </w:p>
        </w:tc>
      </w:tr>
      <w:tr>
        <w:trPr>
          <w:trHeight w:val="186"/>
        </w:trPr>
        <w:tc>
          <w:tcPr>
            <w:tcW w:w="2060" w:type="dxa"/>
            <w:vAlign w:val="bottom"/>
            <w:tcBorders>
              <w:left w:val="single" w:sz="8" w:color="auto"/>
              <w:right w:val="single" w:sz="8" w:color="auto"/>
            </w:tcBorders>
            <w:gridSpan w:val="3"/>
          </w:tcPr>
          <w:p>
            <w:pPr>
              <w:jc w:val="right"/>
              <w:ind w:right="640"/>
              <w:spacing w:after="0"/>
              <w:rPr>
                <w:sz w:val="20"/>
                <w:szCs w:val="20"/>
                <w:color w:val="auto"/>
              </w:rPr>
            </w:pPr>
            <w:r>
              <w:rPr>
                <w:rFonts w:ascii="Arial" w:cs="Arial" w:eastAsia="Arial" w:hAnsi="Arial"/>
                <w:sz w:val="15"/>
                <w:szCs w:val="15"/>
                <w:color w:val="auto"/>
              </w:rPr>
              <w:t>[__]/[__]/[__]</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r>
      <w:tr>
        <w:trPr>
          <w:trHeight w:val="87"/>
        </w:trPr>
        <w:tc>
          <w:tcPr>
            <w:tcW w:w="84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r>
    </w:tbl>
    <w:p>
      <w:pPr>
        <w:spacing w:after="0" w:line="164" w:lineRule="exact"/>
        <w:rPr>
          <w:sz w:val="20"/>
          <w:szCs w:val="20"/>
          <w:color w:val="auto"/>
        </w:rPr>
      </w:pPr>
    </w:p>
    <w:p>
      <w:pPr>
        <w:ind w:left="680" w:hanging="153"/>
        <w:spacing w:after="0"/>
        <w:tabs>
          <w:tab w:leader="none" w:pos="68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undersigned Tenant has not made any prior assignment, transfer, hypothecation or pledge of the Lease or of the rents thereunder or sublease of the Premises or any portion thereof.</w:t>
      </w:r>
    </w:p>
    <w:p>
      <w:pPr>
        <w:spacing w:after="0" w:line="212" w:lineRule="exact"/>
        <w:rPr>
          <w:rFonts w:ascii="Arial" w:cs="Arial" w:eastAsia="Arial" w:hAnsi="Arial"/>
          <w:sz w:val="12"/>
          <w:szCs w:val="12"/>
          <w:color w:val="auto"/>
        </w:rPr>
      </w:pPr>
    </w:p>
    <w:p>
      <w:pPr>
        <w:ind w:left="3700"/>
        <w:spacing w:after="0"/>
        <w:rPr>
          <w:rFonts w:ascii="Arial" w:cs="Arial" w:eastAsia="Arial" w:hAnsi="Arial"/>
          <w:sz w:val="12"/>
          <w:szCs w:val="12"/>
          <w:color w:val="auto"/>
        </w:rPr>
      </w:pPr>
      <w:r>
        <w:rPr>
          <w:rFonts w:ascii="Arial" w:cs="Arial" w:eastAsia="Arial" w:hAnsi="Arial"/>
          <w:sz w:val="15"/>
          <w:szCs w:val="15"/>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312025"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41" w:name="page342"/>
    <w:bookmarkEnd w:id="341"/>
    <w:p>
      <w:pPr>
        <w:ind w:left="520"/>
        <w:spacing w:after="0"/>
        <w:rPr>
          <w:sz w:val="20"/>
          <w:szCs w:val="20"/>
          <w:color w:val="auto"/>
        </w:rPr>
      </w:pPr>
      <w:r>
        <w:rPr>
          <w:rFonts w:ascii="Arial" w:cs="Arial" w:eastAsia="Arial" w:hAnsi="Arial"/>
          <w:sz w:val="12"/>
          <w:szCs w:val="12"/>
          <w:color w:val="auto"/>
        </w:rPr>
        <w:t>IN WITNESS WHEREOF, Tenant has executed this Acknowledgment of Phase 1B Substantial Completion Date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TENANT: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SERES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 Delaware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6570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280670</wp:posOffset>
            </wp:positionV>
            <wp:extent cx="7312025"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304" w:right="1440" w:bottom="1440" w:gutter="0" w:footer="0" w:header="0"/>
        </w:sectPr>
      </w:pPr>
    </w:p>
    <w:bookmarkStart w:id="342" w:name="page343"/>
    <w:bookmarkEnd w:id="342"/>
    <w:p>
      <w:pPr>
        <w:jc w:val="center"/>
        <w:spacing w:after="0"/>
        <w:rPr>
          <w:sz w:val="20"/>
          <w:szCs w:val="20"/>
          <w:color w:val="auto"/>
        </w:rPr>
      </w:pPr>
      <w:r>
        <w:rPr>
          <w:rFonts w:ascii="Arial" w:cs="Arial" w:eastAsia="Arial" w:hAnsi="Arial"/>
          <w:sz w:val="15"/>
          <w:szCs w:val="15"/>
          <w:b w:val="1"/>
          <w:bCs w:val="1"/>
          <w:color w:val="auto"/>
        </w:rPr>
        <w:t>EXHIBIT C-3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ACKNOWLEDGEMENT OF PHASE 2 SUBSTANTIAL COMPLETION DATE AND TERM EXPIRATION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ACKNOWLEDGEMENT OF SUBSTANTIAL COMPLETION OF PHASE 2 PREMISES AND TERM EXPIRATION DATE is entered into as of [_______], 20[__],with</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reference to that certain Lease (the “</w:t>
      </w:r>
      <w:r>
        <w:rPr>
          <w:rFonts w:ascii="Arial" w:cs="Arial" w:eastAsia="Arial" w:hAnsi="Arial"/>
          <w:sz w:val="12"/>
          <w:szCs w:val="12"/>
          <w:u w:val="single" w:color="auto"/>
          <w:color w:val="auto"/>
        </w:rPr>
        <w:t>Lease</w:t>
      </w:r>
      <w:r>
        <w:rPr>
          <w:rFonts w:ascii="Arial" w:cs="Arial" w:eastAsia="Arial" w:hAnsi="Arial"/>
          <w:sz w:val="12"/>
          <w:szCs w:val="12"/>
          <w:color w:val="auto"/>
        </w:rPr>
        <w:t>”) dated as of [_______], 2015, by [_______], a [_______] (“</w:t>
      </w:r>
      <w:r>
        <w:rPr>
          <w:rFonts w:ascii="Arial" w:cs="Arial" w:eastAsia="Arial" w:hAnsi="Arial"/>
          <w:sz w:val="12"/>
          <w:szCs w:val="12"/>
          <w:u w:val="single" w:color="auto"/>
          <w:color w:val="auto"/>
        </w:rPr>
        <w:t>Tenant</w:t>
      </w:r>
      <w:r>
        <w:rPr>
          <w:rFonts w:ascii="Arial" w:cs="Arial" w:eastAsia="Arial" w:hAnsi="Arial"/>
          <w:sz w:val="12"/>
          <w:szCs w:val="12"/>
          <w:color w:val="auto"/>
        </w:rPr>
        <w:t>”), in favor of BMR-Sidney Research Campus LLC, a Delaware limited liability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company (“</w:t>
      </w:r>
      <w:r>
        <w:rPr>
          <w:rFonts w:ascii="Arial" w:cs="Arial" w:eastAsia="Arial" w:hAnsi="Arial"/>
          <w:sz w:val="15"/>
          <w:szCs w:val="15"/>
          <w:u w:val="single" w:color="auto"/>
          <w:color w:val="auto"/>
        </w:rPr>
        <w:t>Landlord</w:t>
      </w:r>
      <w:r>
        <w:rPr>
          <w:rFonts w:ascii="Arial" w:cs="Arial" w:eastAsia="Arial" w:hAnsi="Arial"/>
          <w:sz w:val="15"/>
          <w:szCs w:val="15"/>
          <w:color w:val="auto"/>
        </w:rPr>
        <w:t>”). All capitalized terms used herein without definition shall have the meanings ascribed to them in the Lease.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Tenant hereby confirms the following:</w:t>
      </w:r>
    </w:p>
    <w:p>
      <w:pPr>
        <w:spacing w:after="0" w:line="90" w:lineRule="exact"/>
        <w:rPr>
          <w:sz w:val="20"/>
          <w:szCs w:val="20"/>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Tenant delivered that certain Acknowledgement of Term Commencement Date on [_________], [20___].</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Landlord has delivered the Phase 2 Premises to Tenant Substantially Complete.</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Rent Commencement Date is [________], [20____]</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Term Expiration Date is [________], [20____].</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Premises are in good order, condition and repair.</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Phase 2 Improvements are Substantially Complete.</w:t>
      </w:r>
    </w:p>
    <w:p>
      <w:pPr>
        <w:spacing w:after="0" w:line="177" w:lineRule="exact"/>
        <w:rPr>
          <w:rFonts w:ascii="Arial" w:cs="Arial" w:eastAsia="Arial" w:hAnsi="Arial"/>
          <w:sz w:val="15"/>
          <w:szCs w:val="15"/>
          <w:color w:val="auto"/>
        </w:rPr>
      </w:pPr>
    </w:p>
    <w:p>
      <w:pPr>
        <w:ind w:firstLine="527"/>
        <w:spacing w:after="0" w:line="262" w:lineRule="auto"/>
        <w:tabs>
          <w:tab w:leader="none" w:pos="668" w:val="left"/>
        </w:tabs>
        <w:numPr>
          <w:ilvl w:val="0"/>
          <w:numId w:val="211"/>
        </w:numPr>
        <w:rPr>
          <w:rFonts w:ascii="Arial" w:cs="Arial" w:eastAsia="Arial" w:hAnsi="Arial"/>
          <w:sz w:val="15"/>
          <w:szCs w:val="15"/>
          <w:color w:val="auto"/>
        </w:rPr>
      </w:pPr>
      <w:r>
        <w:rPr>
          <w:rFonts w:ascii="Arial" w:cs="Arial" w:eastAsia="Arial" w:hAnsi="Arial"/>
          <w:sz w:val="15"/>
          <w:szCs w:val="15"/>
          <w:color w:val="auto"/>
        </w:rPr>
        <w:t>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148"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Lease is in full force and effect, and the same represents the entire agreement between Landlord and Tenant concerning the Premises.</w:t>
      </w:r>
    </w:p>
    <w:p>
      <w:pPr>
        <w:spacing w:after="0" w:line="177" w:lineRule="exact"/>
        <w:rPr>
          <w:rFonts w:ascii="Arial" w:cs="Arial" w:eastAsia="Arial" w:hAnsi="Arial"/>
          <w:sz w:val="15"/>
          <w:szCs w:val="15"/>
          <w:color w:val="auto"/>
        </w:rPr>
      </w:pPr>
    </w:p>
    <w:p>
      <w:pPr>
        <w:ind w:left="680" w:hanging="153"/>
        <w:spacing w:after="0"/>
        <w:tabs>
          <w:tab w:leader="none" w:pos="68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Tenant has no existing defenses against the enforcement of the Lease by Landlord, and there exist no offsets or credits against Rent owed or to be owed by Tenant.</w:t>
      </w:r>
    </w:p>
    <w:p>
      <w:pPr>
        <w:spacing w:after="0" w:line="189" w:lineRule="exact"/>
        <w:rPr>
          <w:rFonts w:ascii="Arial" w:cs="Arial" w:eastAsia="Arial" w:hAnsi="Arial"/>
          <w:sz w:val="14"/>
          <w:szCs w:val="14"/>
          <w:color w:val="auto"/>
        </w:rPr>
      </w:pPr>
    </w:p>
    <w:p>
      <w:pPr>
        <w:ind w:firstLine="527"/>
        <w:spacing w:after="0" w:line="298" w:lineRule="auto"/>
        <w:tabs>
          <w:tab w:leader="none" w:pos="763"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obligation to pay Rent with respect to the entire Premises is presently in effect and all Rent obligations on the part of Tenant under the Lease with respect to the entire Premises commenced to accrue on [_______], 20[__], with Base Rent applicable to the entire Premises payable on the dates and amounts set forth in the chart below:</w:t>
      </w:r>
    </w:p>
    <w:p>
      <w:pPr>
        <w:spacing w:after="0" w:line="138" w:lineRule="exact"/>
        <w:rPr>
          <w:sz w:val="20"/>
          <w:szCs w:val="20"/>
          <w:color w:val="auto"/>
        </w:rPr>
      </w:pPr>
    </w:p>
    <w:tbl>
      <w:tblPr>
        <w:tblLayout w:type="fixed"/>
        <w:tblInd w:w="870" w:type="dxa"/>
        <w:tblCellMar>
          <w:top w:w="0" w:type="dxa"/>
          <w:left w:w="0" w:type="dxa"/>
          <w:bottom w:w="0" w:type="dxa"/>
          <w:right w:w="0" w:type="dxa"/>
        </w:tblCellMar>
      </w:tblPr>
      <w:tr>
        <w:trPr>
          <w:trHeight w:val="241"/>
        </w:trPr>
        <w:tc>
          <w:tcPr>
            <w:tcW w:w="840" w:type="dxa"/>
            <w:vAlign w:val="bottom"/>
            <w:tcBorders>
              <w:top w:val="single" w:sz="8" w:color="auto"/>
              <w:lef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Approximate</w:t>
            </w:r>
          </w:p>
        </w:tc>
        <w:tc>
          <w:tcPr>
            <w:tcW w:w="540" w:type="dxa"/>
            <w:vAlign w:val="bottom"/>
            <w:tcBorders>
              <w:top w:val="single" w:sz="8" w:color="auto"/>
              <w:right w:val="single" w:sz="8" w:color="auto"/>
            </w:tcBorders>
            <w:gridSpan w:val="2"/>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960" w:type="dxa"/>
            <w:vAlign w:val="bottom"/>
            <w:tcBorders>
              <w:top w:val="single" w:sz="8" w:color="auto"/>
              <w:right w:val="single" w:sz="8" w:color="auto"/>
            </w:tcBorders>
            <w:gridSpan w:val="3"/>
          </w:tcPr>
          <w:p>
            <w:pPr>
              <w:jc w:val="center"/>
              <w:ind w:right="600"/>
              <w:spacing w:after="0"/>
              <w:rPr>
                <w:sz w:val="20"/>
                <w:szCs w:val="20"/>
                <w:color w:val="auto"/>
              </w:rPr>
            </w:pPr>
            <w:r>
              <w:rPr>
                <w:rFonts w:ascii="Arial" w:cs="Arial" w:eastAsia="Arial" w:hAnsi="Arial"/>
                <w:sz w:val="15"/>
                <w:szCs w:val="15"/>
                <w:b w:val="1"/>
                <w:bCs w:val="1"/>
                <w:color w:val="auto"/>
                <w:w w:val="87"/>
              </w:rPr>
              <w:t>Base Rent per Square</w:t>
            </w: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20" w:type="dxa"/>
            <w:vAlign w:val="bottom"/>
            <w:tcBorders>
              <w:top w:val="single" w:sz="8" w:color="auto"/>
              <w:right w:val="single" w:sz="8" w:color="auto"/>
            </w:tcBorders>
            <w:gridSpan w:val="3"/>
          </w:tcPr>
          <w:p>
            <w:pPr>
              <w:jc w:val="center"/>
              <w:ind w:right="500"/>
              <w:spacing w:after="0"/>
              <w:rPr>
                <w:sz w:val="20"/>
                <w:szCs w:val="20"/>
                <w:color w:val="auto"/>
              </w:rPr>
            </w:pPr>
            <w:r>
              <w:rPr>
                <w:rFonts w:ascii="Arial" w:cs="Arial" w:eastAsia="Arial" w:hAnsi="Arial"/>
                <w:sz w:val="15"/>
                <w:szCs w:val="15"/>
                <w:b w:val="1"/>
                <w:bCs w:val="1"/>
                <w:color w:val="auto"/>
                <w:w w:val="90"/>
              </w:rPr>
              <w:t>Monthly</w:t>
            </w: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auto"/>
            </w:tcBorders>
            <w:gridSpan w:val="3"/>
          </w:tcPr>
          <w:p>
            <w:pPr>
              <w:jc w:val="center"/>
              <w:ind w:right="720"/>
              <w:spacing w:after="0"/>
              <w:rPr>
                <w:sz w:val="20"/>
                <w:szCs w:val="20"/>
                <w:color w:val="auto"/>
              </w:rPr>
            </w:pPr>
            <w:r>
              <w:rPr>
                <w:rFonts w:ascii="Arial" w:cs="Arial" w:eastAsia="Arial" w:hAnsi="Arial"/>
                <w:sz w:val="15"/>
                <w:szCs w:val="15"/>
                <w:b w:val="1"/>
                <w:bCs w:val="1"/>
                <w:color w:val="auto"/>
                <w:w w:val="90"/>
              </w:rPr>
              <w:t>Annual</w:t>
            </w:r>
          </w:p>
        </w:tc>
      </w:tr>
      <w:tr>
        <w:trPr>
          <w:trHeight w:val="20"/>
        </w:trPr>
        <w:tc>
          <w:tcPr>
            <w:tcW w:w="2060" w:type="dxa"/>
            <w:vAlign w:val="bottom"/>
            <w:tcBorders>
              <w:left w:val="single" w:sz="8" w:color="auto"/>
              <w:right w:val="single" w:sz="8" w:color="auto"/>
            </w:tcBorders>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r>
      <w:tr>
        <w:trPr>
          <w:trHeight w:val="155"/>
        </w:trPr>
        <w:tc>
          <w:tcPr>
            <w:tcW w:w="2060" w:type="dxa"/>
            <w:vAlign w:val="bottom"/>
            <w:tcBorders>
              <w:left w:val="single" w:sz="8" w:color="auto"/>
              <w:right w:val="single" w:sz="8" w:color="auto"/>
            </w:tcBorders>
            <w:gridSpan w:val="3"/>
          </w:tcPr>
          <w:p>
            <w:pPr>
              <w:ind w:left="840"/>
              <w:spacing w:after="0" w:line="155" w:lineRule="exact"/>
              <w:rPr>
                <w:sz w:val="20"/>
                <w:szCs w:val="20"/>
                <w:color w:val="auto"/>
              </w:rPr>
            </w:pPr>
            <w:r>
              <w:rPr>
                <w:rFonts w:ascii="Arial" w:cs="Arial" w:eastAsia="Arial" w:hAnsi="Arial"/>
                <w:sz w:val="15"/>
                <w:szCs w:val="15"/>
                <w:b w:val="1"/>
                <w:bCs w:val="1"/>
                <w:color w:val="auto"/>
              </w:rPr>
              <w:t>Dates</w:t>
            </w:r>
          </w:p>
        </w:tc>
        <w:tc>
          <w:tcPr>
            <w:tcW w:w="1860" w:type="dxa"/>
            <w:vAlign w:val="bottom"/>
            <w:tcBorders>
              <w:right w:val="single" w:sz="8" w:color="auto"/>
            </w:tcBorders>
            <w:gridSpan w:val="4"/>
          </w:tcPr>
          <w:p>
            <w:pPr>
              <w:jc w:val="center"/>
              <w:ind w:right="40"/>
              <w:spacing w:after="0" w:line="155" w:lineRule="exact"/>
              <w:rPr>
                <w:sz w:val="20"/>
                <w:szCs w:val="20"/>
                <w:color w:val="auto"/>
              </w:rPr>
            </w:pPr>
            <w:r>
              <w:rPr>
                <w:rFonts w:ascii="Arial" w:cs="Arial" w:eastAsia="Arial" w:hAnsi="Arial"/>
                <w:sz w:val="15"/>
                <w:szCs w:val="15"/>
                <w:b w:val="1"/>
                <w:bCs w:val="1"/>
                <w:color w:val="auto"/>
                <w:w w:val="86"/>
              </w:rPr>
              <w:t>Square Feet of Rentable Area</w:t>
            </w:r>
          </w:p>
        </w:tc>
        <w:tc>
          <w:tcPr>
            <w:tcW w:w="540" w:type="dxa"/>
            <w:vAlign w:val="bottom"/>
          </w:tcPr>
          <w:p>
            <w:pPr>
              <w:spacing w:after="0"/>
              <w:rPr>
                <w:sz w:val="13"/>
                <w:szCs w:val="13"/>
                <w:color w:val="auto"/>
              </w:rPr>
            </w:pPr>
          </w:p>
        </w:tc>
        <w:tc>
          <w:tcPr>
            <w:tcW w:w="1980" w:type="dxa"/>
            <w:vAlign w:val="bottom"/>
            <w:tcBorders>
              <w:right w:val="single" w:sz="8" w:color="auto"/>
            </w:tcBorders>
            <w:gridSpan w:val="4"/>
          </w:tcPr>
          <w:p>
            <w:pPr>
              <w:jc w:val="center"/>
              <w:ind w:right="600"/>
              <w:spacing w:after="0" w:line="155" w:lineRule="exact"/>
              <w:rPr>
                <w:sz w:val="20"/>
                <w:szCs w:val="20"/>
                <w:color w:val="auto"/>
              </w:rPr>
            </w:pPr>
            <w:r>
              <w:rPr>
                <w:rFonts w:ascii="Arial" w:cs="Arial" w:eastAsia="Arial" w:hAnsi="Arial"/>
                <w:sz w:val="15"/>
                <w:szCs w:val="15"/>
                <w:b w:val="1"/>
                <w:bCs w:val="1"/>
                <w:color w:val="auto"/>
                <w:w w:val="88"/>
              </w:rPr>
              <w:t>Foot of Rentable Area</w:t>
            </w:r>
          </w:p>
        </w:tc>
        <w:tc>
          <w:tcPr>
            <w:tcW w:w="1480" w:type="dxa"/>
            <w:vAlign w:val="bottom"/>
            <w:tcBorders>
              <w:right w:val="single" w:sz="8" w:color="auto"/>
            </w:tcBorders>
            <w:gridSpan w:val="5"/>
          </w:tcPr>
          <w:p>
            <w:pPr>
              <w:jc w:val="center"/>
              <w:ind w:right="40"/>
              <w:spacing w:after="0" w:line="155" w:lineRule="exact"/>
              <w:rPr>
                <w:sz w:val="20"/>
                <w:szCs w:val="20"/>
                <w:color w:val="auto"/>
              </w:rPr>
            </w:pPr>
            <w:r>
              <w:rPr>
                <w:rFonts w:ascii="Arial" w:cs="Arial" w:eastAsia="Arial" w:hAnsi="Arial"/>
                <w:sz w:val="15"/>
                <w:szCs w:val="15"/>
                <w:b w:val="1"/>
                <w:bCs w:val="1"/>
                <w:color w:val="auto"/>
                <w:w w:val="87"/>
              </w:rPr>
              <w:t>Base Rent</w:t>
            </w:r>
          </w:p>
        </w:tc>
        <w:tc>
          <w:tcPr>
            <w:tcW w:w="1860" w:type="dxa"/>
            <w:vAlign w:val="bottom"/>
            <w:tcBorders>
              <w:right w:val="single" w:sz="8" w:color="auto"/>
            </w:tcBorders>
            <w:gridSpan w:val="5"/>
          </w:tcPr>
          <w:p>
            <w:pPr>
              <w:jc w:val="center"/>
              <w:ind w:right="40"/>
              <w:spacing w:after="0" w:line="155" w:lineRule="exact"/>
              <w:rPr>
                <w:sz w:val="20"/>
                <w:szCs w:val="20"/>
                <w:color w:val="auto"/>
              </w:rPr>
            </w:pPr>
            <w:r>
              <w:rPr>
                <w:rFonts w:ascii="Arial" w:cs="Arial" w:eastAsia="Arial" w:hAnsi="Arial"/>
                <w:sz w:val="15"/>
                <w:szCs w:val="15"/>
                <w:b w:val="1"/>
                <w:bCs w:val="1"/>
                <w:color w:val="auto"/>
                <w:w w:val="84"/>
              </w:rPr>
              <w:t>Base Rent</w:t>
            </w:r>
          </w:p>
        </w:tc>
      </w:tr>
      <w:tr>
        <w:trPr>
          <w:trHeight w:val="100"/>
        </w:trPr>
        <w:tc>
          <w:tcPr>
            <w:tcW w:w="840" w:type="dxa"/>
            <w:vAlign w:val="bottom"/>
            <w:tcBorders>
              <w:left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34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r>
      <w:tr>
        <w:trPr>
          <w:trHeight w:val="243"/>
        </w:trPr>
        <w:tc>
          <w:tcPr>
            <w:tcW w:w="2060" w:type="dxa"/>
            <w:vAlign w:val="bottom"/>
            <w:tcBorders>
              <w:left w:val="single" w:sz="8" w:color="auto"/>
              <w:right w:val="single" w:sz="8" w:color="auto"/>
            </w:tcBorders>
            <w:gridSpan w:val="3"/>
          </w:tcPr>
          <w:p>
            <w:pPr>
              <w:jc w:val="right"/>
              <w:ind w:right="620"/>
              <w:spacing w:after="0"/>
              <w:rPr>
                <w:sz w:val="20"/>
                <w:szCs w:val="20"/>
                <w:color w:val="auto"/>
              </w:rPr>
            </w:pPr>
            <w:r>
              <w:rPr>
                <w:rFonts w:ascii="Arial" w:cs="Arial" w:eastAsia="Arial" w:hAnsi="Arial"/>
                <w:sz w:val="15"/>
                <w:szCs w:val="15"/>
                <w:color w:val="auto"/>
              </w:rPr>
              <w:t>[__]/[__]/[__]-</w:t>
            </w:r>
          </w:p>
        </w:tc>
        <w:tc>
          <w:tcPr>
            <w:tcW w:w="1320" w:type="dxa"/>
            <w:vAlign w:val="bottom"/>
            <w:gridSpan w:val="2"/>
          </w:tcPr>
          <w:p>
            <w:pPr>
              <w:jc w:val="center"/>
              <w:ind w:left="427"/>
              <w:spacing w:after="0"/>
              <w:rPr>
                <w:sz w:val="20"/>
                <w:szCs w:val="20"/>
                <w:color w:val="auto"/>
              </w:rPr>
            </w:pPr>
            <w:r>
              <w:rPr>
                <w:rFonts w:ascii="Arial" w:cs="Arial" w:eastAsia="Arial" w:hAnsi="Arial"/>
                <w:sz w:val="15"/>
                <w:szCs w:val="15"/>
                <w:color w:val="auto"/>
              </w:rPr>
              <w:t>[ ]</w:t>
            </w:r>
          </w:p>
        </w:tc>
        <w:tc>
          <w:tcPr>
            <w:tcW w:w="5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900" w:type="dxa"/>
            <w:vAlign w:val="bottom"/>
            <w:gridSpan w:val="3"/>
          </w:tcPr>
          <w:p>
            <w:pPr>
              <w:jc w:val="center"/>
              <w:ind w:left="487"/>
              <w:spacing w:after="0"/>
              <w:rPr>
                <w:sz w:val="20"/>
                <w:szCs w:val="20"/>
                <w:color w:val="auto"/>
              </w:rPr>
            </w:pPr>
            <w:r>
              <w:rPr>
                <w:rFonts w:ascii="Arial" w:cs="Arial" w:eastAsia="Arial" w:hAnsi="Arial"/>
                <w:sz w:val="15"/>
                <w:szCs w:val="15"/>
                <w:color w:val="auto"/>
                <w:w w:val="88"/>
              </w:rPr>
              <w:t>$[________]</w:t>
            </w:r>
          </w:p>
        </w:tc>
        <w:tc>
          <w:tcPr>
            <w:tcW w:w="2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980" w:type="dxa"/>
            <w:vAlign w:val="bottom"/>
            <w:gridSpan w:val="3"/>
          </w:tcPr>
          <w:p>
            <w:pPr>
              <w:jc w:val="center"/>
              <w:ind w:left="387"/>
              <w:spacing w:after="0"/>
              <w:rPr>
                <w:sz w:val="20"/>
                <w:szCs w:val="20"/>
                <w:color w:val="auto"/>
              </w:rPr>
            </w:pPr>
            <w:r>
              <w:rPr>
                <w:rFonts w:ascii="Arial" w:cs="Arial" w:eastAsia="Arial" w:hAnsi="Arial"/>
                <w:sz w:val="15"/>
                <w:szCs w:val="15"/>
                <w:color w:val="auto"/>
              </w:rPr>
              <w:t>[ ]</w:t>
            </w:r>
          </w:p>
        </w:tc>
        <w:tc>
          <w:tcPr>
            <w:tcW w:w="6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140" w:type="dxa"/>
            <w:vAlign w:val="bottom"/>
            <w:gridSpan w:val="3"/>
          </w:tcPr>
          <w:p>
            <w:pPr>
              <w:jc w:val="center"/>
              <w:ind w:left="607"/>
              <w:spacing w:after="0"/>
              <w:rPr>
                <w:sz w:val="20"/>
                <w:szCs w:val="20"/>
                <w:color w:val="auto"/>
              </w:rPr>
            </w:pPr>
            <w:r>
              <w:rPr>
                <w:rFonts w:ascii="Arial" w:cs="Arial" w:eastAsia="Arial" w:hAnsi="Arial"/>
                <w:sz w:val="15"/>
                <w:szCs w:val="15"/>
                <w:color w:val="auto"/>
              </w:rPr>
              <w:t>[ ]</w:t>
            </w:r>
          </w:p>
        </w:tc>
        <w:tc>
          <w:tcPr>
            <w:tcW w:w="8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r>
      <w:tr>
        <w:trPr>
          <w:trHeight w:val="186"/>
        </w:trPr>
        <w:tc>
          <w:tcPr>
            <w:tcW w:w="2060" w:type="dxa"/>
            <w:vAlign w:val="bottom"/>
            <w:tcBorders>
              <w:left w:val="single" w:sz="8" w:color="auto"/>
              <w:right w:val="single" w:sz="8" w:color="auto"/>
            </w:tcBorders>
            <w:gridSpan w:val="3"/>
          </w:tcPr>
          <w:p>
            <w:pPr>
              <w:jc w:val="right"/>
              <w:ind w:right="640"/>
              <w:spacing w:after="0"/>
              <w:rPr>
                <w:sz w:val="20"/>
                <w:szCs w:val="20"/>
                <w:color w:val="auto"/>
              </w:rPr>
            </w:pPr>
            <w:r>
              <w:rPr>
                <w:rFonts w:ascii="Arial" w:cs="Arial" w:eastAsia="Arial" w:hAnsi="Arial"/>
                <w:sz w:val="15"/>
                <w:szCs w:val="15"/>
                <w:color w:val="auto"/>
              </w:rPr>
              <w:t>[__]/[__]/[__]</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r>
      <w:tr>
        <w:trPr>
          <w:trHeight w:val="87"/>
        </w:trPr>
        <w:tc>
          <w:tcPr>
            <w:tcW w:w="84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r>
    </w:tbl>
    <w:p>
      <w:pPr>
        <w:spacing w:after="0" w:line="164" w:lineRule="exact"/>
        <w:rPr>
          <w:sz w:val="20"/>
          <w:szCs w:val="20"/>
          <w:color w:val="auto"/>
        </w:rPr>
      </w:pPr>
    </w:p>
    <w:p>
      <w:pPr>
        <w:ind w:left="740" w:hanging="213"/>
        <w:spacing w:after="0"/>
        <w:tabs>
          <w:tab w:leader="none" w:pos="74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undersigned Tenant has not made any prior assignment, transfer, hypothecation or pledge of the Lease or of the rents thereunder or sublease of the Premises or any portion thereof.</w:t>
      </w:r>
    </w:p>
    <w:p>
      <w:pPr>
        <w:spacing w:after="0" w:line="212" w:lineRule="exact"/>
        <w:rPr>
          <w:rFonts w:ascii="Arial" w:cs="Arial" w:eastAsia="Arial" w:hAnsi="Arial"/>
          <w:sz w:val="12"/>
          <w:szCs w:val="12"/>
          <w:color w:val="auto"/>
        </w:rPr>
      </w:pPr>
    </w:p>
    <w:p>
      <w:pPr>
        <w:ind w:left="3700"/>
        <w:spacing w:after="0"/>
        <w:rPr>
          <w:rFonts w:ascii="Arial" w:cs="Arial" w:eastAsia="Arial" w:hAnsi="Arial"/>
          <w:sz w:val="12"/>
          <w:szCs w:val="12"/>
          <w:color w:val="auto"/>
        </w:rPr>
      </w:pPr>
      <w:r>
        <w:rPr>
          <w:rFonts w:ascii="Arial" w:cs="Arial" w:eastAsia="Arial" w:hAnsi="Arial"/>
          <w:sz w:val="15"/>
          <w:szCs w:val="15"/>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312025"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43" w:name="page344"/>
    <w:bookmarkEnd w:id="343"/>
    <w:p>
      <w:pPr>
        <w:ind w:left="520"/>
        <w:spacing w:after="0"/>
        <w:rPr>
          <w:sz w:val="20"/>
          <w:szCs w:val="20"/>
          <w:color w:val="auto"/>
        </w:rPr>
      </w:pPr>
      <w:r>
        <w:rPr>
          <w:rFonts w:ascii="Arial" w:cs="Arial" w:eastAsia="Arial" w:hAnsi="Arial"/>
          <w:sz w:val="12"/>
          <w:szCs w:val="12"/>
          <w:color w:val="auto"/>
        </w:rPr>
        <w:t>IN WITNESS WHEREOF, Tenant has executed this Acknowledgment of Substantial Completion of Phase 2 Improvements and Term Expiration Date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TENANT: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SERES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 Delaware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6570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280670</wp:posOffset>
            </wp:positionV>
            <wp:extent cx="731202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240"/>
          </w:cols>
          <w:pgMar w:left="220" w:top="304" w:right="439" w:bottom="1440" w:gutter="0" w:footer="0" w:header="0"/>
        </w:sectPr>
      </w:pPr>
    </w:p>
    <w:bookmarkStart w:id="344" w:name="page345"/>
    <w:bookmarkEnd w:id="344"/>
    <w:p>
      <w:pPr>
        <w:jc w:val="center"/>
        <w:ind w:right="-20"/>
        <w:spacing w:after="0"/>
        <w:rPr>
          <w:sz w:val="20"/>
          <w:szCs w:val="20"/>
          <w:color w:val="auto"/>
        </w:rPr>
      </w:pPr>
      <w:r>
        <w:rPr>
          <w:rFonts w:ascii="Arial" w:cs="Arial" w:eastAsia="Arial" w:hAnsi="Arial"/>
          <w:sz w:val="15"/>
          <w:szCs w:val="15"/>
          <w:b w:val="1"/>
          <w:bCs w:val="1"/>
          <w:color w:val="auto"/>
        </w:rPr>
        <w:t>EXHIBIT 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LANDLORD/TENANT RESPONSIBILITIES MATRIX</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607060</wp:posOffset>
            </wp:positionV>
            <wp:extent cx="7312025"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45" w:name="page346"/>
    <w:bookmarkEnd w:id="3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2443480</wp:posOffset>
            </wp:positionH>
            <wp:positionV relativeFrom="page">
              <wp:posOffset>199390</wp:posOffset>
            </wp:positionV>
            <wp:extent cx="4973320" cy="9239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4973320" cy="92392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380" w:type="dxa"/>
            <w:vAlign w:val="bottom"/>
            <w:gridSpan w:val="2"/>
          </w:tcPr>
          <w:p>
            <w:pPr>
              <w:ind w:left="2920"/>
              <w:spacing w:after="0"/>
              <w:rPr>
                <w:sz w:val="20"/>
                <w:szCs w:val="20"/>
                <w:color w:val="auto"/>
              </w:rPr>
            </w:pPr>
            <w:r>
              <w:rPr>
                <w:rFonts w:ascii="Arial" w:cs="Arial" w:eastAsia="Arial" w:hAnsi="Arial"/>
                <w:sz w:val="15"/>
                <w:szCs w:val="15"/>
                <w:b w:val="1"/>
                <w:bCs w:val="1"/>
                <w:color w:val="auto"/>
              </w:rPr>
              <w:t>Landlord/Tenant Responsibilities Matrix</w:t>
            </w:r>
          </w:p>
        </w:tc>
        <w:tc>
          <w:tcPr>
            <w:tcW w:w="20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57"/>
        </w:trPr>
        <w:tc>
          <w:tcPr>
            <w:tcW w:w="1100" w:type="dxa"/>
            <w:vAlign w:val="bottom"/>
            <w:gridSpan w:val="4"/>
          </w:tcPr>
          <w:p>
            <w:pPr>
              <w:spacing w:after="0"/>
              <w:rPr>
                <w:sz w:val="20"/>
                <w:szCs w:val="20"/>
                <w:color w:val="auto"/>
              </w:rPr>
            </w:pPr>
            <w:r>
              <w:rPr>
                <w:rFonts w:ascii="Arial" w:cs="Arial" w:eastAsia="Arial" w:hAnsi="Arial"/>
                <w:sz w:val="15"/>
                <w:szCs w:val="15"/>
                <w:b w:val="1"/>
                <w:bCs w:val="1"/>
                <w:color w:val="auto"/>
                <w:w w:val="86"/>
              </w:rPr>
              <w:t>200 Sidney Street</w:t>
            </w:r>
          </w:p>
        </w:tc>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0"/>
        </w:trPr>
        <w:tc>
          <w:tcPr>
            <w:tcW w:w="1100" w:type="dxa"/>
            <w:vAlign w:val="bottom"/>
            <w:gridSpan w:val="4"/>
          </w:tcPr>
          <w:p>
            <w:pPr>
              <w:spacing w:after="0"/>
              <w:rPr>
                <w:sz w:val="20"/>
                <w:szCs w:val="20"/>
                <w:color w:val="auto"/>
              </w:rPr>
            </w:pPr>
            <w:r>
              <w:rPr>
                <w:rFonts w:ascii="Arial" w:cs="Arial" w:eastAsia="Arial" w:hAnsi="Arial"/>
                <w:sz w:val="15"/>
                <w:szCs w:val="15"/>
                <w:b w:val="1"/>
                <w:bCs w:val="1"/>
                <w:color w:val="auto"/>
                <w:w w:val="98"/>
              </w:rPr>
              <w:t>Cambridge, MA</w:t>
            </w:r>
          </w:p>
        </w:tc>
        <w:tc>
          <w:tcPr>
            <w:tcW w:w="4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Arial" w:cs="Arial" w:eastAsia="Arial" w:hAnsi="Arial"/>
                <w:sz w:val="15"/>
                <w:szCs w:val="15"/>
                <w:b w:val="1"/>
                <w:bCs w:val="1"/>
                <w:color w:val="auto"/>
                <w:w w:val="88"/>
              </w:rPr>
              <w:t>November 02, 2015</w:t>
            </w:r>
          </w:p>
        </w:tc>
      </w:tr>
      <w:tr>
        <w:trPr>
          <w:trHeight w:val="372"/>
        </w:trPr>
        <w:tc>
          <w:tcPr>
            <w:tcW w:w="1100" w:type="dxa"/>
            <w:vAlign w:val="bottom"/>
            <w:gridSpan w:val="4"/>
          </w:tcPr>
          <w:p>
            <w:pPr>
              <w:spacing w:after="0"/>
              <w:rPr>
                <w:sz w:val="20"/>
                <w:szCs w:val="20"/>
                <w:color w:val="auto"/>
              </w:rPr>
            </w:pPr>
            <w:r>
              <w:rPr>
                <w:rFonts w:ascii="Arial" w:cs="Arial" w:eastAsia="Arial" w:hAnsi="Arial"/>
                <w:sz w:val="15"/>
                <w:szCs w:val="15"/>
                <w:b w:val="1"/>
                <w:bCs w:val="1"/>
                <w:color w:val="auto"/>
              </w:rPr>
              <w:t>DESCRIPTION</w:t>
            </w:r>
          </w:p>
        </w:tc>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80" w:type="dxa"/>
            <w:vAlign w:val="bottom"/>
          </w:tcPr>
          <w:p>
            <w:pPr>
              <w:jc w:val="center"/>
              <w:ind w:right="207"/>
              <w:spacing w:after="0"/>
              <w:rPr>
                <w:sz w:val="20"/>
                <w:szCs w:val="20"/>
                <w:color w:val="auto"/>
              </w:rPr>
            </w:pPr>
            <w:r>
              <w:rPr>
                <w:rFonts w:ascii="Arial" w:cs="Arial" w:eastAsia="Arial" w:hAnsi="Arial"/>
                <w:sz w:val="15"/>
                <w:szCs w:val="15"/>
                <w:b w:val="1"/>
                <w:bCs w:val="1"/>
                <w:color w:val="auto"/>
                <w:w w:val="99"/>
              </w:rPr>
              <w:t>LANDLORD</w:t>
            </w:r>
          </w:p>
        </w:tc>
        <w:tc>
          <w:tcPr>
            <w:tcW w:w="3560" w:type="dxa"/>
            <w:vAlign w:val="bottom"/>
            <w:gridSpan w:val="2"/>
          </w:tcPr>
          <w:p>
            <w:pPr>
              <w:jc w:val="center"/>
              <w:ind w:right="1407"/>
              <w:spacing w:after="0"/>
              <w:rPr>
                <w:sz w:val="20"/>
                <w:szCs w:val="20"/>
                <w:color w:val="auto"/>
              </w:rPr>
            </w:pPr>
            <w:r>
              <w:rPr>
                <w:rFonts w:ascii="Arial" w:cs="Arial" w:eastAsia="Arial" w:hAnsi="Arial"/>
                <w:sz w:val="15"/>
                <w:szCs w:val="15"/>
                <w:b w:val="1"/>
                <w:bCs w:val="1"/>
                <w:color w:val="auto"/>
                <w:w w:val="98"/>
              </w:rPr>
              <w:t>TENANT</w:t>
            </w:r>
          </w:p>
        </w:tc>
      </w:tr>
      <w:tr>
        <w:trPr>
          <w:trHeight w:val="232"/>
        </w:trPr>
        <w:tc>
          <w:tcPr>
            <w:tcW w:w="1100" w:type="dxa"/>
            <w:vAlign w:val="bottom"/>
            <w:tcBorders>
              <w:top w:val="single" w:sz="8" w:color="auto"/>
            </w:tcBorders>
            <w:gridSpan w:val="4"/>
          </w:tcPr>
          <w:p>
            <w:pPr>
              <w:spacing w:after="0"/>
              <w:rPr>
                <w:sz w:val="20"/>
                <w:szCs w:val="20"/>
                <w:color w:val="auto"/>
              </w:rPr>
            </w:pPr>
            <w:r>
              <w:rPr>
                <w:rFonts w:ascii="Arial" w:cs="Arial" w:eastAsia="Arial" w:hAnsi="Arial"/>
                <w:sz w:val="15"/>
                <w:szCs w:val="15"/>
                <w:b w:val="1"/>
                <w:bCs w:val="1"/>
                <w:color w:val="auto"/>
              </w:rPr>
              <w:t>Fire</w:t>
            </w:r>
          </w:p>
        </w:tc>
        <w:tc>
          <w:tcPr>
            <w:tcW w:w="4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F.1</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5"/>
                <w:szCs w:val="15"/>
                <w:color w:val="auto"/>
              </w:rPr>
              <w:t>Combination sprinkler/standpipe system with fire department</w:t>
            </w:r>
          </w:p>
        </w:tc>
        <w:tc>
          <w:tcPr>
            <w:tcW w:w="2080" w:type="dxa"/>
            <w:vAlign w:val="bottom"/>
            <w:tcBorders>
              <w:top w:val="single" w:sz="8" w:color="auto"/>
            </w:tcBorders>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5"/>
        </w:trPr>
        <w:tc>
          <w:tcPr>
            <w:tcW w:w="1100" w:type="dxa"/>
            <w:vAlign w:val="bottom"/>
            <w:gridSpan w:val="4"/>
          </w:tcPr>
          <w:p>
            <w:pPr>
              <w:spacing w:after="0" w:line="155" w:lineRule="exact"/>
              <w:rPr>
                <w:sz w:val="20"/>
                <w:szCs w:val="20"/>
                <w:color w:val="auto"/>
              </w:rPr>
            </w:pPr>
            <w:r>
              <w:rPr>
                <w:rFonts w:ascii="Arial" w:cs="Arial" w:eastAsia="Arial" w:hAnsi="Arial"/>
                <w:sz w:val="15"/>
                <w:szCs w:val="15"/>
                <w:b w:val="1"/>
                <w:bCs w:val="1"/>
                <w:color w:val="auto"/>
              </w:rPr>
              <w:t>Protection</w:t>
            </w:r>
          </w:p>
        </w:tc>
        <w:tc>
          <w:tcPr>
            <w:tcW w:w="440" w:type="dxa"/>
            <w:vAlign w:val="bottom"/>
          </w:tcPr>
          <w:p>
            <w:pPr>
              <w:spacing w:after="0"/>
              <w:rPr>
                <w:sz w:val="13"/>
                <w:szCs w:val="13"/>
                <w:color w:val="auto"/>
              </w:rPr>
            </w:pPr>
          </w:p>
        </w:tc>
        <w:tc>
          <w:tcPr>
            <w:tcW w:w="4300" w:type="dxa"/>
            <w:vAlign w:val="bottom"/>
          </w:tcPr>
          <w:p>
            <w:pPr>
              <w:ind w:left="180"/>
              <w:spacing w:after="0" w:line="155" w:lineRule="exact"/>
              <w:rPr>
                <w:sz w:val="20"/>
                <w:szCs w:val="20"/>
                <w:color w:val="auto"/>
              </w:rPr>
            </w:pPr>
            <w:r>
              <w:rPr>
                <w:rFonts w:ascii="Arial" w:cs="Arial" w:eastAsia="Arial" w:hAnsi="Arial"/>
                <w:sz w:val="15"/>
                <w:szCs w:val="15"/>
                <w:color w:val="auto"/>
              </w:rPr>
              <w:t>valves and based on ordinary hazard group 2 occupancy</w:t>
            </w:r>
          </w:p>
        </w:tc>
        <w:tc>
          <w:tcPr>
            <w:tcW w:w="20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87"/>
        </w:trPr>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F.2</w:t>
            </w:r>
          </w:p>
        </w:tc>
        <w:tc>
          <w:tcPr>
            <w:tcW w:w="4300" w:type="dxa"/>
            <w:vAlign w:val="bottom"/>
          </w:tcPr>
          <w:p>
            <w:pPr>
              <w:ind w:left="180"/>
              <w:spacing w:after="0"/>
              <w:rPr>
                <w:sz w:val="20"/>
                <w:szCs w:val="20"/>
                <w:color w:val="auto"/>
              </w:rPr>
            </w:pPr>
            <w:r>
              <w:rPr>
                <w:rFonts w:ascii="Arial" w:cs="Arial" w:eastAsia="Arial" w:hAnsi="Arial"/>
                <w:sz w:val="15"/>
                <w:szCs w:val="15"/>
                <w:color w:val="auto"/>
              </w:rPr>
              <w:t>Fire service and double-check valve assembly.</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F.3</w:t>
            </w:r>
          </w:p>
        </w:tc>
        <w:tc>
          <w:tcPr>
            <w:tcW w:w="4300" w:type="dxa"/>
            <w:vAlign w:val="bottom"/>
          </w:tcPr>
          <w:p>
            <w:pPr>
              <w:ind w:left="180"/>
              <w:spacing w:after="0"/>
              <w:rPr>
                <w:sz w:val="20"/>
                <w:szCs w:val="20"/>
                <w:color w:val="auto"/>
              </w:rPr>
            </w:pPr>
            <w:r>
              <w:rPr>
                <w:rFonts w:ascii="Arial" w:cs="Arial" w:eastAsia="Arial" w:hAnsi="Arial"/>
                <w:sz w:val="15"/>
                <w:szCs w:val="15"/>
                <w:color w:val="auto"/>
              </w:rPr>
              <w:t>Fire pump, controller, test header.</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F.4</w:t>
            </w:r>
          </w:p>
        </w:tc>
        <w:tc>
          <w:tcPr>
            <w:tcW w:w="4300" w:type="dxa"/>
            <w:vAlign w:val="bottom"/>
          </w:tcPr>
          <w:p>
            <w:pPr>
              <w:ind w:left="180"/>
              <w:spacing w:after="0"/>
              <w:rPr>
                <w:sz w:val="20"/>
                <w:szCs w:val="20"/>
                <w:color w:val="auto"/>
              </w:rPr>
            </w:pPr>
            <w:r>
              <w:rPr>
                <w:rFonts w:ascii="Arial" w:cs="Arial" w:eastAsia="Arial" w:hAnsi="Arial"/>
                <w:sz w:val="15"/>
                <w:szCs w:val="15"/>
                <w:color w:val="auto"/>
              </w:rPr>
              <w:t>Alarm check valve and siamese connection.</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F.5</w:t>
            </w:r>
          </w:p>
        </w:tc>
        <w:tc>
          <w:tcPr>
            <w:tcW w:w="4300" w:type="dxa"/>
            <w:vAlign w:val="bottom"/>
          </w:tcPr>
          <w:p>
            <w:pPr>
              <w:ind w:left="180"/>
              <w:spacing w:after="0"/>
              <w:rPr>
                <w:sz w:val="20"/>
                <w:szCs w:val="20"/>
                <w:color w:val="auto"/>
              </w:rPr>
            </w:pPr>
            <w:r>
              <w:rPr>
                <w:rFonts w:ascii="Arial" w:cs="Arial" w:eastAsia="Arial" w:hAnsi="Arial"/>
                <w:sz w:val="15"/>
                <w:szCs w:val="15"/>
                <w:color w:val="auto"/>
              </w:rPr>
              <w:t>Floor control valve assemblies and test drains.</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F.6</w:t>
            </w:r>
          </w:p>
        </w:tc>
        <w:tc>
          <w:tcPr>
            <w:tcW w:w="4300" w:type="dxa"/>
            <w:vAlign w:val="bottom"/>
          </w:tcPr>
          <w:p>
            <w:pPr>
              <w:ind w:left="180"/>
              <w:spacing w:after="0"/>
              <w:rPr>
                <w:sz w:val="20"/>
                <w:szCs w:val="20"/>
                <w:color w:val="auto"/>
              </w:rPr>
            </w:pPr>
            <w:r>
              <w:rPr>
                <w:rFonts w:ascii="Arial" w:cs="Arial" w:eastAsia="Arial" w:hAnsi="Arial"/>
                <w:sz w:val="15"/>
                <w:szCs w:val="15"/>
                <w:color w:val="auto"/>
              </w:rPr>
              <w:t>Sprinkler coverage to all core areas.</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F.7</w:t>
            </w:r>
          </w:p>
        </w:tc>
        <w:tc>
          <w:tcPr>
            <w:tcW w:w="4300" w:type="dxa"/>
            <w:vAlign w:val="bottom"/>
          </w:tcPr>
          <w:p>
            <w:pPr>
              <w:ind w:left="180"/>
              <w:spacing w:after="0"/>
              <w:rPr>
                <w:sz w:val="20"/>
                <w:szCs w:val="20"/>
                <w:color w:val="auto"/>
              </w:rPr>
            </w:pPr>
            <w:r>
              <w:rPr>
                <w:rFonts w:ascii="Arial" w:cs="Arial" w:eastAsia="Arial" w:hAnsi="Arial"/>
                <w:sz w:val="15"/>
                <w:szCs w:val="15"/>
                <w:color w:val="auto"/>
              </w:rPr>
              <w:t>Distribution piping with upright heads within Tenant areas.</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F.8</w:t>
            </w:r>
          </w:p>
        </w:tc>
        <w:tc>
          <w:tcPr>
            <w:tcW w:w="4300" w:type="dxa"/>
            <w:vAlign w:val="bottom"/>
          </w:tcPr>
          <w:p>
            <w:pPr>
              <w:ind w:left="180"/>
              <w:spacing w:after="0"/>
              <w:rPr>
                <w:sz w:val="20"/>
                <w:szCs w:val="20"/>
                <w:color w:val="auto"/>
              </w:rPr>
            </w:pPr>
            <w:r>
              <w:rPr>
                <w:rFonts w:ascii="Arial" w:cs="Arial" w:eastAsia="Arial" w:hAnsi="Arial"/>
                <w:sz w:val="15"/>
                <w:szCs w:val="15"/>
                <w:color w:val="auto"/>
              </w:rPr>
              <w:t>Flow switches, tamper switches, pressure switches.</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63"/>
        </w:trPr>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F.9</w:t>
            </w:r>
          </w:p>
        </w:tc>
        <w:tc>
          <w:tcPr>
            <w:tcW w:w="4300" w:type="dxa"/>
            <w:vAlign w:val="bottom"/>
          </w:tcPr>
          <w:p>
            <w:pPr>
              <w:ind w:left="180"/>
              <w:spacing w:after="0"/>
              <w:rPr>
                <w:sz w:val="20"/>
                <w:szCs w:val="20"/>
                <w:color w:val="auto"/>
              </w:rPr>
            </w:pPr>
            <w:r>
              <w:rPr>
                <w:rFonts w:ascii="Arial" w:cs="Arial" w:eastAsia="Arial" w:hAnsi="Arial"/>
                <w:sz w:val="15"/>
                <w:szCs w:val="15"/>
                <w:color w:val="auto"/>
              </w:rPr>
              <w:t>Modification of sprinkler piping and head layout to suit tenant</w:t>
            </w:r>
          </w:p>
        </w:tc>
        <w:tc>
          <w:tcPr>
            <w:tcW w:w="2080" w:type="dxa"/>
            <w:vAlign w:val="bottom"/>
          </w:tcPr>
          <w:p>
            <w:pPr>
              <w:spacing w:after="0"/>
              <w:rPr>
                <w:sz w:val="22"/>
                <w:szCs w:val="22"/>
                <w:color w:val="auto"/>
              </w:rPr>
            </w:pPr>
          </w:p>
        </w:tc>
        <w:tc>
          <w:tcPr>
            <w:tcW w:w="3560" w:type="dxa"/>
            <w:vAlign w:val="bottom"/>
            <w:gridSpan w:val="2"/>
          </w:tcPr>
          <w:p>
            <w:pPr>
              <w:jc w:val="center"/>
              <w:ind w:right="1407"/>
              <w:spacing w:after="0"/>
              <w:rPr>
                <w:sz w:val="20"/>
                <w:szCs w:val="20"/>
                <w:color w:val="auto"/>
              </w:rPr>
            </w:pPr>
            <w:r>
              <w:rPr>
                <w:rFonts w:ascii="Arial" w:cs="Arial" w:eastAsia="Arial" w:hAnsi="Arial"/>
                <w:sz w:val="15"/>
                <w:szCs w:val="15"/>
                <w:color w:val="auto"/>
              </w:rPr>
              <w:t>X</w:t>
            </w:r>
          </w:p>
        </w:tc>
      </w:tr>
      <w:tr>
        <w:trPr>
          <w:trHeight w:val="186"/>
        </w:trPr>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Arial" w:cs="Arial" w:eastAsia="Arial" w:hAnsi="Arial"/>
                <w:sz w:val="15"/>
                <w:szCs w:val="15"/>
                <w:color w:val="auto"/>
              </w:rPr>
              <w:t>build-out and Tenant hazard index.</w:t>
            </w:r>
          </w:p>
        </w:tc>
        <w:tc>
          <w:tcPr>
            <w:tcW w:w="2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3"/>
        </w:trPr>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F.10</w:t>
            </w:r>
          </w:p>
        </w:tc>
        <w:tc>
          <w:tcPr>
            <w:tcW w:w="4300" w:type="dxa"/>
            <w:vAlign w:val="bottom"/>
          </w:tcPr>
          <w:p>
            <w:pPr>
              <w:ind w:left="180"/>
              <w:spacing w:after="0"/>
              <w:rPr>
                <w:sz w:val="20"/>
                <w:szCs w:val="20"/>
                <w:color w:val="auto"/>
              </w:rPr>
            </w:pPr>
            <w:r>
              <w:rPr>
                <w:rFonts w:ascii="Arial" w:cs="Arial" w:eastAsia="Arial" w:hAnsi="Arial"/>
                <w:sz w:val="15"/>
                <w:szCs w:val="15"/>
                <w:color w:val="auto"/>
              </w:rPr>
              <w:t>Specialty fire protection systems, ie; pre-action type, FM-200,</w:t>
            </w:r>
          </w:p>
        </w:tc>
        <w:tc>
          <w:tcPr>
            <w:tcW w:w="2080" w:type="dxa"/>
            <w:vAlign w:val="bottom"/>
          </w:tcPr>
          <w:p>
            <w:pPr>
              <w:spacing w:after="0"/>
              <w:rPr>
                <w:sz w:val="22"/>
                <w:szCs w:val="22"/>
                <w:color w:val="auto"/>
              </w:rPr>
            </w:pPr>
          </w:p>
        </w:tc>
        <w:tc>
          <w:tcPr>
            <w:tcW w:w="3560" w:type="dxa"/>
            <w:vAlign w:val="bottom"/>
            <w:gridSpan w:val="2"/>
          </w:tcPr>
          <w:p>
            <w:pPr>
              <w:jc w:val="center"/>
              <w:ind w:right="1407"/>
              <w:spacing w:after="0"/>
              <w:rPr>
                <w:sz w:val="20"/>
                <w:szCs w:val="20"/>
                <w:color w:val="auto"/>
              </w:rPr>
            </w:pPr>
            <w:r>
              <w:rPr>
                <w:rFonts w:ascii="Arial" w:cs="Arial" w:eastAsia="Arial" w:hAnsi="Arial"/>
                <w:sz w:val="15"/>
                <w:szCs w:val="15"/>
                <w:color w:val="auto"/>
              </w:rPr>
              <w:t>X</w:t>
            </w:r>
          </w:p>
        </w:tc>
      </w:tr>
      <w:tr>
        <w:trPr>
          <w:trHeight w:val="186"/>
        </w:trPr>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Arial" w:cs="Arial" w:eastAsia="Arial" w:hAnsi="Arial"/>
                <w:sz w:val="15"/>
                <w:szCs w:val="15"/>
                <w:color w:val="auto"/>
              </w:rPr>
              <w:t>etc</w:t>
            </w:r>
          </w:p>
        </w:tc>
        <w:tc>
          <w:tcPr>
            <w:tcW w:w="2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0"/>
        </w:trPr>
        <w:tc>
          <w:tcPr>
            <w:tcW w:w="1100" w:type="dxa"/>
            <w:vAlign w:val="bottom"/>
            <w:gridSpan w:val="4"/>
          </w:tcPr>
          <w:p>
            <w:pPr>
              <w:spacing w:after="0"/>
              <w:rPr>
                <w:sz w:val="20"/>
                <w:szCs w:val="20"/>
                <w:color w:val="auto"/>
              </w:rPr>
            </w:pPr>
            <w:r>
              <w:rPr>
                <w:rFonts w:ascii="Arial" w:cs="Arial" w:eastAsia="Arial" w:hAnsi="Arial"/>
                <w:sz w:val="15"/>
                <w:szCs w:val="15"/>
                <w:b w:val="1"/>
                <w:bCs w:val="1"/>
                <w:color w:val="auto"/>
              </w:rPr>
              <w:t>Plumbing</w:t>
            </w:r>
          </w:p>
        </w:tc>
        <w:tc>
          <w:tcPr>
            <w:tcW w:w="440" w:type="dxa"/>
            <w:vAlign w:val="bottom"/>
          </w:tcPr>
          <w:p>
            <w:pPr>
              <w:spacing w:after="0"/>
              <w:rPr>
                <w:sz w:val="20"/>
                <w:szCs w:val="20"/>
                <w:color w:val="auto"/>
              </w:rPr>
            </w:pPr>
            <w:r>
              <w:rPr>
                <w:rFonts w:ascii="Arial" w:cs="Arial" w:eastAsia="Arial" w:hAnsi="Arial"/>
                <w:sz w:val="15"/>
                <w:szCs w:val="15"/>
                <w:color w:val="auto"/>
              </w:rPr>
              <w:t>P.1</w:t>
            </w:r>
          </w:p>
        </w:tc>
        <w:tc>
          <w:tcPr>
            <w:tcW w:w="4300" w:type="dxa"/>
            <w:vAlign w:val="bottom"/>
          </w:tcPr>
          <w:p>
            <w:pPr>
              <w:ind w:left="180"/>
              <w:spacing w:after="0"/>
              <w:rPr>
                <w:sz w:val="20"/>
                <w:szCs w:val="20"/>
                <w:color w:val="auto"/>
              </w:rPr>
            </w:pPr>
            <w:r>
              <w:rPr>
                <w:rFonts w:ascii="Arial" w:cs="Arial" w:eastAsia="Arial" w:hAnsi="Arial"/>
                <w:sz w:val="15"/>
                <w:szCs w:val="15"/>
                <w:color w:val="auto"/>
              </w:rPr>
              <w:t>Domestic sanitary waste piping for Base Building riser</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7"/>
        </w:trPr>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P.2</w:t>
            </w:r>
          </w:p>
        </w:tc>
        <w:tc>
          <w:tcPr>
            <w:tcW w:w="4300" w:type="dxa"/>
            <w:vAlign w:val="bottom"/>
          </w:tcPr>
          <w:p>
            <w:pPr>
              <w:ind w:left="180"/>
              <w:spacing w:after="0"/>
              <w:rPr>
                <w:sz w:val="20"/>
                <w:szCs w:val="20"/>
                <w:color w:val="auto"/>
              </w:rPr>
            </w:pPr>
            <w:r>
              <w:rPr>
                <w:rFonts w:ascii="Arial" w:cs="Arial" w:eastAsia="Arial" w:hAnsi="Arial"/>
                <w:sz w:val="15"/>
                <w:szCs w:val="15"/>
                <w:color w:val="auto"/>
              </w:rPr>
              <w:t>Domestic sanitary waste piping for tenant use</w:t>
            </w:r>
          </w:p>
        </w:tc>
        <w:tc>
          <w:tcPr>
            <w:tcW w:w="2080" w:type="dxa"/>
            <w:vAlign w:val="bottom"/>
          </w:tcPr>
          <w:p>
            <w:pPr>
              <w:spacing w:after="0"/>
              <w:rPr>
                <w:sz w:val="24"/>
                <w:szCs w:val="24"/>
                <w:color w:val="auto"/>
              </w:rPr>
            </w:pPr>
          </w:p>
        </w:tc>
        <w:tc>
          <w:tcPr>
            <w:tcW w:w="3560" w:type="dxa"/>
            <w:vAlign w:val="bottom"/>
            <w:gridSpan w:val="2"/>
          </w:tcPr>
          <w:p>
            <w:pPr>
              <w:jc w:val="center"/>
              <w:ind w:right="1407"/>
              <w:spacing w:after="0"/>
              <w:rPr>
                <w:sz w:val="20"/>
                <w:szCs w:val="20"/>
                <w:color w:val="auto"/>
              </w:rPr>
            </w:pPr>
            <w:r>
              <w:rPr>
                <w:rFonts w:ascii="Arial" w:cs="Arial" w:eastAsia="Arial" w:hAnsi="Arial"/>
                <w:sz w:val="15"/>
                <w:szCs w:val="15"/>
                <w:color w:val="auto"/>
              </w:rPr>
              <w:t>X</w:t>
            </w: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P.3</w:t>
            </w:r>
          </w:p>
        </w:tc>
        <w:tc>
          <w:tcPr>
            <w:tcW w:w="4300" w:type="dxa"/>
            <w:vAlign w:val="bottom"/>
          </w:tcPr>
          <w:p>
            <w:pPr>
              <w:ind w:left="180"/>
              <w:spacing w:after="0"/>
              <w:rPr>
                <w:sz w:val="20"/>
                <w:szCs w:val="20"/>
                <w:color w:val="auto"/>
              </w:rPr>
            </w:pPr>
            <w:r>
              <w:rPr>
                <w:rFonts w:ascii="Arial" w:cs="Arial" w:eastAsia="Arial" w:hAnsi="Arial"/>
                <w:sz w:val="15"/>
                <w:szCs w:val="15"/>
                <w:color w:val="auto"/>
              </w:rPr>
              <w:t>Lab waste riser piping</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P.4</w:t>
            </w:r>
          </w:p>
        </w:tc>
        <w:tc>
          <w:tcPr>
            <w:tcW w:w="4300" w:type="dxa"/>
            <w:vAlign w:val="bottom"/>
          </w:tcPr>
          <w:p>
            <w:pPr>
              <w:ind w:left="180"/>
              <w:spacing w:after="0"/>
              <w:rPr>
                <w:sz w:val="20"/>
                <w:szCs w:val="20"/>
                <w:color w:val="auto"/>
              </w:rPr>
            </w:pPr>
            <w:r>
              <w:rPr>
                <w:rFonts w:ascii="Arial" w:cs="Arial" w:eastAsia="Arial" w:hAnsi="Arial"/>
                <w:sz w:val="15"/>
                <w:szCs w:val="15"/>
                <w:color w:val="auto"/>
              </w:rPr>
              <w:t>Lab waste piping within tenant premises</w:t>
            </w:r>
          </w:p>
        </w:tc>
        <w:tc>
          <w:tcPr>
            <w:tcW w:w="2080" w:type="dxa"/>
            <w:vAlign w:val="bottom"/>
          </w:tcPr>
          <w:p>
            <w:pPr>
              <w:spacing w:after="0"/>
              <w:rPr>
                <w:sz w:val="23"/>
                <w:szCs w:val="23"/>
                <w:color w:val="auto"/>
              </w:rPr>
            </w:pPr>
          </w:p>
        </w:tc>
        <w:tc>
          <w:tcPr>
            <w:tcW w:w="3560" w:type="dxa"/>
            <w:vAlign w:val="bottom"/>
            <w:gridSpan w:val="2"/>
          </w:tcPr>
          <w:p>
            <w:pPr>
              <w:jc w:val="center"/>
              <w:ind w:right="1407"/>
              <w:spacing w:after="0"/>
              <w:rPr>
                <w:sz w:val="20"/>
                <w:szCs w:val="20"/>
                <w:color w:val="auto"/>
              </w:rPr>
            </w:pPr>
            <w:r>
              <w:rPr>
                <w:rFonts w:ascii="Arial" w:cs="Arial" w:eastAsia="Arial" w:hAnsi="Arial"/>
                <w:sz w:val="15"/>
                <w:szCs w:val="15"/>
                <w:color w:val="auto"/>
              </w:rPr>
              <w:t>X</w:t>
            </w:r>
          </w:p>
        </w:tc>
      </w:tr>
      <w:tr>
        <w:trPr>
          <w:trHeight w:val="273"/>
        </w:trPr>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P.5</w:t>
            </w:r>
          </w:p>
        </w:tc>
        <w:tc>
          <w:tcPr>
            <w:tcW w:w="4300" w:type="dxa"/>
            <w:vAlign w:val="bottom"/>
          </w:tcPr>
          <w:p>
            <w:pPr>
              <w:ind w:left="180"/>
              <w:spacing w:after="0"/>
              <w:rPr>
                <w:sz w:val="20"/>
                <w:szCs w:val="20"/>
                <w:color w:val="auto"/>
              </w:rPr>
            </w:pPr>
            <w:r>
              <w:rPr>
                <w:rFonts w:ascii="Arial" w:cs="Arial" w:eastAsia="Arial" w:hAnsi="Arial"/>
                <w:sz w:val="15"/>
                <w:szCs w:val="15"/>
                <w:color w:val="auto"/>
              </w:rPr>
              <w:t>Storm system connection and roof drainage system.</w:t>
            </w:r>
          </w:p>
        </w:tc>
        <w:tc>
          <w:tcPr>
            <w:tcW w:w="2080" w:type="dxa"/>
            <w:vAlign w:val="bottom"/>
          </w:tcPr>
          <w:p>
            <w:pPr>
              <w:jc w:val="center"/>
              <w:ind w:right="18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1489"/>
        </w:trPr>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312025" cy="797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12025" cy="797560"/>
                    </a:xfrm>
                    <a:prstGeom prst="rect">
                      <a:avLst/>
                    </a:prstGeom>
                    <a:noFill/>
                  </pic:spPr>
                </pic:pic>
              </a:graphicData>
            </a:graphic>
          </wp:anchor>
        </w:drawing>
      </w:r>
    </w:p>
    <w:p>
      <w:pPr>
        <w:sectPr>
          <w:pgSz w:w="11900" w:h="16838" w:orient="portrait"/>
          <w:cols w:equalWidth="0" w:num="1">
            <w:col w:w="11480"/>
          </w:cols>
          <w:pgMar w:left="220" w:top="1440" w:right="199" w:bottom="1440" w:gutter="0" w:footer="0" w:header="0"/>
        </w:sectPr>
      </w:pPr>
    </w:p>
    <w:bookmarkStart w:id="346" w:name="page347"/>
    <w:bookmarkEnd w:id="346"/>
    <w:p>
      <w:pPr>
        <w:spacing w:after="0"/>
        <w:rPr>
          <w:sz w:val="20"/>
          <w:szCs w:val="20"/>
          <w:color w:val="auto"/>
        </w:rPr>
      </w:pPr>
      <w:r>
        <w:rPr>
          <w:rFonts w:ascii="Arial" w:cs="Arial" w:eastAsia="Arial" w:hAnsi="Arial"/>
          <w:sz w:val="15"/>
          <w:szCs w:val="15"/>
          <w:color w:val="auto"/>
        </w:rPr>
        <w:t>200 Sidney Street, Cambridge, MA</w:t>
      </w:r>
    </w:p>
    <w:p>
      <w:pPr>
        <w:spacing w:after="0" w:line="228" w:lineRule="auto"/>
        <w:rPr>
          <w:sz w:val="20"/>
          <w:szCs w:val="20"/>
          <w:color w:val="auto"/>
        </w:rPr>
      </w:pPr>
      <w:r>
        <w:rPr>
          <w:rFonts w:ascii="Arial" w:cs="Arial" w:eastAsia="Arial" w:hAnsi="Arial"/>
          <w:sz w:val="15"/>
          <w:szCs w:val="15"/>
          <w:color w:val="auto"/>
        </w:rPr>
        <w:t>Landlord/Tenant Responsibility Matrix</w:t>
      </w:r>
    </w:p>
    <w:p>
      <w:pPr>
        <w:spacing w:after="0"/>
        <w:rPr>
          <w:sz w:val="20"/>
          <w:szCs w:val="20"/>
          <w:color w:val="auto"/>
        </w:rPr>
      </w:pPr>
      <w:r>
        <w:rPr>
          <w:rFonts w:ascii="Arial" w:cs="Arial" w:eastAsia="Arial" w:hAnsi="Arial"/>
          <w:sz w:val="15"/>
          <w:szCs w:val="15"/>
          <w:color w:val="auto"/>
        </w:rPr>
        <w:t>November 02,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c>
          <w:tcPr>
            <w:tcW w:w="4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67"/>
              <w:spacing w:after="0"/>
              <w:rPr>
                <w:sz w:val="20"/>
                <w:szCs w:val="20"/>
                <w:color w:val="auto"/>
              </w:rPr>
            </w:pPr>
            <w:r>
              <w:rPr>
                <w:rFonts w:ascii="Arial" w:cs="Arial" w:eastAsia="Arial" w:hAnsi="Arial"/>
                <w:sz w:val="15"/>
                <w:szCs w:val="15"/>
                <w:b w:val="1"/>
                <w:bCs w:val="1"/>
                <w:color w:val="auto"/>
                <w:w w:val="99"/>
              </w:rPr>
              <w:t>LANDLORD</w:t>
            </w:r>
          </w:p>
        </w:tc>
        <w:tc>
          <w:tcPr>
            <w:tcW w:w="20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98"/>
              </w:rPr>
              <w:t>TENANT</w:t>
            </w:r>
          </w:p>
        </w:tc>
      </w:tr>
      <w:tr>
        <w:trPr>
          <w:trHeight w:val="254"/>
        </w:trPr>
        <w:tc>
          <w:tcPr>
            <w:tcW w:w="1540" w:type="dxa"/>
            <w:vAlign w:val="bottom"/>
          </w:tcPr>
          <w:p>
            <w:pPr>
              <w:ind w:left="1100"/>
              <w:spacing w:after="0"/>
              <w:rPr>
                <w:sz w:val="20"/>
                <w:szCs w:val="20"/>
                <w:color w:val="auto"/>
              </w:rPr>
            </w:pPr>
            <w:r>
              <w:rPr>
                <w:rFonts w:ascii="Arial" w:cs="Arial" w:eastAsia="Arial" w:hAnsi="Arial"/>
                <w:sz w:val="15"/>
                <w:szCs w:val="15"/>
                <w:color w:val="auto"/>
              </w:rPr>
              <w:t>P.6</w:t>
            </w:r>
          </w:p>
        </w:tc>
        <w:tc>
          <w:tcPr>
            <w:tcW w:w="4360" w:type="dxa"/>
            <w:vAlign w:val="bottom"/>
          </w:tcPr>
          <w:p>
            <w:pPr>
              <w:ind w:left="180"/>
              <w:spacing w:after="0"/>
              <w:rPr>
                <w:sz w:val="20"/>
                <w:szCs w:val="20"/>
                <w:color w:val="auto"/>
              </w:rPr>
            </w:pPr>
            <w:r>
              <w:rPr>
                <w:rFonts w:ascii="Arial" w:cs="Arial" w:eastAsia="Arial" w:hAnsi="Arial"/>
                <w:sz w:val="15"/>
                <w:szCs w:val="15"/>
                <w:color w:val="auto"/>
              </w:rPr>
              <w:t>Natural gas service to building for Base</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Building</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P.7</w:t>
            </w:r>
          </w:p>
        </w:tc>
        <w:tc>
          <w:tcPr>
            <w:tcW w:w="4360" w:type="dxa"/>
            <w:vAlign w:val="bottom"/>
          </w:tcPr>
          <w:p>
            <w:pPr>
              <w:ind w:left="180"/>
              <w:spacing w:after="0"/>
              <w:rPr>
                <w:sz w:val="20"/>
                <w:szCs w:val="20"/>
                <w:color w:val="auto"/>
              </w:rPr>
            </w:pPr>
            <w:r>
              <w:rPr>
                <w:rFonts w:ascii="Arial" w:cs="Arial" w:eastAsia="Arial" w:hAnsi="Arial"/>
                <w:sz w:val="15"/>
                <w:szCs w:val="15"/>
                <w:color w:val="auto"/>
              </w:rPr>
              <w:t>Tenant gas service including meter and distribution piping for</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Tenant services.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P.8</w:t>
            </w:r>
          </w:p>
        </w:tc>
        <w:tc>
          <w:tcPr>
            <w:tcW w:w="4360" w:type="dxa"/>
            <w:vAlign w:val="bottom"/>
          </w:tcPr>
          <w:p>
            <w:pPr>
              <w:ind w:left="180"/>
              <w:spacing w:after="0"/>
              <w:rPr>
                <w:sz w:val="20"/>
                <w:szCs w:val="20"/>
                <w:color w:val="auto"/>
              </w:rPr>
            </w:pPr>
            <w:r>
              <w:rPr>
                <w:rFonts w:ascii="Arial" w:cs="Arial" w:eastAsia="Arial" w:hAnsi="Arial"/>
                <w:sz w:val="15"/>
                <w:szCs w:val="15"/>
                <w:color w:val="auto"/>
              </w:rPr>
              <w:t>Domestic cold water service to building and domestic cold</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water booster pump system.</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P.9</w:t>
            </w:r>
          </w:p>
        </w:tc>
        <w:tc>
          <w:tcPr>
            <w:tcW w:w="4360" w:type="dxa"/>
            <w:vAlign w:val="bottom"/>
          </w:tcPr>
          <w:p>
            <w:pPr>
              <w:ind w:left="180"/>
              <w:spacing w:after="0"/>
              <w:rPr>
                <w:sz w:val="20"/>
                <w:szCs w:val="20"/>
                <w:color w:val="auto"/>
              </w:rPr>
            </w:pPr>
            <w:r>
              <w:rPr>
                <w:rFonts w:ascii="Arial" w:cs="Arial" w:eastAsia="Arial" w:hAnsi="Arial"/>
                <w:sz w:val="15"/>
                <w:szCs w:val="15"/>
                <w:color w:val="auto"/>
              </w:rPr>
              <w:t>Potable and non-potable risers with valve/cap connections at</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each floor for Tenant use.</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P.10</w:t>
            </w:r>
          </w:p>
        </w:tc>
        <w:tc>
          <w:tcPr>
            <w:tcW w:w="4360" w:type="dxa"/>
            <w:vAlign w:val="bottom"/>
          </w:tcPr>
          <w:p>
            <w:pPr>
              <w:ind w:left="180"/>
              <w:spacing w:after="0"/>
              <w:rPr>
                <w:sz w:val="20"/>
                <w:szCs w:val="20"/>
                <w:color w:val="auto"/>
              </w:rPr>
            </w:pPr>
            <w:r>
              <w:rPr>
                <w:rFonts w:ascii="Arial" w:cs="Arial" w:eastAsia="Arial" w:hAnsi="Arial"/>
                <w:sz w:val="15"/>
                <w:szCs w:val="15"/>
                <w:color w:val="auto"/>
                <w:w w:val="99"/>
              </w:rPr>
              <w:t>Potable cold water distribution to Base Building equipment and</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common areas.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P.11</w:t>
            </w:r>
          </w:p>
        </w:tc>
        <w:tc>
          <w:tcPr>
            <w:tcW w:w="4360" w:type="dxa"/>
            <w:vAlign w:val="bottom"/>
          </w:tcPr>
          <w:p>
            <w:pPr>
              <w:ind w:left="180"/>
              <w:spacing w:after="0"/>
              <w:rPr>
                <w:sz w:val="20"/>
                <w:szCs w:val="20"/>
                <w:color w:val="auto"/>
              </w:rPr>
            </w:pPr>
            <w:r>
              <w:rPr>
                <w:rFonts w:ascii="Arial" w:cs="Arial" w:eastAsia="Arial" w:hAnsi="Arial"/>
                <w:sz w:val="15"/>
                <w:szCs w:val="15"/>
                <w:color w:val="auto"/>
                <w:w w:val="99"/>
              </w:rPr>
              <w:t>Base Building toilet/janitor core including cold water, hot water,</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waste and vent systems.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P.12</w:t>
            </w:r>
          </w:p>
        </w:tc>
        <w:tc>
          <w:tcPr>
            <w:tcW w:w="4360" w:type="dxa"/>
            <w:vAlign w:val="bottom"/>
          </w:tcPr>
          <w:p>
            <w:pPr>
              <w:ind w:left="180"/>
              <w:spacing w:after="0"/>
              <w:rPr>
                <w:sz w:val="20"/>
                <w:szCs w:val="20"/>
                <w:color w:val="auto"/>
              </w:rPr>
            </w:pPr>
            <w:r>
              <w:rPr>
                <w:rFonts w:ascii="Arial" w:cs="Arial" w:eastAsia="Arial" w:hAnsi="Arial"/>
                <w:sz w:val="15"/>
                <w:szCs w:val="15"/>
                <w:color w:val="auto"/>
                <w:w w:val="99"/>
              </w:rPr>
              <w:t>Wet column including potable cold water, waste, vent systems.</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P.13</w:t>
            </w:r>
          </w:p>
        </w:tc>
        <w:tc>
          <w:tcPr>
            <w:tcW w:w="4360" w:type="dxa"/>
            <w:vAlign w:val="bottom"/>
          </w:tcPr>
          <w:p>
            <w:pPr>
              <w:ind w:left="180"/>
              <w:spacing w:after="0"/>
              <w:rPr>
                <w:sz w:val="20"/>
                <w:szCs w:val="20"/>
                <w:color w:val="auto"/>
              </w:rPr>
            </w:pPr>
            <w:r>
              <w:rPr>
                <w:rFonts w:ascii="Arial" w:cs="Arial" w:eastAsia="Arial" w:hAnsi="Arial"/>
                <w:sz w:val="15"/>
                <w:szCs w:val="15"/>
                <w:color w:val="auto"/>
              </w:rPr>
              <w:t>Potable and non-potable distribution piping from Base Building</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risers to Tenant areas.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P.14</w:t>
            </w:r>
          </w:p>
        </w:tc>
        <w:tc>
          <w:tcPr>
            <w:tcW w:w="4360" w:type="dxa"/>
            <w:vAlign w:val="bottom"/>
          </w:tcPr>
          <w:p>
            <w:pPr>
              <w:ind w:left="180"/>
              <w:spacing w:after="0"/>
              <w:rPr>
                <w:sz w:val="20"/>
                <w:szCs w:val="20"/>
                <w:color w:val="auto"/>
              </w:rPr>
            </w:pPr>
            <w:r>
              <w:rPr>
                <w:rFonts w:ascii="Arial" w:cs="Arial" w:eastAsia="Arial" w:hAnsi="Arial"/>
                <w:sz w:val="15"/>
                <w:szCs w:val="15"/>
                <w:color w:val="auto"/>
              </w:rPr>
              <w:t>Distribution piping from wet columns.</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P.15</w:t>
            </w:r>
          </w:p>
        </w:tc>
        <w:tc>
          <w:tcPr>
            <w:tcW w:w="4360" w:type="dxa"/>
            <w:vAlign w:val="bottom"/>
          </w:tcPr>
          <w:p>
            <w:pPr>
              <w:ind w:left="180"/>
              <w:spacing w:after="0"/>
              <w:rPr>
                <w:sz w:val="20"/>
                <w:szCs w:val="20"/>
                <w:color w:val="auto"/>
              </w:rPr>
            </w:pPr>
            <w:r>
              <w:rPr>
                <w:rFonts w:ascii="Arial" w:cs="Arial" w:eastAsia="Arial" w:hAnsi="Arial"/>
                <w:sz w:val="15"/>
                <w:szCs w:val="15"/>
                <w:color w:val="auto"/>
              </w:rPr>
              <w:t>Lab waste risers with cap connections on each floor for tenant</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use.</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P.16</w:t>
            </w:r>
          </w:p>
        </w:tc>
        <w:tc>
          <w:tcPr>
            <w:tcW w:w="4360" w:type="dxa"/>
            <w:vAlign w:val="bottom"/>
          </w:tcPr>
          <w:p>
            <w:pPr>
              <w:ind w:left="180"/>
              <w:spacing w:after="0"/>
              <w:rPr>
                <w:sz w:val="20"/>
                <w:szCs w:val="20"/>
                <w:color w:val="auto"/>
              </w:rPr>
            </w:pPr>
            <w:r>
              <w:rPr>
                <w:rFonts w:ascii="Arial" w:cs="Arial" w:eastAsia="Arial" w:hAnsi="Arial"/>
                <w:sz w:val="15"/>
                <w:szCs w:val="15"/>
                <w:color w:val="auto"/>
              </w:rPr>
              <w:t>Lab vent risers with cap connections on each floor for Tenant</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use.</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P.17</w:t>
            </w:r>
          </w:p>
        </w:tc>
        <w:tc>
          <w:tcPr>
            <w:tcW w:w="4360" w:type="dxa"/>
            <w:vAlign w:val="bottom"/>
          </w:tcPr>
          <w:p>
            <w:pPr>
              <w:ind w:left="180"/>
              <w:spacing w:after="0"/>
              <w:rPr>
                <w:sz w:val="20"/>
                <w:szCs w:val="20"/>
                <w:color w:val="auto"/>
              </w:rPr>
            </w:pPr>
            <w:r>
              <w:rPr>
                <w:rFonts w:ascii="Arial" w:cs="Arial" w:eastAsia="Arial" w:hAnsi="Arial"/>
                <w:sz w:val="15"/>
                <w:szCs w:val="15"/>
                <w:color w:val="auto"/>
              </w:rPr>
              <w:t>Lab waste distribution system from lab waste risers.</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P.18</w:t>
            </w:r>
          </w:p>
        </w:tc>
        <w:tc>
          <w:tcPr>
            <w:tcW w:w="4360" w:type="dxa"/>
            <w:vAlign w:val="bottom"/>
          </w:tcPr>
          <w:p>
            <w:pPr>
              <w:ind w:left="180"/>
              <w:spacing w:after="0"/>
              <w:rPr>
                <w:sz w:val="20"/>
                <w:szCs w:val="20"/>
                <w:color w:val="auto"/>
              </w:rPr>
            </w:pPr>
            <w:r>
              <w:rPr>
                <w:rFonts w:ascii="Arial" w:cs="Arial" w:eastAsia="Arial" w:hAnsi="Arial"/>
                <w:sz w:val="15"/>
                <w:szCs w:val="15"/>
                <w:color w:val="auto"/>
              </w:rPr>
              <w:t>Common pH neutralization system and riser.</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P.19</w:t>
            </w:r>
          </w:p>
        </w:tc>
        <w:tc>
          <w:tcPr>
            <w:tcW w:w="4360" w:type="dxa"/>
            <w:vAlign w:val="bottom"/>
          </w:tcPr>
          <w:p>
            <w:pPr>
              <w:ind w:left="180"/>
              <w:spacing w:after="0"/>
              <w:rPr>
                <w:sz w:val="20"/>
                <w:szCs w:val="20"/>
                <w:color w:val="auto"/>
              </w:rPr>
            </w:pPr>
            <w:r>
              <w:rPr>
                <w:rFonts w:ascii="Arial" w:cs="Arial" w:eastAsia="Arial" w:hAnsi="Arial"/>
                <w:sz w:val="15"/>
                <w:szCs w:val="15"/>
                <w:color w:val="auto"/>
              </w:rPr>
              <w:t>Lab waste piping and connection to ph system</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P.20</w:t>
            </w:r>
          </w:p>
        </w:tc>
        <w:tc>
          <w:tcPr>
            <w:tcW w:w="4360" w:type="dxa"/>
            <w:vAlign w:val="bottom"/>
          </w:tcPr>
          <w:p>
            <w:pPr>
              <w:ind w:left="180"/>
              <w:spacing w:after="0"/>
              <w:rPr>
                <w:sz w:val="20"/>
                <w:szCs w:val="20"/>
                <w:color w:val="auto"/>
              </w:rPr>
            </w:pPr>
            <w:r>
              <w:rPr>
                <w:rFonts w:ascii="Arial" w:cs="Arial" w:eastAsia="Arial" w:hAnsi="Arial"/>
                <w:sz w:val="15"/>
                <w:szCs w:val="15"/>
                <w:color w:val="auto"/>
              </w:rPr>
              <w:t>Lab vent distribution system from lab vent risers.</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P.21</w:t>
            </w:r>
          </w:p>
        </w:tc>
        <w:tc>
          <w:tcPr>
            <w:tcW w:w="4360" w:type="dxa"/>
            <w:vAlign w:val="bottom"/>
          </w:tcPr>
          <w:p>
            <w:pPr>
              <w:ind w:left="180"/>
              <w:spacing w:after="0"/>
              <w:rPr>
                <w:sz w:val="20"/>
                <w:szCs w:val="20"/>
                <w:color w:val="auto"/>
              </w:rPr>
            </w:pPr>
            <w:r>
              <w:rPr>
                <w:rFonts w:ascii="Arial" w:cs="Arial" w:eastAsia="Arial" w:hAnsi="Arial"/>
                <w:sz w:val="15"/>
                <w:szCs w:val="15"/>
                <w:color w:val="auto"/>
              </w:rPr>
              <w:t>Tenant potable and non-potable hot water equipment and</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distribution system.</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P.22</w:t>
            </w:r>
          </w:p>
        </w:tc>
        <w:tc>
          <w:tcPr>
            <w:tcW w:w="4360" w:type="dxa"/>
            <w:vAlign w:val="bottom"/>
          </w:tcPr>
          <w:p>
            <w:pPr>
              <w:ind w:left="180"/>
              <w:spacing w:after="0"/>
              <w:rPr>
                <w:sz w:val="20"/>
                <w:szCs w:val="20"/>
                <w:color w:val="auto"/>
              </w:rPr>
            </w:pPr>
            <w:r>
              <w:rPr>
                <w:rFonts w:ascii="Arial" w:cs="Arial" w:eastAsia="Arial" w:hAnsi="Arial"/>
                <w:sz w:val="15"/>
                <w:szCs w:val="15"/>
                <w:color w:val="auto"/>
              </w:rPr>
              <w:t>Air compressor system and riser</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P.23</w:t>
            </w:r>
          </w:p>
        </w:tc>
        <w:tc>
          <w:tcPr>
            <w:tcW w:w="4360" w:type="dxa"/>
            <w:vAlign w:val="bottom"/>
          </w:tcPr>
          <w:p>
            <w:pPr>
              <w:ind w:left="180"/>
              <w:spacing w:after="0"/>
              <w:rPr>
                <w:sz w:val="20"/>
                <w:szCs w:val="20"/>
                <w:color w:val="auto"/>
              </w:rPr>
            </w:pPr>
            <w:r>
              <w:rPr>
                <w:rFonts w:ascii="Arial" w:cs="Arial" w:eastAsia="Arial" w:hAnsi="Arial"/>
                <w:sz w:val="15"/>
                <w:szCs w:val="15"/>
                <w:color w:val="auto"/>
              </w:rPr>
              <w:t>Compressed air distribution from riser</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P.24</w:t>
            </w:r>
          </w:p>
        </w:tc>
        <w:tc>
          <w:tcPr>
            <w:tcW w:w="4360" w:type="dxa"/>
            <w:vAlign w:val="bottom"/>
          </w:tcPr>
          <w:p>
            <w:pPr>
              <w:ind w:left="180"/>
              <w:spacing w:after="0"/>
              <w:rPr>
                <w:sz w:val="20"/>
                <w:szCs w:val="20"/>
                <w:color w:val="auto"/>
              </w:rPr>
            </w:pPr>
            <w:r>
              <w:rPr>
                <w:rFonts w:ascii="Arial" w:cs="Arial" w:eastAsia="Arial" w:hAnsi="Arial"/>
                <w:sz w:val="15"/>
                <w:szCs w:val="15"/>
                <w:color w:val="auto"/>
              </w:rPr>
              <w:t>Vacuum pump system and riser</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P.25</w:t>
            </w:r>
          </w:p>
        </w:tc>
        <w:tc>
          <w:tcPr>
            <w:tcW w:w="4360" w:type="dxa"/>
            <w:vAlign w:val="bottom"/>
          </w:tcPr>
          <w:p>
            <w:pPr>
              <w:ind w:left="180"/>
              <w:spacing w:after="0"/>
              <w:rPr>
                <w:sz w:val="20"/>
                <w:szCs w:val="20"/>
                <w:color w:val="auto"/>
              </w:rPr>
            </w:pPr>
            <w:r>
              <w:rPr>
                <w:rFonts w:ascii="Arial" w:cs="Arial" w:eastAsia="Arial" w:hAnsi="Arial"/>
                <w:sz w:val="15"/>
                <w:szCs w:val="15"/>
                <w:color w:val="auto"/>
              </w:rPr>
              <w:t>Vacuum distribution from riser</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P.26</w:t>
            </w:r>
          </w:p>
        </w:tc>
        <w:tc>
          <w:tcPr>
            <w:tcW w:w="4360" w:type="dxa"/>
            <w:vAlign w:val="bottom"/>
          </w:tcPr>
          <w:p>
            <w:pPr>
              <w:ind w:left="180"/>
              <w:spacing w:after="0"/>
              <w:rPr>
                <w:sz w:val="20"/>
                <w:szCs w:val="20"/>
                <w:color w:val="auto"/>
              </w:rPr>
            </w:pPr>
            <w:r>
              <w:rPr>
                <w:rFonts w:ascii="Arial" w:cs="Arial" w:eastAsia="Arial" w:hAnsi="Arial"/>
                <w:sz w:val="15"/>
                <w:szCs w:val="15"/>
                <w:color w:val="auto"/>
              </w:rPr>
              <w:t>RO equipment system and riser</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1540" w:type="dxa"/>
            <w:vAlign w:val="bottom"/>
          </w:tcPr>
          <w:p>
            <w:pPr>
              <w:ind w:left="1100"/>
              <w:spacing w:after="0"/>
              <w:rPr>
                <w:sz w:val="20"/>
                <w:szCs w:val="20"/>
                <w:color w:val="auto"/>
              </w:rPr>
            </w:pPr>
            <w:r>
              <w:rPr>
                <w:rFonts w:ascii="Arial" w:cs="Arial" w:eastAsia="Arial" w:hAnsi="Arial"/>
                <w:sz w:val="15"/>
                <w:szCs w:val="15"/>
                <w:color w:val="auto"/>
              </w:rPr>
              <w:t>P.27</w:t>
            </w:r>
          </w:p>
        </w:tc>
        <w:tc>
          <w:tcPr>
            <w:tcW w:w="4360" w:type="dxa"/>
            <w:vAlign w:val="bottom"/>
          </w:tcPr>
          <w:p>
            <w:pPr>
              <w:ind w:left="180"/>
              <w:spacing w:after="0"/>
              <w:rPr>
                <w:sz w:val="20"/>
                <w:szCs w:val="20"/>
                <w:color w:val="auto"/>
              </w:rPr>
            </w:pPr>
            <w:r>
              <w:rPr>
                <w:rFonts w:ascii="Arial" w:cs="Arial" w:eastAsia="Arial" w:hAnsi="Arial"/>
                <w:sz w:val="15"/>
                <w:szCs w:val="15"/>
                <w:color w:val="auto"/>
              </w:rPr>
              <w:t>RO distribution from riser</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1540" w:type="dxa"/>
            <w:vAlign w:val="bottom"/>
          </w:tcPr>
          <w:p>
            <w:pPr>
              <w:ind w:left="1100"/>
              <w:spacing w:after="0"/>
              <w:rPr>
                <w:sz w:val="20"/>
                <w:szCs w:val="20"/>
                <w:color w:val="auto"/>
              </w:rPr>
            </w:pPr>
            <w:r>
              <w:rPr>
                <w:rFonts w:ascii="Arial" w:cs="Arial" w:eastAsia="Arial" w:hAnsi="Arial"/>
                <w:sz w:val="15"/>
                <w:szCs w:val="15"/>
                <w:color w:val="auto"/>
              </w:rPr>
              <w:t>P.28</w:t>
            </w:r>
          </w:p>
        </w:tc>
        <w:tc>
          <w:tcPr>
            <w:tcW w:w="4360" w:type="dxa"/>
            <w:vAlign w:val="bottom"/>
          </w:tcPr>
          <w:p>
            <w:pPr>
              <w:ind w:left="180"/>
              <w:spacing w:after="0"/>
              <w:rPr>
                <w:sz w:val="20"/>
                <w:szCs w:val="20"/>
                <w:color w:val="auto"/>
              </w:rPr>
            </w:pPr>
            <w:r>
              <w:rPr>
                <w:rFonts w:ascii="Arial" w:cs="Arial" w:eastAsia="Arial" w:hAnsi="Arial"/>
                <w:sz w:val="15"/>
                <w:szCs w:val="15"/>
                <w:color w:val="auto"/>
              </w:rPr>
              <w:t>Gas cylinders and distribution system (ie: nitrogen co2, argon,</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1540" w:type="dxa"/>
            <w:vAlign w:val="bottom"/>
          </w:tcPr>
          <w:p>
            <w:pPr>
              <w:spacing w:after="0"/>
              <w:rPr>
                <w:sz w:val="16"/>
                <w:szCs w:val="16"/>
                <w:color w:val="auto"/>
              </w:rPr>
            </w:pPr>
          </w:p>
        </w:tc>
        <w:tc>
          <w:tcPr>
            <w:tcW w:w="4360" w:type="dxa"/>
            <w:vAlign w:val="bottom"/>
          </w:tcPr>
          <w:p>
            <w:pPr>
              <w:ind w:left="180"/>
              <w:spacing w:after="0"/>
              <w:rPr>
                <w:sz w:val="20"/>
                <w:szCs w:val="20"/>
                <w:color w:val="auto"/>
              </w:rPr>
            </w:pPr>
            <w:r>
              <w:rPr>
                <w:rFonts w:ascii="Arial" w:cs="Arial" w:eastAsia="Arial" w:hAnsi="Arial"/>
                <w:sz w:val="15"/>
                <w:szCs w:val="15"/>
                <w:color w:val="auto"/>
              </w:rPr>
              <w:t>etc.)</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273" w:lineRule="exact"/>
        <w:rPr>
          <w:sz w:val="20"/>
          <w:szCs w:val="20"/>
          <w:color w:val="auto"/>
        </w:rPr>
      </w:pPr>
    </w:p>
    <w:p>
      <w:pPr>
        <w:jc w:val="right"/>
        <w:spacing w:after="0"/>
        <w:rPr>
          <w:sz w:val="20"/>
          <w:szCs w:val="20"/>
          <w:color w:val="auto"/>
        </w:rPr>
      </w:pPr>
      <w:r>
        <w:rPr>
          <w:rFonts w:ascii="Arial" w:cs="Arial" w:eastAsia="Arial" w:hAnsi="Arial"/>
          <w:sz w:val="15"/>
          <w:szCs w:val="15"/>
          <w:color w:val="8596B0"/>
        </w:rPr>
        <w:t xml:space="preserve">Page </w:t>
      </w:r>
      <w:r>
        <w:rPr>
          <w:rFonts w:ascii="Arial" w:cs="Arial" w:eastAsia="Arial" w:hAnsi="Arial"/>
          <w:sz w:val="15"/>
          <w:szCs w:val="15"/>
          <w:color w:val="000000"/>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130" w:right="239" w:bottom="1440" w:gutter="0" w:footer="0" w:header="0"/>
        </w:sectPr>
      </w:pPr>
    </w:p>
    <w:bookmarkStart w:id="347" w:name="page348"/>
    <w:bookmarkEnd w:id="347"/>
    <w:p>
      <w:pPr>
        <w:spacing w:after="0"/>
        <w:rPr>
          <w:sz w:val="20"/>
          <w:szCs w:val="20"/>
          <w:color w:val="auto"/>
        </w:rPr>
      </w:pPr>
      <w:r>
        <w:rPr>
          <w:rFonts w:ascii="Arial" w:cs="Arial" w:eastAsia="Arial" w:hAnsi="Arial"/>
          <w:sz w:val="15"/>
          <w:szCs w:val="15"/>
          <w:color w:val="auto"/>
        </w:rPr>
        <w:t>200 Sidney Street, Cambridge, MA</w:t>
      </w:r>
    </w:p>
    <w:p>
      <w:pPr>
        <w:spacing w:after="0" w:line="228" w:lineRule="auto"/>
        <w:rPr>
          <w:sz w:val="20"/>
          <w:szCs w:val="20"/>
          <w:color w:val="auto"/>
        </w:rPr>
      </w:pPr>
      <w:r>
        <w:rPr>
          <w:rFonts w:ascii="Arial" w:cs="Arial" w:eastAsia="Arial" w:hAnsi="Arial"/>
          <w:sz w:val="15"/>
          <w:szCs w:val="15"/>
          <w:color w:val="auto"/>
        </w:rPr>
        <w:t>Landlord/Tenant Responsibility Matrix</w:t>
      </w:r>
    </w:p>
    <w:p>
      <w:pPr>
        <w:spacing w:after="0"/>
        <w:rPr>
          <w:sz w:val="20"/>
          <w:szCs w:val="20"/>
          <w:color w:val="auto"/>
        </w:rPr>
      </w:pPr>
      <w:r>
        <w:rPr>
          <w:rFonts w:ascii="Arial" w:cs="Arial" w:eastAsia="Arial" w:hAnsi="Arial"/>
          <w:sz w:val="15"/>
          <w:szCs w:val="15"/>
          <w:color w:val="auto"/>
        </w:rPr>
        <w:t>November 02,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DESCRIPTION</w:t>
            </w:r>
          </w:p>
        </w:tc>
        <w:tc>
          <w:tcPr>
            <w:tcW w:w="50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287"/>
              <w:spacing w:after="0"/>
              <w:rPr>
                <w:sz w:val="20"/>
                <w:szCs w:val="20"/>
                <w:color w:val="auto"/>
              </w:rPr>
            </w:pPr>
            <w:r>
              <w:rPr>
                <w:rFonts w:ascii="Arial" w:cs="Arial" w:eastAsia="Arial" w:hAnsi="Arial"/>
                <w:sz w:val="15"/>
                <w:szCs w:val="15"/>
                <w:b w:val="1"/>
                <w:bCs w:val="1"/>
                <w:color w:val="auto"/>
                <w:w w:val="99"/>
              </w:rPr>
              <w:t>LANDLORD</w:t>
            </w:r>
          </w:p>
        </w:tc>
        <w:tc>
          <w:tcPr>
            <w:tcW w:w="20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98"/>
              </w:rPr>
              <w:t>TENANT</w:t>
            </w:r>
          </w:p>
        </w:tc>
      </w:tr>
      <w:tr>
        <w:trPr>
          <w:trHeight w:val="254"/>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P.29</w:t>
            </w:r>
          </w:p>
        </w:tc>
        <w:tc>
          <w:tcPr>
            <w:tcW w:w="4360" w:type="dxa"/>
            <w:vAlign w:val="bottom"/>
          </w:tcPr>
          <w:p>
            <w:pPr>
              <w:ind w:left="160"/>
              <w:spacing w:after="0"/>
              <w:rPr>
                <w:sz w:val="20"/>
                <w:szCs w:val="20"/>
                <w:color w:val="auto"/>
              </w:rPr>
            </w:pPr>
            <w:r>
              <w:rPr>
                <w:rFonts w:ascii="Arial" w:cs="Arial" w:eastAsia="Arial" w:hAnsi="Arial"/>
                <w:sz w:val="15"/>
                <w:szCs w:val="15"/>
                <w:color w:val="auto"/>
                <w:w w:val="98"/>
              </w:rPr>
              <w:t>Tempered hot water heater and riser piping for eyewash/shower</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unit. System shall have valve/cap connection for tenant use.</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P.30</w:t>
            </w:r>
          </w:p>
        </w:tc>
        <w:tc>
          <w:tcPr>
            <w:tcW w:w="4360" w:type="dxa"/>
            <w:vAlign w:val="bottom"/>
          </w:tcPr>
          <w:p>
            <w:pPr>
              <w:ind w:left="160"/>
              <w:spacing w:after="0"/>
              <w:rPr>
                <w:sz w:val="20"/>
                <w:szCs w:val="20"/>
                <w:color w:val="auto"/>
              </w:rPr>
            </w:pPr>
            <w:r>
              <w:rPr>
                <w:rFonts w:ascii="Arial" w:cs="Arial" w:eastAsia="Arial" w:hAnsi="Arial"/>
                <w:sz w:val="15"/>
                <w:szCs w:val="15"/>
                <w:color w:val="auto"/>
              </w:rPr>
              <w:t>Tenant tempered water eyewash/showers and distribution</w:t>
            </w:r>
          </w:p>
        </w:tc>
        <w:tc>
          <w:tcPr>
            <w:tcW w:w="200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piping.</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40"/>
        </w:trPr>
        <w:tc>
          <w:tcPr>
            <w:tcW w:w="1060" w:type="dxa"/>
            <w:vAlign w:val="bottom"/>
            <w:gridSpan w:val="2"/>
          </w:tcPr>
          <w:p>
            <w:pPr>
              <w:spacing w:after="0"/>
              <w:rPr>
                <w:sz w:val="20"/>
                <w:szCs w:val="20"/>
                <w:color w:val="auto"/>
              </w:rPr>
            </w:pPr>
            <w:r>
              <w:rPr>
                <w:rFonts w:ascii="Arial" w:cs="Arial" w:eastAsia="Arial" w:hAnsi="Arial"/>
                <w:sz w:val="15"/>
                <w:szCs w:val="15"/>
                <w:b w:val="1"/>
                <w:bCs w:val="1"/>
                <w:color w:val="auto"/>
              </w:rPr>
              <w:t>HVAC</w:t>
            </w:r>
          </w:p>
        </w:tc>
        <w:tc>
          <w:tcPr>
            <w:tcW w:w="500" w:type="dxa"/>
            <w:vAlign w:val="bottom"/>
          </w:tcPr>
          <w:p>
            <w:pPr>
              <w:ind w:left="40"/>
              <w:spacing w:after="0"/>
              <w:rPr>
                <w:sz w:val="20"/>
                <w:szCs w:val="20"/>
                <w:color w:val="auto"/>
              </w:rPr>
            </w:pPr>
            <w:r>
              <w:rPr>
                <w:rFonts w:ascii="Arial" w:cs="Arial" w:eastAsia="Arial" w:hAnsi="Arial"/>
                <w:sz w:val="15"/>
                <w:szCs w:val="15"/>
                <w:color w:val="auto"/>
              </w:rPr>
              <w:t>H.1</w:t>
            </w:r>
          </w:p>
        </w:tc>
        <w:tc>
          <w:tcPr>
            <w:tcW w:w="4360" w:type="dxa"/>
            <w:vAlign w:val="bottom"/>
          </w:tcPr>
          <w:p>
            <w:pPr>
              <w:ind w:left="160"/>
              <w:spacing w:after="0"/>
              <w:rPr>
                <w:sz w:val="20"/>
                <w:szCs w:val="20"/>
                <w:color w:val="auto"/>
              </w:rPr>
            </w:pPr>
            <w:r>
              <w:rPr>
                <w:rFonts w:ascii="Arial" w:cs="Arial" w:eastAsia="Arial" w:hAnsi="Arial"/>
                <w:sz w:val="15"/>
                <w:szCs w:val="15"/>
                <w:color w:val="auto"/>
                <w:w w:val="98"/>
              </w:rPr>
              <w:t>Base building air handling units, general exhaust system, chilled</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0"/>
                <w:szCs w:val="20"/>
                <w:color w:val="auto"/>
              </w:rPr>
            </w:pPr>
          </w:p>
        </w:tc>
      </w:tr>
      <w:tr>
        <w:trPr>
          <w:trHeight w:val="188"/>
        </w:trPr>
        <w:tc>
          <w:tcPr>
            <w:tcW w:w="42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water system, hot water system and condenser water system</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H.2</w:t>
            </w:r>
          </w:p>
        </w:tc>
        <w:tc>
          <w:tcPr>
            <w:tcW w:w="4360" w:type="dxa"/>
            <w:vAlign w:val="bottom"/>
          </w:tcPr>
          <w:p>
            <w:pPr>
              <w:ind w:left="160"/>
              <w:spacing w:after="0"/>
              <w:rPr>
                <w:sz w:val="20"/>
                <w:szCs w:val="20"/>
                <w:color w:val="auto"/>
              </w:rPr>
            </w:pPr>
            <w:r>
              <w:rPr>
                <w:rFonts w:ascii="Arial" w:cs="Arial" w:eastAsia="Arial" w:hAnsi="Arial"/>
                <w:sz w:val="15"/>
                <w:szCs w:val="15"/>
                <w:color w:val="auto"/>
              </w:rPr>
              <w:t>Tenant-specific HVAC equipment and controls</w:t>
            </w:r>
          </w:p>
        </w:tc>
        <w:tc>
          <w:tcPr>
            <w:tcW w:w="200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H.3</w:t>
            </w:r>
          </w:p>
        </w:tc>
        <w:tc>
          <w:tcPr>
            <w:tcW w:w="4360" w:type="dxa"/>
            <w:vAlign w:val="bottom"/>
          </w:tcPr>
          <w:p>
            <w:pPr>
              <w:ind w:left="160"/>
              <w:spacing w:after="0"/>
              <w:rPr>
                <w:sz w:val="20"/>
                <w:szCs w:val="20"/>
                <w:color w:val="auto"/>
              </w:rPr>
            </w:pPr>
            <w:r>
              <w:rPr>
                <w:rFonts w:ascii="Arial" w:cs="Arial" w:eastAsia="Arial" w:hAnsi="Arial"/>
                <w:sz w:val="15"/>
                <w:szCs w:val="15"/>
                <w:color w:val="auto"/>
                <w:w w:val="99"/>
              </w:rPr>
              <w:t>Supply air ductwork risers with connections at vertical shafts for</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75"/>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tenant use.</w:t>
            </w:r>
          </w:p>
        </w:tc>
        <w:tc>
          <w:tcPr>
            <w:tcW w:w="20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H.4</w:t>
            </w:r>
          </w:p>
        </w:tc>
        <w:tc>
          <w:tcPr>
            <w:tcW w:w="4360" w:type="dxa"/>
            <w:vAlign w:val="bottom"/>
          </w:tcPr>
          <w:p>
            <w:pPr>
              <w:ind w:left="160"/>
              <w:spacing w:after="0"/>
              <w:rPr>
                <w:sz w:val="20"/>
                <w:szCs w:val="20"/>
                <w:color w:val="auto"/>
              </w:rPr>
            </w:pPr>
            <w:r>
              <w:rPr>
                <w:rFonts w:ascii="Arial" w:cs="Arial" w:eastAsia="Arial" w:hAnsi="Arial"/>
                <w:sz w:val="15"/>
                <w:szCs w:val="15"/>
                <w:color w:val="auto"/>
              </w:rPr>
              <w:t>Horizontal supply air ductwork distribution system from shaft</w:t>
            </w:r>
          </w:p>
        </w:tc>
        <w:tc>
          <w:tcPr>
            <w:tcW w:w="2000" w:type="dxa"/>
            <w:vAlign w:val="bottom"/>
          </w:tcPr>
          <w:p>
            <w:pPr>
              <w:spacing w:after="0"/>
              <w:rPr>
                <w:sz w:val="15"/>
                <w:szCs w:val="15"/>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connections for tenant areas.</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H.5</w:t>
            </w:r>
          </w:p>
        </w:tc>
        <w:tc>
          <w:tcPr>
            <w:tcW w:w="4360" w:type="dxa"/>
            <w:vAlign w:val="bottom"/>
          </w:tcPr>
          <w:p>
            <w:pPr>
              <w:ind w:left="160"/>
              <w:spacing w:after="0"/>
              <w:rPr>
                <w:sz w:val="20"/>
                <w:szCs w:val="20"/>
                <w:color w:val="auto"/>
              </w:rPr>
            </w:pPr>
            <w:r>
              <w:rPr>
                <w:rFonts w:ascii="Arial" w:cs="Arial" w:eastAsia="Arial" w:hAnsi="Arial"/>
                <w:sz w:val="15"/>
                <w:szCs w:val="15"/>
                <w:color w:val="auto"/>
              </w:rPr>
              <w:t>Return fans and return air risers</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H.6</w:t>
            </w:r>
          </w:p>
        </w:tc>
        <w:tc>
          <w:tcPr>
            <w:tcW w:w="4360" w:type="dxa"/>
            <w:vAlign w:val="bottom"/>
          </w:tcPr>
          <w:p>
            <w:pPr>
              <w:ind w:left="160"/>
              <w:spacing w:after="0"/>
              <w:rPr>
                <w:sz w:val="20"/>
                <w:szCs w:val="20"/>
                <w:color w:val="auto"/>
              </w:rPr>
            </w:pPr>
            <w:r>
              <w:rPr>
                <w:rFonts w:ascii="Arial" w:cs="Arial" w:eastAsia="Arial" w:hAnsi="Arial"/>
                <w:sz w:val="15"/>
                <w:szCs w:val="15"/>
                <w:color w:val="auto"/>
                <w:w w:val="97"/>
              </w:rPr>
              <w:t>Return air ductwork distribution from risers to serve tenant areas</w:t>
            </w:r>
          </w:p>
        </w:tc>
        <w:tc>
          <w:tcPr>
            <w:tcW w:w="200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H.7</w:t>
            </w:r>
          </w:p>
        </w:tc>
        <w:tc>
          <w:tcPr>
            <w:tcW w:w="4360" w:type="dxa"/>
            <w:vAlign w:val="bottom"/>
          </w:tcPr>
          <w:p>
            <w:pPr>
              <w:ind w:left="160"/>
              <w:spacing w:after="0"/>
              <w:rPr>
                <w:sz w:val="20"/>
                <w:szCs w:val="20"/>
                <w:color w:val="auto"/>
              </w:rPr>
            </w:pPr>
            <w:r>
              <w:rPr>
                <w:rFonts w:ascii="Arial" w:cs="Arial" w:eastAsia="Arial" w:hAnsi="Arial"/>
                <w:sz w:val="15"/>
                <w:szCs w:val="15"/>
                <w:color w:val="auto"/>
                <w:w w:val="97"/>
              </w:rPr>
              <w:t>General exhaust system with heat recovery coils and run around</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loop</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H.8</w:t>
            </w:r>
          </w:p>
        </w:tc>
        <w:tc>
          <w:tcPr>
            <w:tcW w:w="4360" w:type="dxa"/>
            <w:vAlign w:val="bottom"/>
          </w:tcPr>
          <w:p>
            <w:pPr>
              <w:ind w:left="160"/>
              <w:spacing w:after="0"/>
              <w:rPr>
                <w:sz w:val="20"/>
                <w:szCs w:val="20"/>
                <w:color w:val="auto"/>
              </w:rPr>
            </w:pPr>
            <w:r>
              <w:rPr>
                <w:rFonts w:ascii="Arial" w:cs="Arial" w:eastAsia="Arial" w:hAnsi="Arial"/>
                <w:sz w:val="15"/>
                <w:szCs w:val="15"/>
                <w:color w:val="auto"/>
              </w:rPr>
              <w:t>Base building basement area HVAC</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H.9</w:t>
            </w:r>
          </w:p>
        </w:tc>
        <w:tc>
          <w:tcPr>
            <w:tcW w:w="4360" w:type="dxa"/>
            <w:vAlign w:val="bottom"/>
          </w:tcPr>
          <w:p>
            <w:pPr>
              <w:ind w:left="160"/>
              <w:spacing w:after="0"/>
              <w:rPr>
                <w:sz w:val="20"/>
                <w:szCs w:val="20"/>
                <w:color w:val="auto"/>
              </w:rPr>
            </w:pPr>
            <w:r>
              <w:rPr>
                <w:rFonts w:ascii="Arial" w:cs="Arial" w:eastAsia="Arial" w:hAnsi="Arial"/>
                <w:sz w:val="15"/>
                <w:szCs w:val="15"/>
                <w:color w:val="auto"/>
              </w:rPr>
              <w:t>Modifications to basement HVAC</w:t>
            </w:r>
          </w:p>
        </w:tc>
        <w:tc>
          <w:tcPr>
            <w:tcW w:w="200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H.10</w:t>
            </w:r>
          </w:p>
        </w:tc>
        <w:tc>
          <w:tcPr>
            <w:tcW w:w="4360" w:type="dxa"/>
            <w:vAlign w:val="bottom"/>
          </w:tcPr>
          <w:p>
            <w:pPr>
              <w:ind w:left="160"/>
              <w:spacing w:after="0"/>
              <w:rPr>
                <w:sz w:val="20"/>
                <w:szCs w:val="20"/>
                <w:color w:val="auto"/>
              </w:rPr>
            </w:pPr>
            <w:r>
              <w:rPr>
                <w:rFonts w:ascii="Arial" w:cs="Arial" w:eastAsia="Arial" w:hAnsi="Arial"/>
                <w:sz w:val="15"/>
                <w:szCs w:val="15"/>
                <w:color w:val="auto"/>
              </w:rPr>
              <w:t>Tenant specialty exhaust systems</w:t>
            </w:r>
          </w:p>
        </w:tc>
        <w:tc>
          <w:tcPr>
            <w:tcW w:w="200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H.11</w:t>
            </w:r>
          </w:p>
        </w:tc>
        <w:tc>
          <w:tcPr>
            <w:tcW w:w="4360" w:type="dxa"/>
            <w:vAlign w:val="bottom"/>
          </w:tcPr>
          <w:p>
            <w:pPr>
              <w:ind w:left="160"/>
              <w:spacing w:after="0"/>
              <w:rPr>
                <w:sz w:val="20"/>
                <w:szCs w:val="20"/>
                <w:color w:val="auto"/>
              </w:rPr>
            </w:pPr>
            <w:r>
              <w:rPr>
                <w:rFonts w:ascii="Arial" w:cs="Arial" w:eastAsia="Arial" w:hAnsi="Arial"/>
                <w:sz w:val="15"/>
                <w:szCs w:val="15"/>
                <w:color w:val="auto"/>
              </w:rPr>
              <w:t>Exhaust air ductwork risers with connections at vertical shafts</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for tenant use.</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H.12</w:t>
            </w:r>
          </w:p>
        </w:tc>
        <w:tc>
          <w:tcPr>
            <w:tcW w:w="4360" w:type="dxa"/>
            <w:vAlign w:val="bottom"/>
          </w:tcPr>
          <w:p>
            <w:pPr>
              <w:ind w:left="160"/>
              <w:spacing w:after="0"/>
              <w:rPr>
                <w:sz w:val="20"/>
                <w:szCs w:val="20"/>
                <w:color w:val="auto"/>
              </w:rPr>
            </w:pPr>
            <w:r>
              <w:rPr>
                <w:rFonts w:ascii="Arial" w:cs="Arial" w:eastAsia="Arial" w:hAnsi="Arial"/>
                <w:sz w:val="15"/>
                <w:szCs w:val="15"/>
                <w:color w:val="auto"/>
              </w:rPr>
              <w:t>Horizontal exhaust air ductwork distribution system from shaft</w:t>
            </w:r>
          </w:p>
        </w:tc>
        <w:tc>
          <w:tcPr>
            <w:tcW w:w="200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connections for tenant areas.</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H.13</w:t>
            </w:r>
          </w:p>
        </w:tc>
        <w:tc>
          <w:tcPr>
            <w:tcW w:w="4360" w:type="dxa"/>
            <w:vAlign w:val="bottom"/>
          </w:tcPr>
          <w:p>
            <w:pPr>
              <w:ind w:left="160"/>
              <w:spacing w:after="0"/>
              <w:rPr>
                <w:sz w:val="20"/>
                <w:szCs w:val="20"/>
                <w:color w:val="auto"/>
              </w:rPr>
            </w:pPr>
            <w:r>
              <w:rPr>
                <w:rFonts w:ascii="Arial" w:cs="Arial" w:eastAsia="Arial" w:hAnsi="Arial"/>
                <w:sz w:val="15"/>
                <w:szCs w:val="15"/>
                <w:color w:val="auto"/>
              </w:rPr>
              <w:t>Base Building common area ventilation system</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H.14</w:t>
            </w:r>
          </w:p>
        </w:tc>
        <w:tc>
          <w:tcPr>
            <w:tcW w:w="4360" w:type="dxa"/>
            <w:vAlign w:val="bottom"/>
          </w:tcPr>
          <w:p>
            <w:pPr>
              <w:ind w:left="160"/>
              <w:spacing w:after="0"/>
              <w:rPr>
                <w:sz w:val="20"/>
                <w:szCs w:val="20"/>
                <w:color w:val="auto"/>
              </w:rPr>
            </w:pPr>
            <w:r>
              <w:rPr>
                <w:rFonts w:ascii="Arial" w:cs="Arial" w:eastAsia="Arial" w:hAnsi="Arial"/>
                <w:sz w:val="15"/>
                <w:szCs w:val="15"/>
                <w:color w:val="auto"/>
              </w:rPr>
              <w:t>Chiller plant serving base building air handling units</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H.15</w:t>
            </w:r>
          </w:p>
        </w:tc>
        <w:tc>
          <w:tcPr>
            <w:tcW w:w="4360" w:type="dxa"/>
            <w:vAlign w:val="bottom"/>
          </w:tcPr>
          <w:p>
            <w:pPr>
              <w:ind w:left="160"/>
              <w:spacing w:after="0"/>
              <w:rPr>
                <w:sz w:val="20"/>
                <w:szCs w:val="20"/>
                <w:color w:val="auto"/>
              </w:rPr>
            </w:pPr>
            <w:r>
              <w:rPr>
                <w:rFonts w:ascii="Arial" w:cs="Arial" w:eastAsia="Arial" w:hAnsi="Arial"/>
                <w:sz w:val="15"/>
                <w:szCs w:val="15"/>
                <w:color w:val="auto"/>
              </w:rPr>
              <w:t>Hot water plant serving air handling units and Tenant hot water</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risers with valve/cap connections per floor for Tenant use</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H.16</w:t>
            </w:r>
          </w:p>
        </w:tc>
        <w:tc>
          <w:tcPr>
            <w:tcW w:w="4360" w:type="dxa"/>
            <w:vAlign w:val="bottom"/>
          </w:tcPr>
          <w:p>
            <w:pPr>
              <w:ind w:left="160"/>
              <w:spacing w:after="0"/>
              <w:rPr>
                <w:sz w:val="20"/>
                <w:szCs w:val="20"/>
                <w:color w:val="auto"/>
              </w:rPr>
            </w:pPr>
            <w:r>
              <w:rPr>
                <w:rFonts w:ascii="Arial" w:cs="Arial" w:eastAsia="Arial" w:hAnsi="Arial"/>
                <w:sz w:val="15"/>
                <w:szCs w:val="15"/>
                <w:color w:val="auto"/>
              </w:rPr>
              <w:t>Tenant hot water distribution piping from risers.</w:t>
            </w:r>
          </w:p>
        </w:tc>
        <w:tc>
          <w:tcPr>
            <w:tcW w:w="200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H.17</w:t>
            </w:r>
          </w:p>
        </w:tc>
        <w:tc>
          <w:tcPr>
            <w:tcW w:w="4360" w:type="dxa"/>
            <w:vAlign w:val="bottom"/>
          </w:tcPr>
          <w:p>
            <w:pPr>
              <w:ind w:left="160"/>
              <w:spacing w:after="0"/>
              <w:rPr>
                <w:sz w:val="20"/>
                <w:szCs w:val="20"/>
                <w:color w:val="auto"/>
              </w:rPr>
            </w:pPr>
            <w:r>
              <w:rPr>
                <w:rFonts w:ascii="Arial" w:cs="Arial" w:eastAsia="Arial" w:hAnsi="Arial"/>
                <w:sz w:val="15"/>
                <w:szCs w:val="15"/>
                <w:color w:val="auto"/>
              </w:rPr>
              <w:t>Base Building heat recovery run around loop piping system.</w:t>
            </w:r>
          </w:p>
        </w:tc>
        <w:tc>
          <w:tcPr>
            <w:tcW w:w="2000" w:type="dxa"/>
            <w:vAlign w:val="bottom"/>
          </w:tcPr>
          <w:p>
            <w:pPr>
              <w:jc w:val="center"/>
              <w:ind w:right="26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63"/>
        </w:trPr>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H.18</w:t>
            </w:r>
          </w:p>
        </w:tc>
        <w:tc>
          <w:tcPr>
            <w:tcW w:w="4360" w:type="dxa"/>
            <w:vAlign w:val="bottom"/>
          </w:tcPr>
          <w:p>
            <w:pPr>
              <w:ind w:left="160"/>
              <w:spacing w:after="0"/>
              <w:rPr>
                <w:sz w:val="20"/>
                <w:szCs w:val="20"/>
                <w:color w:val="auto"/>
              </w:rPr>
            </w:pPr>
            <w:r>
              <w:rPr>
                <w:rFonts w:ascii="Arial" w:cs="Arial" w:eastAsia="Arial" w:hAnsi="Arial"/>
                <w:sz w:val="15"/>
                <w:szCs w:val="15"/>
                <w:color w:val="auto"/>
              </w:rPr>
              <w:t>Dedicated Tenant specialty area mechanical systems (ie: cold</w:t>
            </w:r>
          </w:p>
        </w:tc>
        <w:tc>
          <w:tcPr>
            <w:tcW w:w="200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5"/>
                <w:szCs w:val="15"/>
                <w:color w:val="auto"/>
              </w:rPr>
              <w:t>rooms, warm rooms, IT rooms, etc.)</w:t>
            </w: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174" w:lineRule="exact"/>
        <w:rPr>
          <w:sz w:val="20"/>
          <w:szCs w:val="20"/>
          <w:color w:val="auto"/>
        </w:rPr>
      </w:pPr>
    </w:p>
    <w:p>
      <w:pPr>
        <w:jc w:val="right"/>
        <w:spacing w:after="0"/>
        <w:rPr>
          <w:sz w:val="20"/>
          <w:szCs w:val="20"/>
          <w:color w:val="auto"/>
        </w:rPr>
      </w:pPr>
      <w:r>
        <w:rPr>
          <w:rFonts w:ascii="Arial" w:cs="Arial" w:eastAsia="Arial" w:hAnsi="Arial"/>
          <w:sz w:val="15"/>
          <w:szCs w:val="15"/>
          <w:color w:val="8596B0"/>
        </w:rPr>
        <w:t xml:space="preserve">Page </w:t>
      </w:r>
      <w:r>
        <w:rPr>
          <w:rFonts w:ascii="Arial" w:cs="Arial" w:eastAsia="Arial" w:hAnsi="Arial"/>
          <w:sz w:val="15"/>
          <w:szCs w:val="15"/>
          <w:color w:val="000000"/>
        </w:rPr>
        <w:t>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130" w:right="239" w:bottom="1440" w:gutter="0" w:footer="0" w:header="0"/>
        </w:sectPr>
      </w:pPr>
    </w:p>
    <w:bookmarkStart w:id="348" w:name="page349"/>
    <w:bookmarkEnd w:id="348"/>
    <w:p>
      <w:pPr>
        <w:spacing w:after="0"/>
        <w:rPr>
          <w:sz w:val="20"/>
          <w:szCs w:val="20"/>
          <w:color w:val="auto"/>
        </w:rPr>
      </w:pPr>
      <w:r>
        <w:rPr>
          <w:rFonts w:ascii="Arial" w:cs="Arial" w:eastAsia="Arial" w:hAnsi="Arial"/>
          <w:sz w:val="15"/>
          <w:szCs w:val="15"/>
          <w:color w:val="auto"/>
        </w:rPr>
        <w:t>200 Sidney Street, Cambridge, MA</w:t>
      </w:r>
    </w:p>
    <w:p>
      <w:pPr>
        <w:spacing w:after="0" w:line="228" w:lineRule="auto"/>
        <w:rPr>
          <w:sz w:val="20"/>
          <w:szCs w:val="20"/>
          <w:color w:val="auto"/>
        </w:rPr>
      </w:pPr>
      <w:r>
        <w:rPr>
          <w:rFonts w:ascii="Arial" w:cs="Arial" w:eastAsia="Arial" w:hAnsi="Arial"/>
          <w:sz w:val="15"/>
          <w:szCs w:val="15"/>
          <w:color w:val="auto"/>
        </w:rPr>
        <w:t>Landlord/Tenant Responsibility Matrix</w:t>
      </w:r>
    </w:p>
    <w:p>
      <w:pPr>
        <w:spacing w:after="0"/>
        <w:rPr>
          <w:sz w:val="20"/>
          <w:szCs w:val="20"/>
          <w:color w:val="auto"/>
        </w:rPr>
      </w:pPr>
      <w:r>
        <w:rPr>
          <w:rFonts w:ascii="Arial" w:cs="Arial" w:eastAsia="Arial" w:hAnsi="Arial"/>
          <w:sz w:val="15"/>
          <w:szCs w:val="15"/>
          <w:color w:val="auto"/>
        </w:rPr>
        <w:t>November 02,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DESCRIPTION</w:t>
            </w:r>
          </w:p>
        </w:tc>
        <w:tc>
          <w:tcPr>
            <w:tcW w:w="50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67"/>
              <w:spacing w:after="0"/>
              <w:rPr>
                <w:sz w:val="20"/>
                <w:szCs w:val="20"/>
                <w:color w:val="auto"/>
              </w:rPr>
            </w:pPr>
            <w:r>
              <w:rPr>
                <w:rFonts w:ascii="Arial" w:cs="Arial" w:eastAsia="Arial" w:hAnsi="Arial"/>
                <w:sz w:val="15"/>
                <w:szCs w:val="15"/>
                <w:b w:val="1"/>
                <w:bCs w:val="1"/>
                <w:color w:val="auto"/>
                <w:w w:val="99"/>
              </w:rPr>
              <w:t>LANDLORD</w:t>
            </w:r>
          </w:p>
        </w:tc>
        <w:tc>
          <w:tcPr>
            <w:tcW w:w="20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98"/>
              </w:rPr>
              <w:t>TENANT</w:t>
            </w:r>
          </w:p>
        </w:tc>
      </w:tr>
      <w:tr>
        <w:trPr>
          <w:trHeight w:val="254"/>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H.19</w:t>
            </w:r>
          </w:p>
        </w:tc>
        <w:tc>
          <w:tcPr>
            <w:tcW w:w="4340" w:type="dxa"/>
            <w:vAlign w:val="bottom"/>
          </w:tcPr>
          <w:p>
            <w:pPr>
              <w:ind w:left="160"/>
              <w:spacing w:after="0"/>
              <w:rPr>
                <w:sz w:val="20"/>
                <w:szCs w:val="20"/>
                <w:color w:val="auto"/>
              </w:rPr>
            </w:pPr>
            <w:r>
              <w:rPr>
                <w:rFonts w:ascii="Arial" w:cs="Arial" w:eastAsia="Arial" w:hAnsi="Arial"/>
                <w:sz w:val="15"/>
                <w:szCs w:val="15"/>
                <w:color w:val="auto"/>
              </w:rPr>
              <w:t>Automatic temperature control system for Base building</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equipment and common areas.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H.20</w:t>
            </w:r>
          </w:p>
        </w:tc>
        <w:tc>
          <w:tcPr>
            <w:tcW w:w="4340" w:type="dxa"/>
            <w:vAlign w:val="bottom"/>
          </w:tcPr>
          <w:p>
            <w:pPr>
              <w:ind w:left="160"/>
              <w:spacing w:after="0"/>
              <w:rPr>
                <w:sz w:val="20"/>
                <w:szCs w:val="20"/>
                <w:color w:val="auto"/>
              </w:rPr>
            </w:pPr>
            <w:r>
              <w:rPr>
                <w:rFonts w:ascii="Arial" w:cs="Arial" w:eastAsia="Arial" w:hAnsi="Arial"/>
                <w:sz w:val="15"/>
                <w:szCs w:val="15"/>
                <w:color w:val="auto"/>
                <w:w w:val="97"/>
              </w:rPr>
              <w:t>Automatic temperature control system for Tenant equipment and</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areas.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40"/>
        </w:trPr>
        <w:tc>
          <w:tcPr>
            <w:tcW w:w="1060" w:type="dxa"/>
            <w:vAlign w:val="bottom"/>
            <w:gridSpan w:val="2"/>
          </w:tcPr>
          <w:p>
            <w:pPr>
              <w:spacing w:after="0"/>
              <w:rPr>
                <w:sz w:val="20"/>
                <w:szCs w:val="20"/>
                <w:color w:val="auto"/>
              </w:rPr>
            </w:pPr>
            <w:r>
              <w:rPr>
                <w:rFonts w:ascii="Arial" w:cs="Arial" w:eastAsia="Arial" w:hAnsi="Arial"/>
                <w:sz w:val="15"/>
                <w:szCs w:val="15"/>
                <w:b w:val="1"/>
                <w:bCs w:val="1"/>
                <w:color w:val="auto"/>
              </w:rPr>
              <w:t>Electrical</w:t>
            </w:r>
          </w:p>
        </w:tc>
        <w:tc>
          <w:tcPr>
            <w:tcW w:w="500" w:type="dxa"/>
            <w:vAlign w:val="bottom"/>
          </w:tcPr>
          <w:p>
            <w:pPr>
              <w:ind w:left="40"/>
              <w:spacing w:after="0"/>
              <w:rPr>
                <w:sz w:val="20"/>
                <w:szCs w:val="20"/>
                <w:color w:val="auto"/>
              </w:rPr>
            </w:pPr>
            <w:r>
              <w:rPr>
                <w:rFonts w:ascii="Arial" w:cs="Arial" w:eastAsia="Arial" w:hAnsi="Arial"/>
                <w:sz w:val="15"/>
                <w:szCs w:val="15"/>
                <w:color w:val="auto"/>
              </w:rPr>
              <w:t>E.1</w:t>
            </w:r>
          </w:p>
        </w:tc>
        <w:tc>
          <w:tcPr>
            <w:tcW w:w="4340" w:type="dxa"/>
            <w:vAlign w:val="bottom"/>
          </w:tcPr>
          <w:p>
            <w:pPr>
              <w:ind w:left="160"/>
              <w:spacing w:after="0"/>
              <w:rPr>
                <w:sz w:val="20"/>
                <w:szCs w:val="20"/>
                <w:color w:val="auto"/>
              </w:rPr>
            </w:pPr>
            <w:r>
              <w:rPr>
                <w:rFonts w:ascii="Arial" w:cs="Arial" w:eastAsia="Arial" w:hAnsi="Arial"/>
                <w:sz w:val="15"/>
                <w:szCs w:val="15"/>
                <w:color w:val="auto"/>
              </w:rPr>
              <w:t>Transformer vault with Base Building utility supply</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0"/>
                <w:szCs w:val="20"/>
                <w:color w:val="auto"/>
              </w:rPr>
            </w:pPr>
          </w:p>
        </w:tc>
      </w:tr>
      <w:tr>
        <w:trPr>
          <w:trHeight w:val="276"/>
        </w:trPr>
        <w:tc>
          <w:tcPr>
            <w:tcW w:w="600" w:type="dxa"/>
            <w:vAlign w:val="bottom"/>
            <w:tcBorders>
              <w:top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E.2</w:t>
            </w:r>
          </w:p>
        </w:tc>
        <w:tc>
          <w:tcPr>
            <w:tcW w:w="4340" w:type="dxa"/>
            <w:vAlign w:val="bottom"/>
          </w:tcPr>
          <w:p>
            <w:pPr>
              <w:ind w:left="160"/>
              <w:spacing w:after="0"/>
              <w:rPr>
                <w:sz w:val="20"/>
                <w:szCs w:val="20"/>
                <w:color w:val="auto"/>
              </w:rPr>
            </w:pPr>
            <w:r>
              <w:rPr>
                <w:rFonts w:ascii="Arial" w:cs="Arial" w:eastAsia="Arial" w:hAnsi="Arial"/>
                <w:sz w:val="15"/>
                <w:szCs w:val="15"/>
                <w:color w:val="auto"/>
                <w:w w:val="98"/>
              </w:rPr>
              <w:t>Conductors, metering equipment and circuit breakers to Tenant</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areas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E.3</w:t>
            </w:r>
          </w:p>
        </w:tc>
        <w:tc>
          <w:tcPr>
            <w:tcW w:w="4340" w:type="dxa"/>
            <w:vAlign w:val="bottom"/>
          </w:tcPr>
          <w:p>
            <w:pPr>
              <w:ind w:left="160"/>
              <w:spacing w:after="0"/>
              <w:rPr>
                <w:sz w:val="20"/>
                <w:szCs w:val="20"/>
                <w:color w:val="auto"/>
              </w:rPr>
            </w:pPr>
            <w:r>
              <w:rPr>
                <w:rFonts w:ascii="Arial" w:cs="Arial" w:eastAsia="Arial" w:hAnsi="Arial"/>
                <w:sz w:val="15"/>
                <w:szCs w:val="15"/>
                <w:color w:val="auto"/>
              </w:rPr>
              <w:t>Main switchboard, metered, for base building systems.</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E.4</w:t>
            </w:r>
          </w:p>
        </w:tc>
        <w:tc>
          <w:tcPr>
            <w:tcW w:w="4340" w:type="dxa"/>
            <w:vAlign w:val="bottom"/>
          </w:tcPr>
          <w:p>
            <w:pPr>
              <w:ind w:left="160"/>
              <w:spacing w:after="0"/>
              <w:rPr>
                <w:sz w:val="20"/>
                <w:szCs w:val="20"/>
                <w:color w:val="auto"/>
              </w:rPr>
            </w:pPr>
            <w:r>
              <w:rPr>
                <w:rFonts w:ascii="Arial" w:cs="Arial" w:eastAsia="Arial" w:hAnsi="Arial"/>
                <w:sz w:val="15"/>
                <w:szCs w:val="15"/>
                <w:color w:val="auto"/>
              </w:rPr>
              <w:t>Bus duct risers serving floors 1-4</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E.5</w:t>
            </w:r>
          </w:p>
        </w:tc>
        <w:tc>
          <w:tcPr>
            <w:tcW w:w="4340" w:type="dxa"/>
            <w:vAlign w:val="bottom"/>
          </w:tcPr>
          <w:p>
            <w:pPr>
              <w:ind w:left="160"/>
              <w:spacing w:after="0"/>
              <w:rPr>
                <w:sz w:val="20"/>
                <w:szCs w:val="20"/>
                <w:color w:val="auto"/>
              </w:rPr>
            </w:pPr>
            <w:r>
              <w:rPr>
                <w:rFonts w:ascii="Arial" w:cs="Arial" w:eastAsia="Arial" w:hAnsi="Arial"/>
                <w:sz w:val="15"/>
                <w:szCs w:val="15"/>
                <w:color w:val="auto"/>
                <w:w w:val="97"/>
              </w:rPr>
              <w:t>Tenant meters, fused disconnect and utility transformer cabinets</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at all floors.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E.6</w:t>
            </w:r>
          </w:p>
        </w:tc>
        <w:tc>
          <w:tcPr>
            <w:tcW w:w="4340" w:type="dxa"/>
            <w:vAlign w:val="bottom"/>
          </w:tcPr>
          <w:p>
            <w:pPr>
              <w:ind w:left="160"/>
              <w:spacing w:after="0"/>
              <w:rPr>
                <w:sz w:val="20"/>
                <w:szCs w:val="20"/>
                <w:color w:val="auto"/>
              </w:rPr>
            </w:pPr>
            <w:r>
              <w:rPr>
                <w:rFonts w:ascii="Arial" w:cs="Arial" w:eastAsia="Arial" w:hAnsi="Arial"/>
                <w:sz w:val="15"/>
                <w:szCs w:val="15"/>
                <w:color w:val="auto"/>
              </w:rPr>
              <w:t>Life safety systems for Tenant use</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E.7</w:t>
            </w:r>
          </w:p>
        </w:tc>
        <w:tc>
          <w:tcPr>
            <w:tcW w:w="4340" w:type="dxa"/>
            <w:vAlign w:val="bottom"/>
          </w:tcPr>
          <w:p>
            <w:pPr>
              <w:ind w:left="160"/>
              <w:spacing w:after="0"/>
              <w:rPr>
                <w:sz w:val="20"/>
                <w:szCs w:val="20"/>
                <w:color w:val="auto"/>
              </w:rPr>
            </w:pPr>
            <w:r>
              <w:rPr>
                <w:rFonts w:ascii="Arial" w:cs="Arial" w:eastAsia="Arial" w:hAnsi="Arial"/>
                <w:sz w:val="15"/>
                <w:szCs w:val="15"/>
                <w:color w:val="auto"/>
              </w:rPr>
              <w:t>Standby Generator for tenant systems</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E.8</w:t>
            </w:r>
          </w:p>
        </w:tc>
        <w:tc>
          <w:tcPr>
            <w:tcW w:w="4340" w:type="dxa"/>
            <w:vAlign w:val="bottom"/>
          </w:tcPr>
          <w:p>
            <w:pPr>
              <w:ind w:left="160"/>
              <w:spacing w:after="0"/>
              <w:rPr>
                <w:sz w:val="20"/>
                <w:szCs w:val="20"/>
                <w:color w:val="auto"/>
              </w:rPr>
            </w:pPr>
            <w:r>
              <w:rPr>
                <w:rFonts w:ascii="Arial" w:cs="Arial" w:eastAsia="Arial" w:hAnsi="Arial"/>
                <w:sz w:val="15"/>
                <w:szCs w:val="15"/>
                <w:color w:val="auto"/>
                <w:w w:val="98"/>
              </w:rPr>
              <w:t>Standby generator distribution system with transfer switches for</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75"/>
        </w:trPr>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tenant use.</w:t>
            </w:r>
          </w:p>
        </w:tc>
        <w:tc>
          <w:tcPr>
            <w:tcW w:w="20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E.9</w:t>
            </w:r>
          </w:p>
        </w:tc>
        <w:tc>
          <w:tcPr>
            <w:tcW w:w="4340" w:type="dxa"/>
            <w:vAlign w:val="bottom"/>
          </w:tcPr>
          <w:p>
            <w:pPr>
              <w:ind w:left="160"/>
              <w:spacing w:after="0"/>
              <w:rPr>
                <w:sz w:val="20"/>
                <w:szCs w:val="20"/>
                <w:color w:val="auto"/>
              </w:rPr>
            </w:pPr>
            <w:r>
              <w:rPr>
                <w:rFonts w:ascii="Arial" w:cs="Arial" w:eastAsia="Arial" w:hAnsi="Arial"/>
                <w:sz w:val="15"/>
                <w:szCs w:val="15"/>
                <w:color w:val="auto"/>
              </w:rPr>
              <w:t>Electric closets at floors for base building systems and core</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15"/>
                <w:szCs w:val="15"/>
                <w:color w:val="auto"/>
              </w:rPr>
            </w:pP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areas.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E.10</w:t>
            </w:r>
          </w:p>
        </w:tc>
        <w:tc>
          <w:tcPr>
            <w:tcW w:w="4340" w:type="dxa"/>
            <w:vAlign w:val="bottom"/>
          </w:tcPr>
          <w:p>
            <w:pPr>
              <w:ind w:left="160"/>
              <w:spacing w:after="0"/>
              <w:rPr>
                <w:sz w:val="20"/>
                <w:szCs w:val="20"/>
                <w:color w:val="auto"/>
              </w:rPr>
            </w:pPr>
            <w:r>
              <w:rPr>
                <w:rFonts w:ascii="Arial" w:cs="Arial" w:eastAsia="Arial" w:hAnsi="Arial"/>
                <w:sz w:val="15"/>
                <w:szCs w:val="15"/>
                <w:color w:val="auto"/>
              </w:rPr>
              <w:t>Electric closets for tenant areas.</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E.11</w:t>
            </w:r>
          </w:p>
        </w:tc>
        <w:tc>
          <w:tcPr>
            <w:tcW w:w="4340" w:type="dxa"/>
            <w:vAlign w:val="bottom"/>
          </w:tcPr>
          <w:p>
            <w:pPr>
              <w:ind w:left="160"/>
              <w:spacing w:after="0"/>
              <w:rPr>
                <w:sz w:val="20"/>
                <w:szCs w:val="20"/>
                <w:color w:val="auto"/>
              </w:rPr>
            </w:pPr>
            <w:r>
              <w:rPr>
                <w:rFonts w:ascii="Arial" w:cs="Arial" w:eastAsia="Arial" w:hAnsi="Arial"/>
                <w:sz w:val="15"/>
                <w:szCs w:val="15"/>
                <w:color w:val="auto"/>
              </w:rPr>
              <w:t>Power distribution for tenant areas.</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E.12</w:t>
            </w:r>
          </w:p>
        </w:tc>
        <w:tc>
          <w:tcPr>
            <w:tcW w:w="4340" w:type="dxa"/>
            <w:vAlign w:val="bottom"/>
          </w:tcPr>
          <w:p>
            <w:pPr>
              <w:ind w:left="160"/>
              <w:spacing w:after="0"/>
              <w:rPr>
                <w:sz w:val="20"/>
                <w:szCs w:val="20"/>
                <w:color w:val="auto"/>
              </w:rPr>
            </w:pPr>
            <w:r>
              <w:rPr>
                <w:rFonts w:ascii="Arial" w:cs="Arial" w:eastAsia="Arial" w:hAnsi="Arial"/>
                <w:sz w:val="15"/>
                <w:szCs w:val="15"/>
                <w:color w:val="auto"/>
                <w:w w:val="98"/>
              </w:rPr>
              <w:t>Addressable Fire Command Center, Fire Alarm devices to Base</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w w:val="99"/>
              </w:rPr>
              <w:t>Building common areas, mechanical/electrical rooms and risers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E.13</w:t>
            </w:r>
          </w:p>
        </w:tc>
        <w:tc>
          <w:tcPr>
            <w:tcW w:w="4340" w:type="dxa"/>
            <w:vAlign w:val="bottom"/>
          </w:tcPr>
          <w:p>
            <w:pPr>
              <w:ind w:left="160"/>
              <w:spacing w:after="0"/>
              <w:rPr>
                <w:sz w:val="20"/>
                <w:szCs w:val="20"/>
                <w:color w:val="auto"/>
              </w:rPr>
            </w:pPr>
            <w:r>
              <w:rPr>
                <w:rFonts w:ascii="Arial" w:cs="Arial" w:eastAsia="Arial" w:hAnsi="Arial"/>
                <w:sz w:val="15"/>
                <w:szCs w:val="15"/>
                <w:color w:val="auto"/>
              </w:rPr>
              <w:t>Fire Alarm devices within Tenant areas, connected to Base</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Building risers and addressable Fire Command Center.</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E.14</w:t>
            </w:r>
          </w:p>
        </w:tc>
        <w:tc>
          <w:tcPr>
            <w:tcW w:w="4340" w:type="dxa"/>
            <w:vAlign w:val="bottom"/>
          </w:tcPr>
          <w:p>
            <w:pPr>
              <w:ind w:left="160"/>
              <w:spacing w:after="0"/>
              <w:rPr>
                <w:sz w:val="20"/>
                <w:szCs w:val="20"/>
                <w:color w:val="auto"/>
              </w:rPr>
            </w:pPr>
            <w:r>
              <w:rPr>
                <w:rFonts w:ascii="Arial" w:cs="Arial" w:eastAsia="Arial" w:hAnsi="Arial"/>
                <w:sz w:val="15"/>
                <w:szCs w:val="15"/>
                <w:color w:val="auto"/>
              </w:rPr>
              <w:t>Lighting in common and base building areas.</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3"/>
                <w:szCs w:val="23"/>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E.15</w:t>
            </w:r>
          </w:p>
        </w:tc>
        <w:tc>
          <w:tcPr>
            <w:tcW w:w="4340" w:type="dxa"/>
            <w:vAlign w:val="bottom"/>
          </w:tcPr>
          <w:p>
            <w:pPr>
              <w:ind w:left="160"/>
              <w:spacing w:after="0"/>
              <w:rPr>
                <w:sz w:val="20"/>
                <w:szCs w:val="20"/>
                <w:color w:val="auto"/>
              </w:rPr>
            </w:pPr>
            <w:r>
              <w:rPr>
                <w:rFonts w:ascii="Arial" w:cs="Arial" w:eastAsia="Arial" w:hAnsi="Arial"/>
                <w:sz w:val="15"/>
                <w:szCs w:val="15"/>
                <w:color w:val="auto"/>
              </w:rPr>
              <w:t>Lighting in tenant areas.</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E.16</w:t>
            </w:r>
          </w:p>
        </w:tc>
        <w:tc>
          <w:tcPr>
            <w:tcW w:w="4340" w:type="dxa"/>
            <w:vAlign w:val="bottom"/>
          </w:tcPr>
          <w:p>
            <w:pPr>
              <w:ind w:left="160"/>
              <w:spacing w:after="0"/>
              <w:rPr>
                <w:sz w:val="20"/>
                <w:szCs w:val="20"/>
                <w:color w:val="auto"/>
              </w:rPr>
            </w:pPr>
            <w:r>
              <w:rPr>
                <w:rFonts w:ascii="Arial" w:cs="Arial" w:eastAsia="Arial" w:hAnsi="Arial"/>
                <w:sz w:val="15"/>
                <w:szCs w:val="15"/>
                <w:color w:val="auto"/>
              </w:rPr>
              <w:t>Lightning protection system for building and Base Building</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Equipment</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E.17</w:t>
            </w:r>
          </w:p>
        </w:tc>
        <w:tc>
          <w:tcPr>
            <w:tcW w:w="4340" w:type="dxa"/>
            <w:vAlign w:val="bottom"/>
          </w:tcPr>
          <w:p>
            <w:pPr>
              <w:ind w:left="160"/>
              <w:spacing w:after="0"/>
              <w:rPr>
                <w:sz w:val="20"/>
                <w:szCs w:val="20"/>
                <w:color w:val="auto"/>
              </w:rPr>
            </w:pPr>
            <w:r>
              <w:rPr>
                <w:rFonts w:ascii="Arial" w:cs="Arial" w:eastAsia="Arial" w:hAnsi="Arial"/>
                <w:sz w:val="15"/>
                <w:szCs w:val="15"/>
                <w:color w:val="auto"/>
              </w:rPr>
              <w:t>Lightning Protection system for tenant equipment</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E.18</w:t>
            </w:r>
          </w:p>
        </w:tc>
        <w:tc>
          <w:tcPr>
            <w:tcW w:w="4340" w:type="dxa"/>
            <w:vAlign w:val="bottom"/>
          </w:tcPr>
          <w:p>
            <w:pPr>
              <w:ind w:left="160"/>
              <w:spacing w:after="0"/>
              <w:rPr>
                <w:sz w:val="20"/>
                <w:szCs w:val="20"/>
                <w:color w:val="auto"/>
              </w:rPr>
            </w:pPr>
            <w:r>
              <w:rPr>
                <w:rFonts w:ascii="Arial" w:cs="Arial" w:eastAsia="Arial" w:hAnsi="Arial"/>
                <w:sz w:val="15"/>
                <w:szCs w:val="15"/>
                <w:color w:val="auto"/>
              </w:rPr>
              <w:t>Base Building telecommunications room and conduit riser</w:t>
            </w:r>
          </w:p>
        </w:tc>
        <w:tc>
          <w:tcPr>
            <w:tcW w:w="20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system.</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3"/>
        </w:trPr>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E.19</w:t>
            </w:r>
          </w:p>
        </w:tc>
        <w:tc>
          <w:tcPr>
            <w:tcW w:w="4340" w:type="dxa"/>
            <w:vAlign w:val="bottom"/>
          </w:tcPr>
          <w:p>
            <w:pPr>
              <w:ind w:left="160"/>
              <w:spacing w:after="0"/>
              <w:rPr>
                <w:sz w:val="20"/>
                <w:szCs w:val="20"/>
                <w:color w:val="auto"/>
              </w:rPr>
            </w:pPr>
            <w:r>
              <w:rPr>
                <w:rFonts w:ascii="Arial" w:cs="Arial" w:eastAsia="Arial" w:hAnsi="Arial"/>
                <w:sz w:val="15"/>
                <w:szCs w:val="15"/>
                <w:color w:val="auto"/>
              </w:rPr>
              <w:t>Tenant – specific communication and Tel-Data cabling</w:t>
            </w:r>
          </w:p>
        </w:tc>
        <w:tc>
          <w:tcPr>
            <w:tcW w:w="2020" w:type="dxa"/>
            <w:vAlign w:val="bottom"/>
          </w:tcPr>
          <w:p>
            <w:pPr>
              <w:spacing w:after="0"/>
              <w:rPr>
                <w:sz w:val="23"/>
                <w:szCs w:val="23"/>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263"/>
        </w:trPr>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5"/>
                <w:szCs w:val="15"/>
                <w:color w:val="auto"/>
              </w:rPr>
              <w:t>E.20</w:t>
            </w:r>
          </w:p>
        </w:tc>
        <w:tc>
          <w:tcPr>
            <w:tcW w:w="4340" w:type="dxa"/>
            <w:vAlign w:val="bottom"/>
          </w:tcPr>
          <w:p>
            <w:pPr>
              <w:ind w:left="160"/>
              <w:spacing w:after="0"/>
              <w:rPr>
                <w:sz w:val="20"/>
                <w:szCs w:val="20"/>
                <w:color w:val="auto"/>
              </w:rPr>
            </w:pPr>
            <w:r>
              <w:rPr>
                <w:rFonts w:ascii="Arial" w:cs="Arial" w:eastAsia="Arial" w:hAnsi="Arial"/>
                <w:sz w:val="15"/>
                <w:szCs w:val="15"/>
                <w:color w:val="auto"/>
              </w:rPr>
              <w:t>Base Building security system to include exterior doors and</w:t>
            </w:r>
          </w:p>
        </w:tc>
        <w:tc>
          <w:tcPr>
            <w:tcW w:w="2020" w:type="dxa"/>
            <w:vAlign w:val="bottom"/>
          </w:tcPr>
          <w:p>
            <w:pPr>
              <w:jc w:val="center"/>
              <w:ind w:right="247"/>
              <w:spacing w:after="0"/>
              <w:rPr>
                <w:sz w:val="20"/>
                <w:szCs w:val="20"/>
                <w:color w:val="auto"/>
              </w:rPr>
            </w:pPr>
            <w:r>
              <w:rPr>
                <w:rFonts w:ascii="Arial" w:cs="Arial" w:eastAsia="Arial" w:hAnsi="Arial"/>
                <w:sz w:val="15"/>
                <w:szCs w:val="15"/>
                <w:color w:val="auto"/>
                <w:w w:val="99"/>
              </w:rPr>
              <w:t>X</w:t>
            </w:r>
          </w:p>
        </w:tc>
        <w:tc>
          <w:tcPr>
            <w:tcW w:w="2000" w:type="dxa"/>
            <w:vAlign w:val="bottom"/>
          </w:tcPr>
          <w:p>
            <w:pPr>
              <w:spacing w:after="0"/>
              <w:rPr>
                <w:sz w:val="22"/>
                <w:szCs w:val="22"/>
                <w:color w:val="auto"/>
              </w:rPr>
            </w:pPr>
          </w:p>
        </w:tc>
      </w:tr>
      <w:tr>
        <w:trPr>
          <w:trHeight w:val="186"/>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40" w:type="dxa"/>
            <w:vAlign w:val="bottom"/>
          </w:tcPr>
          <w:p>
            <w:pPr>
              <w:ind w:left="160"/>
              <w:spacing w:after="0"/>
              <w:rPr>
                <w:sz w:val="20"/>
                <w:szCs w:val="20"/>
                <w:color w:val="auto"/>
              </w:rPr>
            </w:pPr>
            <w:r>
              <w:rPr>
                <w:rFonts w:ascii="Arial" w:cs="Arial" w:eastAsia="Arial" w:hAnsi="Arial"/>
                <w:sz w:val="15"/>
                <w:szCs w:val="15"/>
                <w:color w:val="auto"/>
              </w:rPr>
              <w:t>elevator access</w:t>
            </w: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273" w:lineRule="exact"/>
        <w:rPr>
          <w:sz w:val="20"/>
          <w:szCs w:val="20"/>
          <w:color w:val="auto"/>
        </w:rPr>
      </w:pPr>
    </w:p>
    <w:p>
      <w:pPr>
        <w:jc w:val="right"/>
        <w:spacing w:after="0"/>
        <w:rPr>
          <w:sz w:val="20"/>
          <w:szCs w:val="20"/>
          <w:color w:val="auto"/>
        </w:rPr>
      </w:pPr>
      <w:r>
        <w:rPr>
          <w:rFonts w:ascii="Arial" w:cs="Arial" w:eastAsia="Arial" w:hAnsi="Arial"/>
          <w:sz w:val="15"/>
          <w:szCs w:val="15"/>
          <w:color w:val="8596B0"/>
        </w:rPr>
        <w:t xml:space="preserve">Page </w:t>
      </w:r>
      <w:r>
        <w:rPr>
          <w:rFonts w:ascii="Arial" w:cs="Arial" w:eastAsia="Arial" w:hAnsi="Arial"/>
          <w:sz w:val="15"/>
          <w:szCs w:val="15"/>
          <w:color w:val="000000"/>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130" w:right="239" w:bottom="1440" w:gutter="0" w:footer="0" w:header="0"/>
        </w:sectPr>
      </w:pPr>
    </w:p>
    <w:bookmarkStart w:id="349" w:name="page350"/>
    <w:bookmarkEnd w:id="349"/>
    <w:p>
      <w:pPr>
        <w:spacing w:after="0"/>
        <w:rPr>
          <w:sz w:val="20"/>
          <w:szCs w:val="20"/>
          <w:color w:val="auto"/>
        </w:rPr>
      </w:pPr>
      <w:r>
        <w:rPr>
          <w:rFonts w:ascii="Arial" w:cs="Arial" w:eastAsia="Arial" w:hAnsi="Arial"/>
          <w:sz w:val="15"/>
          <w:szCs w:val="15"/>
          <w:color w:val="auto"/>
        </w:rPr>
        <w:t>200 Sidney Street, Cambridge, MA</w:t>
      </w:r>
    </w:p>
    <w:p>
      <w:pPr>
        <w:spacing w:after="0" w:line="228" w:lineRule="auto"/>
        <w:rPr>
          <w:sz w:val="20"/>
          <w:szCs w:val="20"/>
          <w:color w:val="auto"/>
        </w:rPr>
      </w:pPr>
      <w:r>
        <w:rPr>
          <w:rFonts w:ascii="Arial" w:cs="Arial" w:eastAsia="Arial" w:hAnsi="Arial"/>
          <w:sz w:val="15"/>
          <w:szCs w:val="15"/>
          <w:color w:val="auto"/>
        </w:rPr>
        <w:t>Landlord/Tenant Responsibility Matrix</w:t>
      </w:r>
    </w:p>
    <w:p>
      <w:pPr>
        <w:spacing w:after="0"/>
        <w:rPr>
          <w:sz w:val="20"/>
          <w:szCs w:val="20"/>
          <w:color w:val="auto"/>
        </w:rPr>
      </w:pPr>
      <w:r>
        <w:rPr>
          <w:rFonts w:ascii="Arial" w:cs="Arial" w:eastAsia="Arial" w:hAnsi="Arial"/>
          <w:sz w:val="15"/>
          <w:szCs w:val="15"/>
          <w:color w:val="auto"/>
        </w:rPr>
        <w:t>November 02,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c>
          <w:tcPr>
            <w:tcW w:w="4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LANDLORD</w:t>
            </w:r>
          </w:p>
        </w:tc>
        <w:tc>
          <w:tcPr>
            <w:tcW w:w="20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98"/>
              </w:rPr>
              <w:t>TENANT</w:t>
            </w:r>
          </w:p>
        </w:tc>
      </w:tr>
      <w:tr>
        <w:trPr>
          <w:trHeight w:val="254"/>
        </w:trPr>
        <w:tc>
          <w:tcPr>
            <w:tcW w:w="1540" w:type="dxa"/>
            <w:vAlign w:val="bottom"/>
          </w:tcPr>
          <w:p>
            <w:pPr>
              <w:ind w:left="1100"/>
              <w:spacing w:after="0"/>
              <w:rPr>
                <w:sz w:val="20"/>
                <w:szCs w:val="20"/>
                <w:color w:val="auto"/>
              </w:rPr>
            </w:pPr>
            <w:r>
              <w:rPr>
                <w:rFonts w:ascii="Arial" w:cs="Arial" w:eastAsia="Arial" w:hAnsi="Arial"/>
                <w:sz w:val="15"/>
                <w:szCs w:val="15"/>
                <w:color w:val="auto"/>
              </w:rPr>
              <w:t>E.21</w:t>
            </w:r>
          </w:p>
        </w:tc>
        <w:tc>
          <w:tcPr>
            <w:tcW w:w="4260" w:type="dxa"/>
            <w:vAlign w:val="bottom"/>
          </w:tcPr>
          <w:p>
            <w:pPr>
              <w:ind w:left="180"/>
              <w:spacing w:after="0"/>
              <w:rPr>
                <w:sz w:val="20"/>
                <w:szCs w:val="20"/>
                <w:color w:val="auto"/>
              </w:rPr>
            </w:pPr>
            <w:r>
              <w:rPr>
                <w:rFonts w:ascii="Arial" w:cs="Arial" w:eastAsia="Arial" w:hAnsi="Arial"/>
                <w:sz w:val="15"/>
                <w:szCs w:val="15"/>
                <w:color w:val="auto"/>
                <w:w w:val="99"/>
              </w:rPr>
              <w:t>Tenant security system for Tenant areas integrated with Base</w:t>
            </w:r>
          </w:p>
        </w:tc>
        <w:tc>
          <w:tcPr>
            <w:tcW w:w="2120" w:type="dxa"/>
            <w:vAlign w:val="bottom"/>
          </w:tcPr>
          <w:p>
            <w:pPr>
              <w:spacing w:after="0"/>
              <w:rPr>
                <w:sz w:val="22"/>
                <w:szCs w:val="22"/>
                <w:color w:val="auto"/>
              </w:rPr>
            </w:pPr>
          </w:p>
        </w:tc>
        <w:tc>
          <w:tcPr>
            <w:tcW w:w="2000" w:type="dxa"/>
            <w:vAlign w:val="bottom"/>
          </w:tcPr>
          <w:p>
            <w:pPr>
              <w:jc w:val="center"/>
              <w:ind w:left="7"/>
              <w:spacing w:after="0"/>
              <w:rPr>
                <w:sz w:val="20"/>
                <w:szCs w:val="20"/>
                <w:color w:val="auto"/>
              </w:rPr>
            </w:pPr>
            <w:r>
              <w:rPr>
                <w:rFonts w:ascii="Arial" w:cs="Arial" w:eastAsia="Arial" w:hAnsi="Arial"/>
                <w:sz w:val="15"/>
                <w:szCs w:val="15"/>
                <w:color w:val="auto"/>
              </w:rPr>
              <w:t>X</w:t>
            </w:r>
          </w:p>
        </w:tc>
      </w:tr>
      <w:tr>
        <w:trPr>
          <w:trHeight w:val="186"/>
        </w:trPr>
        <w:tc>
          <w:tcPr>
            <w:tcW w:w="154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Arial" w:cs="Arial" w:eastAsia="Arial" w:hAnsi="Arial"/>
                <w:sz w:val="15"/>
                <w:szCs w:val="15"/>
                <w:color w:val="auto"/>
              </w:rPr>
              <w:t>Building system.</w:t>
            </w:r>
          </w:p>
        </w:tc>
        <w:tc>
          <w:tcPr>
            <w:tcW w:w="212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327" w:lineRule="exact"/>
        <w:rPr>
          <w:sz w:val="20"/>
          <w:szCs w:val="20"/>
          <w:color w:val="auto"/>
        </w:rPr>
      </w:pPr>
    </w:p>
    <w:p>
      <w:pPr>
        <w:jc w:val="right"/>
        <w:spacing w:after="0"/>
        <w:rPr>
          <w:sz w:val="20"/>
          <w:szCs w:val="20"/>
          <w:color w:val="auto"/>
        </w:rPr>
      </w:pPr>
      <w:r>
        <w:rPr>
          <w:rFonts w:ascii="Arial" w:cs="Arial" w:eastAsia="Arial" w:hAnsi="Arial"/>
          <w:sz w:val="15"/>
          <w:szCs w:val="15"/>
          <w:color w:val="8596B0"/>
        </w:rPr>
        <w:t xml:space="preserve">Page </w:t>
      </w:r>
      <w:r>
        <w:rPr>
          <w:rFonts w:ascii="Arial" w:cs="Arial" w:eastAsia="Arial" w:hAnsi="Arial"/>
          <w:sz w:val="15"/>
          <w:szCs w:val="15"/>
          <w:color w:val="000000"/>
        </w:rPr>
        <w:t>5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312025"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130"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t>EXHIBIT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letterhead or L/C letterhead of Issuer]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w:t>
      </w:r>
    </w:p>
    <w:p>
      <w:pPr>
        <w:spacing w:after="0" w:line="19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4445</wp:posOffset>
            </wp:positionV>
            <wp:extent cx="188214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82140" cy="6985"/>
                    </a:xfrm>
                    <a:prstGeom prst="rect">
                      <a:avLst/>
                    </a:prstGeom>
                    <a:noFill/>
                  </pic:spPr>
                </pic:pic>
              </a:graphicData>
            </a:graphic>
          </wp:anchor>
        </w:drawing>
      </w:r>
    </w:p>
    <w:p>
      <w:pPr>
        <w:spacing w:after="0" w:line="17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Beneficiary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22948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294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222948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229485" cy="698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4445</wp:posOffset>
            </wp:positionV>
            <wp:extent cx="134747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4747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222948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29485"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L/C.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-3810</wp:posOffset>
            </wp:positionV>
            <wp:extent cx="134747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Loan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-3810</wp:posOffset>
            </wp:positionV>
            <wp:extent cx="134747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ind w:firstLine="520"/>
        <w:spacing w:after="0" w:line="265" w:lineRule="auto"/>
        <w:rPr>
          <w:sz w:val="20"/>
          <w:szCs w:val="20"/>
          <w:color w:val="auto"/>
        </w:rPr>
      </w:pPr>
      <w:r>
        <w:rPr>
          <w:rFonts w:ascii="Arial" w:cs="Arial" w:eastAsia="Arial" w:hAnsi="Arial"/>
          <w:sz w:val="16"/>
          <w:szCs w:val="16"/>
          <w:color w:val="auto"/>
        </w:rPr>
        <w:t>We establish in favor of Beneficiary our irrevocable and unconditional Letter of Credit numbered as identified above (the “</w:t>
      </w:r>
      <w:r>
        <w:rPr>
          <w:rFonts w:ascii="Arial" w:cs="Arial" w:eastAsia="Arial" w:hAnsi="Arial"/>
          <w:sz w:val="16"/>
          <w:szCs w:val="16"/>
          <w:u w:val="single" w:color="auto"/>
          <w:color w:val="auto"/>
        </w:rPr>
        <w:t>L/C</w:t>
      </w:r>
      <w:r>
        <w:rPr>
          <w:rFonts w:ascii="Arial" w:cs="Arial" w:eastAsia="Arial" w:hAnsi="Arial"/>
          <w:sz w:val="16"/>
          <w:szCs w:val="16"/>
          <w:color w:val="auto"/>
        </w:rPr>
        <w:t>”) for an aggregate amount of $_______, expiring at __:00 p.m. on _______ or, if such day is not a Banking Day, then the next succeeding Banking Day (such date, as extended from time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time, the “</w:t>
      </w:r>
      <w:r>
        <w:rPr>
          <w:rFonts w:ascii="Arial" w:cs="Arial" w:eastAsia="Arial" w:hAnsi="Arial"/>
          <w:sz w:val="16"/>
          <w:szCs w:val="16"/>
          <w:u w:val="single" w:color="auto"/>
          <w:color w:val="auto"/>
        </w:rPr>
        <w:t>Expiry Date</w:t>
      </w:r>
      <w:r>
        <w:rPr>
          <w:rFonts w:ascii="Arial" w:cs="Arial" w:eastAsia="Arial" w:hAnsi="Arial"/>
          <w:sz w:val="16"/>
          <w:szCs w:val="16"/>
          <w:color w:val="auto"/>
        </w:rPr>
        <w:t>”). “</w:t>
      </w:r>
      <w:r>
        <w:rPr>
          <w:rFonts w:ascii="Arial" w:cs="Arial" w:eastAsia="Arial" w:hAnsi="Arial"/>
          <w:sz w:val="16"/>
          <w:szCs w:val="16"/>
          <w:u w:val="single" w:color="auto"/>
          <w:color w:val="auto"/>
        </w:rPr>
        <w:t>Banking Day</w:t>
      </w:r>
      <w:r>
        <w:rPr>
          <w:rFonts w:ascii="Arial" w:cs="Arial" w:eastAsia="Arial" w:hAnsi="Arial"/>
          <w:sz w:val="16"/>
          <w:szCs w:val="16"/>
          <w:color w:val="auto"/>
        </w:rPr>
        <w:t>” means a weekday except a weekday when commercial banks in _____________ are authorized or required to close.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authorize Beneficiary to draw on us (the “</w:t>
      </w:r>
      <w:r>
        <w:rPr>
          <w:rFonts w:ascii="Arial" w:cs="Arial" w:eastAsia="Arial" w:hAnsi="Arial"/>
          <w:sz w:val="15"/>
          <w:szCs w:val="15"/>
          <w:u w:val="single" w:color="auto"/>
          <w:color w:val="auto"/>
        </w:rPr>
        <w:t>Issuer</w:t>
      </w:r>
      <w:r>
        <w:rPr>
          <w:rFonts w:ascii="Arial" w:cs="Arial" w:eastAsia="Arial" w:hAnsi="Arial"/>
          <w:sz w:val="15"/>
          <w:szCs w:val="15"/>
          <w:color w:val="auto"/>
        </w:rPr>
        <w:t>”) for the account of _______ (the “</w:t>
      </w:r>
      <w:r>
        <w:rPr>
          <w:rFonts w:ascii="Arial" w:cs="Arial" w:eastAsia="Arial" w:hAnsi="Arial"/>
          <w:sz w:val="15"/>
          <w:szCs w:val="15"/>
          <w:u w:val="single" w:color="auto"/>
          <w:color w:val="auto"/>
        </w:rPr>
        <w:t>Account Party</w:t>
      </w:r>
      <w:r>
        <w:rPr>
          <w:rFonts w:ascii="Arial" w:cs="Arial" w:eastAsia="Arial" w:hAnsi="Arial"/>
          <w:sz w:val="15"/>
          <w:szCs w:val="15"/>
          <w:color w:val="auto"/>
        </w:rPr>
        <w:t>”), under the terms and conditions of this L/C.</w:t>
      </w:r>
    </w:p>
    <w:p>
      <w:pPr>
        <w:spacing w:after="0" w:line="178" w:lineRule="exact"/>
        <w:rPr>
          <w:sz w:val="20"/>
          <w:szCs w:val="20"/>
          <w:color w:val="auto"/>
        </w:rPr>
      </w:pPr>
    </w:p>
    <w:p>
      <w:pPr>
        <w:jc w:val="both"/>
        <w:ind w:firstLine="520"/>
        <w:spacing w:after="0" w:line="262" w:lineRule="auto"/>
        <w:rPr>
          <w:sz w:val="20"/>
          <w:szCs w:val="20"/>
          <w:color w:val="auto"/>
        </w:rPr>
      </w:pPr>
      <w:r>
        <w:rPr>
          <w:rFonts w:ascii="Arial" w:cs="Arial" w:eastAsia="Arial" w:hAnsi="Arial"/>
          <w:sz w:val="15"/>
          <w:szCs w:val="15"/>
          <w:color w:val="auto"/>
        </w:rPr>
        <w:t>Funds under this L/C are available by presenting the following documentation (the “</w:t>
      </w:r>
      <w:r>
        <w:rPr>
          <w:rFonts w:ascii="Arial" w:cs="Arial" w:eastAsia="Arial" w:hAnsi="Arial"/>
          <w:sz w:val="15"/>
          <w:szCs w:val="15"/>
          <w:u w:val="single" w:color="auto"/>
          <w:color w:val="auto"/>
        </w:rPr>
        <w:t>Drawing Documentation</w:t>
      </w:r>
      <w:r>
        <w:rPr>
          <w:rFonts w:ascii="Arial" w:cs="Arial" w:eastAsia="Arial" w:hAnsi="Arial"/>
          <w:sz w:val="15"/>
          <w:szCs w:val="15"/>
          <w:color w:val="auto"/>
        </w:rPr>
        <w:t xml:space="preserve">”): (a) the original L/C and (b) a sight draft substantially in the form of </w:t>
      </w:r>
      <w:r>
        <w:rPr>
          <w:rFonts w:ascii="Arial" w:cs="Arial" w:eastAsia="Arial" w:hAnsi="Arial"/>
          <w:sz w:val="15"/>
          <w:szCs w:val="15"/>
          <w:u w:val="single" w:color="auto"/>
          <w:color w:val="auto"/>
        </w:rPr>
        <w:t>Attachment 1</w:t>
      </w:r>
      <w:r>
        <w:rPr>
          <w:rFonts w:ascii="Arial" w:cs="Arial" w:eastAsia="Arial" w:hAnsi="Arial"/>
          <w:sz w:val="15"/>
          <w:szCs w:val="15"/>
          <w:color w:val="auto"/>
        </w:rPr>
        <w:t>, with blanks filled in and bracketed items provided as appropriate. No other evidence of authority, certificate, or documentation is required.</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Drawing Documentation must be presented at Issuer’s office at ____________ on or before the Expiry Date by personal presentation, courier or messenger service, or fax. Presentation by</w:t>
      </w:r>
    </w:p>
    <w:p>
      <w:pPr>
        <w:spacing w:after="0" w:line="4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fax shall be effective upon electronic confirmation of transmission as evidenced by a printed report from the sender’s fax machine. After any fax presentation, but not as a condition to its effectiveness, Beneficiary shall with reasonable promptness deliver the original Drawing Documentation by any other means. Issuer will on request issue a receipt for Drawing Documentation.</w:t>
      </w:r>
    </w:p>
    <w:p>
      <w:pPr>
        <w:spacing w:after="0" w:line="91" w:lineRule="exact"/>
        <w:rPr>
          <w:sz w:val="20"/>
          <w:szCs w:val="20"/>
          <w:color w:val="auto"/>
        </w:rPr>
      </w:pPr>
    </w:p>
    <w:p>
      <w:pPr>
        <w:jc w:val="both"/>
        <w:ind w:firstLine="520"/>
        <w:spacing w:after="0" w:line="262" w:lineRule="auto"/>
        <w:rPr>
          <w:sz w:val="20"/>
          <w:szCs w:val="20"/>
          <w:color w:val="auto"/>
        </w:rPr>
      </w:pPr>
      <w:r>
        <w:rPr>
          <w:rFonts w:ascii="Arial" w:cs="Arial" w:eastAsia="Arial" w:hAnsi="Arial"/>
          <w:sz w:val="15"/>
          <w:szCs w:val="15"/>
          <w:color w:val="auto"/>
        </w:rPr>
        <w:t xml:space="preserve">We agree, irrevocably, and irrespective of any claim by any other person, to honor drafts drawn under and in conformity with this L/C, within the maximum amount of this L/C, presented to us on or before the Expiry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we also receive (on or before the Expiry Date) any other Drawing Documentation this L/C requires.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shall pay this L/C only from our own funds by check or wire transfer, in compliance with the Drawing Documentation.</w:t>
      </w:r>
    </w:p>
    <w:p>
      <w:pPr>
        <w:spacing w:after="0" w:line="178" w:lineRule="exact"/>
        <w:rPr>
          <w:sz w:val="20"/>
          <w:szCs w:val="20"/>
          <w:color w:val="auto"/>
        </w:rPr>
      </w:pPr>
    </w:p>
    <w:p>
      <w:pPr>
        <w:jc w:val="both"/>
        <w:ind w:firstLine="520"/>
        <w:spacing w:after="0" w:line="249" w:lineRule="auto"/>
        <w:rPr>
          <w:sz w:val="20"/>
          <w:szCs w:val="20"/>
          <w:color w:val="auto"/>
        </w:rPr>
      </w:pPr>
      <w:r>
        <w:rPr>
          <w:rFonts w:ascii="Arial" w:cs="Arial" w:eastAsia="Arial" w:hAnsi="Arial"/>
          <w:sz w:val="15"/>
          <w:szCs w:val="15"/>
          <w:color w:val="auto"/>
        </w:rPr>
        <w:t>If Beneficiary presents proper Drawing Documentation to us on or before the Expiry Date, then we shall pay under this L/C at or before the following time (the “</w:t>
      </w:r>
      <w:r>
        <w:rPr>
          <w:rFonts w:ascii="Arial" w:cs="Arial" w:eastAsia="Arial" w:hAnsi="Arial"/>
          <w:sz w:val="15"/>
          <w:szCs w:val="15"/>
          <w:u w:val="single" w:color="auto"/>
          <w:color w:val="auto"/>
        </w:rPr>
        <w:t>Payment Deadline</w:t>
      </w:r>
      <w:r>
        <w:rPr>
          <w:rFonts w:ascii="Arial" w:cs="Arial" w:eastAsia="Arial" w:hAnsi="Arial"/>
          <w:sz w:val="15"/>
          <w:szCs w:val="15"/>
          <w:color w:val="auto"/>
        </w:rPr>
        <w:t>”): (a) if presentment is made at or before noon of any Banking Day, then the close of such Banking Day; and (b) otherwise, the close of the next Banking Day. We waive any right to delay payment beyond the Payment Deadline. If we determine that Drawing Documentation is not proper, then we shall so advise Beneficiary in writing, specifying all grounds for our determination, within one Banking Day after the Payment Deadline.</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Partial drawings are permitted. This L/C shall, except to the extent reduced thereby, survive any partial drawings.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shall have no duty or right to inquire into the validity of or basis for any draw under this L/C or any Drawing Documentation. We waive any defense based on fraud or any claim of</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fraud.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51" w:name="page352"/>
    <w:bookmarkEnd w:id="351"/>
    <w:p>
      <w:pPr>
        <w:ind w:left="520"/>
        <w:spacing w:after="0"/>
        <w:rPr>
          <w:sz w:val="20"/>
          <w:szCs w:val="20"/>
          <w:color w:val="auto"/>
        </w:rPr>
      </w:pPr>
      <w:r>
        <w:rPr>
          <w:rFonts w:ascii="Arial" w:cs="Arial" w:eastAsia="Arial" w:hAnsi="Arial"/>
          <w:sz w:val="16"/>
          <w:szCs w:val="16"/>
          <w:color w:val="auto"/>
        </w:rPr>
        <w:t>The Expiry Date shall automatically be extended by one year (but never beyond _____ (the “</w:t>
      </w:r>
      <w:r>
        <w:rPr>
          <w:rFonts w:ascii="Arial" w:cs="Arial" w:eastAsia="Arial" w:hAnsi="Arial"/>
          <w:sz w:val="16"/>
          <w:szCs w:val="16"/>
          <w:u w:val="single" w:color="auto"/>
          <w:color w:val="auto"/>
        </w:rPr>
        <w:t>Outside Date</w:t>
      </w:r>
      <w:r>
        <w:rPr>
          <w:rFonts w:ascii="Arial" w:cs="Arial" w:eastAsia="Arial" w:hAnsi="Arial"/>
          <w:sz w:val="16"/>
          <w:szCs w:val="16"/>
          <w:color w:val="auto"/>
        </w:rPr>
        <w:t>”)) unless, on or before the date 90 days before</w:t>
      </w:r>
    </w:p>
    <w:p>
      <w:pPr>
        <w:spacing w:after="0" w:line="2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any Expiry Date, we have given Beneficiary notice that the Expiry Date shall not be so extended (a “</w:t>
      </w:r>
      <w:r>
        <w:rPr>
          <w:rFonts w:ascii="Arial" w:cs="Arial" w:eastAsia="Arial" w:hAnsi="Arial"/>
          <w:sz w:val="18"/>
          <w:szCs w:val="18"/>
          <w:u w:val="single" w:color="auto"/>
          <w:color w:val="auto"/>
        </w:rPr>
        <w:t>Nonrenewal Notice</w:t>
      </w:r>
      <w:r>
        <w:rPr>
          <w:rFonts w:ascii="Arial" w:cs="Arial" w:eastAsia="Arial" w:hAnsi="Arial"/>
          <w:sz w:val="18"/>
          <w:szCs w:val="18"/>
          <w:color w:val="auto"/>
        </w:rPr>
        <w:t>”). We shall promptly upon request confirm any extension of the Expiry Date under the preceding sentence by issuing an amendment to this L/C, but such an amendment is not required for the extension to be effective. We need not give any notice of the Outside Date.</w:t>
      </w:r>
    </w:p>
    <w:p>
      <w:pPr>
        <w:spacing w:after="0" w:line="158" w:lineRule="exact"/>
        <w:rPr>
          <w:sz w:val="20"/>
          <w:szCs w:val="20"/>
          <w:color w:val="auto"/>
        </w:rPr>
      </w:pPr>
    </w:p>
    <w:p>
      <w:pPr>
        <w:jc w:val="both"/>
        <w:ind w:firstLine="520"/>
        <w:spacing w:after="0" w:line="248" w:lineRule="auto"/>
        <w:rPr>
          <w:sz w:val="20"/>
          <w:szCs w:val="20"/>
          <w:color w:val="auto"/>
        </w:rPr>
      </w:pPr>
      <w:r>
        <w:rPr>
          <w:rFonts w:ascii="Arial" w:cs="Arial" w:eastAsia="Arial" w:hAnsi="Arial"/>
          <w:sz w:val="15"/>
          <w:szCs w:val="15"/>
          <w:color w:val="auto"/>
        </w:rPr>
        <w:t>Beneficiary may from time to time without charge transfer this L/C, in whole but not in part, to any transferee (the “</w:t>
      </w:r>
      <w:r>
        <w:rPr>
          <w:rFonts w:ascii="Arial" w:cs="Arial" w:eastAsia="Arial" w:hAnsi="Arial"/>
          <w:sz w:val="15"/>
          <w:szCs w:val="15"/>
          <w:u w:val="single" w:color="auto"/>
          <w:color w:val="auto"/>
        </w:rPr>
        <w:t>Transferee</w:t>
      </w:r>
      <w:r>
        <w:rPr>
          <w:rFonts w:ascii="Arial" w:cs="Arial" w:eastAsia="Arial" w:hAnsi="Arial"/>
          <w:sz w:val="15"/>
          <w:szCs w:val="15"/>
          <w:color w:val="auto"/>
        </w:rPr>
        <w:t xml:space="preserve">”). Issuer shall look solely to Account Party for payment of any fee for any transfer of this L/C. Such payment is not a condition to any such transfer. Beneficiary or Transferee shall consummate such transfer by delivering to Issuer the original of this L/C and a Transfer Notice substantially in the form of </w:t>
      </w:r>
      <w:r>
        <w:rPr>
          <w:rFonts w:ascii="Arial" w:cs="Arial" w:eastAsia="Arial" w:hAnsi="Arial"/>
          <w:sz w:val="15"/>
          <w:szCs w:val="15"/>
          <w:u w:val="single" w:color="auto"/>
          <w:color w:val="auto"/>
        </w:rPr>
        <w:t>Attachment 2</w:t>
      </w:r>
      <w:r>
        <w:rPr>
          <w:rFonts w:ascii="Arial" w:cs="Arial" w:eastAsia="Arial" w:hAnsi="Arial"/>
          <w:sz w:val="15"/>
          <w:szCs w:val="15"/>
          <w:color w:val="auto"/>
        </w:rPr>
        <w:t>, purportedly signed by Beneficiary, and designating Transferee. Issuer shall promptly reissue or amend this L/C in favor of Transferee as Beneficiary. Upon any transfer, all references to Beneficiary shall automatically refer to Transferee, who may then exercise all rights of Beneficiary. Issuer expressly consents to any transfers made from time to time in compliance with this paragraph.</w:t>
      </w:r>
    </w:p>
    <w:p>
      <w:pPr>
        <w:spacing w:after="0" w:line="159" w:lineRule="exact"/>
        <w:rPr>
          <w:sz w:val="20"/>
          <w:szCs w:val="20"/>
          <w:color w:val="auto"/>
        </w:rPr>
      </w:pPr>
    </w:p>
    <w:p>
      <w:pPr>
        <w:jc w:val="both"/>
        <w:ind w:firstLine="520"/>
        <w:spacing w:after="0" w:line="313" w:lineRule="auto"/>
        <w:rPr>
          <w:sz w:val="20"/>
          <w:szCs w:val="20"/>
          <w:color w:val="auto"/>
        </w:rPr>
      </w:pPr>
      <w:r>
        <w:rPr>
          <w:rFonts w:ascii="Arial" w:cs="Arial" w:eastAsia="Arial" w:hAnsi="Arial"/>
          <w:sz w:val="12"/>
          <w:szCs w:val="12"/>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 A copy of any such notice shall also be delivered, as a condition to the effectiveness of such notice,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___________ (or such replacement as Beneficiary designates from time to time by written notice).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 amendment that adversely affects Beneficiary shall be effective without Beneficiary’s written consent.</w:t>
      </w:r>
    </w:p>
    <w:p>
      <w:pPr>
        <w:spacing w:after="0" w:line="171" w:lineRule="exact"/>
        <w:rPr>
          <w:sz w:val="20"/>
          <w:szCs w:val="20"/>
          <w:color w:val="auto"/>
        </w:rPr>
      </w:pPr>
    </w:p>
    <w:p>
      <w:pPr>
        <w:jc w:val="both"/>
        <w:ind w:firstLine="520"/>
        <w:spacing w:after="0" w:line="245" w:lineRule="auto"/>
        <w:rPr>
          <w:sz w:val="20"/>
          <w:szCs w:val="20"/>
          <w:color w:val="auto"/>
        </w:rPr>
      </w:pPr>
      <w:r>
        <w:rPr>
          <w:rFonts w:ascii="Arial" w:cs="Arial" w:eastAsia="Arial" w:hAnsi="Arial"/>
          <w:sz w:val="18"/>
          <w:szCs w:val="18"/>
          <w:color w:val="auto"/>
        </w:rPr>
        <w:t>This L/C is subject to and incorporates by reference: (a) the International Standby Practices 98 (“</w:t>
      </w:r>
      <w:r>
        <w:rPr>
          <w:rFonts w:ascii="Arial" w:cs="Arial" w:eastAsia="Arial" w:hAnsi="Arial"/>
          <w:sz w:val="18"/>
          <w:szCs w:val="18"/>
          <w:u w:val="single" w:color="auto"/>
          <w:color w:val="auto"/>
        </w:rPr>
        <w:t>ISP 98</w:t>
      </w:r>
      <w:r>
        <w:rPr>
          <w:rFonts w:ascii="Arial" w:cs="Arial" w:eastAsia="Arial" w:hAnsi="Arial"/>
          <w:sz w:val="18"/>
          <w:szCs w:val="18"/>
          <w:color w:val="auto"/>
        </w:rPr>
        <w:t>”); and (b) to the extent not inconsistent with ISP 98, Article 5 of the Uniform Commercial Code of the State of New York.</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1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[Issuer Signature]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3" w:right="21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8"/>
          <w:szCs w:val="18"/>
          <w:b w:val="1"/>
          <w:bCs w:val="1"/>
          <w:color w:val="auto"/>
        </w:rPr>
        <w:t>ATTACHMENT 1 TO 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SIGHT DRAFT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ENEFICIARY</w:t>
      </w:r>
      <w:r>
        <w:rPr>
          <w:rFonts w:ascii="Arial" w:cs="Arial" w:eastAsia="Arial" w:hAnsi="Arial"/>
          <w:sz w:val="18"/>
          <w:szCs w:val="18"/>
          <w:color w:val="auto"/>
        </w:rPr>
        <w:t xml:space="preserve"> L</w:t>
      </w:r>
      <w:r>
        <w:rPr>
          <w:rFonts w:ascii="Arial" w:cs="Arial" w:eastAsia="Arial" w:hAnsi="Arial"/>
          <w:sz w:val="12"/>
          <w:szCs w:val="12"/>
          <w:color w:val="auto"/>
        </w:rPr>
        <w:t>ETTERHEAD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Issuer]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SIGHT DRAFT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SIGHT, pay to the Order of ______________, the sum of ______________ United States Dollars ($______________). Drawn under [Issuer] Letter of Credit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 ______________ dated ______________.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[Issuer is hereby directed to pay the proceeds of this Sight Draft solely to the following account: _________________________.]</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and signature block, with signature or purported signature of Beneficiary]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6" w:right="21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t>ATTACHMENT 2 TO 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TRANSFER NOTICE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ENEFICIARY</w:t>
      </w:r>
      <w:r>
        <w:rPr>
          <w:rFonts w:ascii="Arial" w:cs="Arial" w:eastAsia="Arial" w:hAnsi="Arial"/>
          <w:sz w:val="18"/>
          <w:szCs w:val="18"/>
          <w:color w:val="auto"/>
        </w:rPr>
        <w:t xml:space="preserve"> L</w:t>
      </w:r>
      <w:r>
        <w:rPr>
          <w:rFonts w:ascii="Arial" w:cs="Arial" w:eastAsia="Arial" w:hAnsi="Arial"/>
          <w:sz w:val="12"/>
          <w:szCs w:val="12"/>
          <w:color w:val="auto"/>
        </w:rPr>
        <w:t>ETTERHEAD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Issuer]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NOTICE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the undersigned, Beneficiary (the “</w:t>
      </w:r>
      <w:r>
        <w:rPr>
          <w:rFonts w:ascii="Arial" w:cs="Arial" w:eastAsia="Arial" w:hAnsi="Arial"/>
          <w:sz w:val="16"/>
          <w:szCs w:val="16"/>
          <w:u w:val="single" w:color="auto"/>
          <w:color w:val="auto"/>
        </w:rPr>
        <w:t>Beneficiary</w:t>
      </w:r>
      <w:r>
        <w:rPr>
          <w:rFonts w:ascii="Arial" w:cs="Arial" w:eastAsia="Arial" w:hAnsi="Arial"/>
          <w:sz w:val="16"/>
          <w:szCs w:val="16"/>
          <w:color w:val="auto"/>
        </w:rPr>
        <w:t>”) under Issuer’s Letter of Credit No. ______________ dated ______________ (the “</w:t>
      </w:r>
      <w:r>
        <w:rPr>
          <w:rFonts w:ascii="Arial" w:cs="Arial" w:eastAsia="Arial" w:hAnsi="Arial"/>
          <w:sz w:val="16"/>
          <w:szCs w:val="16"/>
          <w:u w:val="single" w:color="auto"/>
          <w:color w:val="auto"/>
        </w:rPr>
        <w:t>L/C</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transfers the L/C to the following transferee (the “</w:t>
      </w:r>
      <w:r>
        <w:rPr>
          <w:rFonts w:ascii="Arial" w:cs="Arial" w:eastAsia="Arial" w:hAnsi="Arial"/>
          <w:sz w:val="18"/>
          <w:szCs w:val="18"/>
          <w:u w:val="single" w:color="auto"/>
          <w:color w:val="auto"/>
        </w:rPr>
        <w:t>Transferee</w:t>
      </w:r>
      <w:r>
        <w:rPr>
          <w:rFonts w:ascii="Arial" w:cs="Arial" w:eastAsia="Arial" w:hAnsi="Arial"/>
          <w:sz w:val="18"/>
          <w:szCs w:val="18"/>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[Transferee Name and Address]</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original L/C is enclosed. Beneficiary directs Issuer to reissue or amend the L/C in favor of Transferee as Beneficiary. Beneficiary represents and warrants that Beneficiary has not transferred, assigned, or encumbered the L/C or any interest in the L/C, which transfer, assignment, or encumbrance remains in effect.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[Name and signature block, with signature or purported signature of Beneficiary]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6" w:right="219" w:bottom="1440" w:gutter="0" w:footer="0" w:header="0"/>
        </w:sectPr>
      </w:pPr>
    </w:p>
    <w:bookmarkStart w:id="354" w:name="page355"/>
    <w:bookmarkEnd w:id="354"/>
    <w:p>
      <w:pPr>
        <w:jc w:val="center"/>
        <w:ind w:right="-20"/>
        <w:spacing w:after="0"/>
        <w:rPr>
          <w:sz w:val="20"/>
          <w:szCs w:val="20"/>
          <w:color w:val="auto"/>
        </w:rPr>
      </w:pPr>
      <w:r>
        <w:rPr>
          <w:rFonts w:ascii="Arial" w:cs="Arial" w:eastAsia="Arial" w:hAnsi="Arial"/>
          <w:sz w:val="15"/>
          <w:szCs w:val="15"/>
          <w:b w:val="1"/>
          <w:bCs w:val="1"/>
          <w:color w:val="auto"/>
        </w:rPr>
        <w:t>EXHIBIT F</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609600</wp:posOffset>
            </wp:positionV>
            <wp:extent cx="7312025"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5"/>
          <w:szCs w:val="15"/>
          <w:b w:val="1"/>
          <w:bCs w:val="1"/>
          <w:color w:val="auto"/>
        </w:rPr>
        <w:t>EXHIBIT 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RULES AND REGULATIONS</w:t>
      </w:r>
    </w:p>
    <w:p>
      <w:pPr>
        <w:spacing w:after="0" w:line="182"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NOTHING IN THESE RULES AND REGULATIONS (“</w:t>
      </w:r>
      <w:r>
        <w:rPr>
          <w:rFonts w:ascii="Arial" w:cs="Arial" w:eastAsia="Arial" w:hAnsi="Arial"/>
          <w:sz w:val="15"/>
          <w:szCs w:val="15"/>
          <w:u w:val="single" w:color="auto"/>
          <w:color w:val="auto"/>
        </w:rPr>
        <w:t>RULES AND REGULATIONS</w:t>
      </w:r>
      <w:r>
        <w:rPr>
          <w:rFonts w:ascii="Arial" w:cs="Arial" w:eastAsia="Arial" w:hAnsi="Arial"/>
          <w:sz w:val="15"/>
          <w:szCs w:val="15"/>
          <w:color w:val="auto"/>
        </w:rPr>
        <w:t>”) SHALL SUPPLANT ANY PROVISION OF THE LEASE. IN THE EVENT OF A CONFLICT OR INCONSISTENCY BETWEEN THESE RULES AND REGULATIONS AND THE LEASE, THE LEASE SHALL PREVAIL.</w:t>
      </w:r>
    </w:p>
    <w:p>
      <w:pPr>
        <w:spacing w:after="0" w:line="148" w:lineRule="exact"/>
        <w:rPr>
          <w:sz w:val="20"/>
          <w:szCs w:val="20"/>
          <w:color w:val="auto"/>
        </w:rPr>
      </w:pPr>
    </w:p>
    <w:p>
      <w:pPr>
        <w:ind w:firstLine="527"/>
        <w:spacing w:after="0" w:line="262" w:lineRule="auto"/>
        <w:tabs>
          <w:tab w:leader="none" w:pos="668" w:val="left"/>
        </w:tabs>
        <w:numPr>
          <w:ilvl w:val="0"/>
          <w:numId w:val="213"/>
        </w:numPr>
        <w:rPr>
          <w:rFonts w:ascii="Arial" w:cs="Arial" w:eastAsia="Arial" w:hAnsi="Arial"/>
          <w:sz w:val="15"/>
          <w:szCs w:val="15"/>
          <w:color w:val="auto"/>
        </w:rPr>
      </w:pPr>
      <w:r>
        <w:rPr>
          <w:rFonts w:ascii="Arial" w:cs="Arial" w:eastAsia="Arial" w:hAnsi="Arial"/>
          <w:sz w:val="15"/>
          <w:szCs w:val="15"/>
          <w:color w:val="auto"/>
        </w:rPr>
        <w:t>No Tenant Party shall encumber or obstruct the common entrances, lobbies, elevators, sidewalks and stairways of the Building(s) or the Project or use them for any purposes other than ingress or egress to and from the Building(s) or the Project.</w:t>
      </w:r>
    </w:p>
    <w:p>
      <w:pPr>
        <w:spacing w:after="0" w:line="148" w:lineRule="exact"/>
        <w:rPr>
          <w:rFonts w:ascii="Arial" w:cs="Arial" w:eastAsia="Arial" w:hAnsi="Arial"/>
          <w:sz w:val="15"/>
          <w:szCs w:val="15"/>
          <w:color w:val="auto"/>
        </w:rPr>
      </w:pPr>
    </w:p>
    <w:p>
      <w:pPr>
        <w:jc w:val="both"/>
        <w:ind w:firstLine="527"/>
        <w:spacing w:after="0" w:line="252" w:lineRule="auto"/>
        <w:tabs>
          <w:tab w:leader="none" w:pos="676" w:val="left"/>
        </w:tabs>
        <w:numPr>
          <w:ilvl w:val="0"/>
          <w:numId w:val="213"/>
        </w:numPr>
        <w:rPr>
          <w:rFonts w:ascii="Arial" w:cs="Arial" w:eastAsia="Arial" w:hAnsi="Arial"/>
          <w:sz w:val="15"/>
          <w:szCs w:val="15"/>
          <w:color w:val="auto"/>
        </w:rPr>
      </w:pPr>
      <w:r>
        <w:rPr>
          <w:rFonts w:ascii="Arial" w:cs="Arial" w:eastAsia="Arial" w:hAnsi="Arial"/>
          <w:sz w:val="15"/>
          <w:szCs w:val="15"/>
          <w:color w:val="auto"/>
        </w:rPr>
        <w:t>Except as specifically provided in the Lease, no sign, placard, picture, advertisement, name or notice shall be installed or displayed on any part of the outside of the Premises or the Building(s) without Landlord’s prior written consent. Landlord shall have the right to remove, at Tenant’s sole cost and expense and without notice, any sign installed or displayed in violation of this rule.</w:t>
      </w:r>
    </w:p>
    <w:p>
      <w:pPr>
        <w:spacing w:after="0" w:line="156" w:lineRule="exact"/>
        <w:rPr>
          <w:rFonts w:ascii="Arial" w:cs="Arial" w:eastAsia="Arial" w:hAnsi="Arial"/>
          <w:sz w:val="15"/>
          <w:szCs w:val="15"/>
          <w:color w:val="auto"/>
        </w:rPr>
      </w:pPr>
    </w:p>
    <w:p>
      <w:pPr>
        <w:jc w:val="both"/>
        <w:ind w:firstLine="527"/>
        <w:spacing w:after="0" w:line="346" w:lineRule="auto"/>
        <w:tabs>
          <w:tab w:leader="none" w:pos="667" w:val="left"/>
        </w:tabs>
        <w:numPr>
          <w:ilvl w:val="0"/>
          <w:numId w:val="213"/>
        </w:numPr>
        <w:rPr>
          <w:rFonts w:ascii="Arial" w:cs="Arial" w:eastAsia="Arial" w:hAnsi="Arial"/>
          <w:sz w:val="12"/>
          <w:szCs w:val="12"/>
          <w:color w:val="auto"/>
        </w:rPr>
      </w:pPr>
      <w:r>
        <w:rPr>
          <w:rFonts w:ascii="Arial" w:cs="Arial" w:eastAsia="Arial" w:hAnsi="Arial"/>
          <w:sz w:val="12"/>
          <w:szCs w:val="12"/>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 (b)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103" w:lineRule="exact"/>
        <w:rPr>
          <w:rFonts w:ascii="Arial" w:cs="Arial" w:eastAsia="Arial" w:hAnsi="Arial"/>
          <w:sz w:val="12"/>
          <w:szCs w:val="12"/>
          <w:color w:val="auto"/>
        </w:rPr>
      </w:pPr>
    </w:p>
    <w:p>
      <w:pPr>
        <w:jc w:val="both"/>
        <w:ind w:firstLine="527"/>
        <w:spacing w:after="0" w:line="346" w:lineRule="auto"/>
        <w:tabs>
          <w:tab w:leader="none" w:pos="667" w:val="left"/>
        </w:tabs>
        <w:numPr>
          <w:ilvl w:val="0"/>
          <w:numId w:val="213"/>
        </w:numPr>
        <w:rPr>
          <w:rFonts w:ascii="Arial" w:cs="Arial" w:eastAsia="Arial" w:hAnsi="Arial"/>
          <w:sz w:val="12"/>
          <w:szCs w:val="12"/>
          <w:color w:val="auto"/>
        </w:rPr>
      </w:pPr>
      <w:r>
        <w:rPr>
          <w:rFonts w:ascii="Arial" w:cs="Arial" w:eastAsia="Arial" w:hAnsi="Arial"/>
          <w:sz w:val="12"/>
          <w:szCs w:val="12"/>
          <w:color w:val="auto"/>
        </w:rPr>
        <w:t>Deliveries shall be made no earlier than 7 a.m. or later than 6 p.m. No deliveries shall be made that impede or interfere with other tenants in or the operation of the Project. Movement of furniture, office equipment or any other large or bulky material(s) through the Common Area shall be restricted to such hours as Landlord may designate and shall be subject to reasonable restrictions that Landlord may impose. A temporary loading permit is required for all temporary parking and such permit, which permit Landlord may provide in its sole and absolute discretion.</w:t>
      </w:r>
    </w:p>
    <w:p>
      <w:pPr>
        <w:spacing w:after="0" w:line="103" w:lineRule="exact"/>
        <w:rPr>
          <w:rFonts w:ascii="Arial" w:cs="Arial" w:eastAsia="Arial" w:hAnsi="Arial"/>
          <w:sz w:val="12"/>
          <w:szCs w:val="12"/>
          <w:color w:val="auto"/>
        </w:rPr>
      </w:pPr>
    </w:p>
    <w:p>
      <w:pPr>
        <w:jc w:val="both"/>
        <w:ind w:firstLine="527"/>
        <w:spacing w:after="0" w:line="249" w:lineRule="auto"/>
        <w:tabs>
          <w:tab w:leader="none" w:pos="69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Tenant shall not place a load upon any floor of the Premises that exceeds the load per square foot that (a) such floor was designed to carry or (b) is allowed by Applicable Laws. Fixtures and equipment that cause noises or vibrations that may be transmitted to the structure of the Building(s) to such a degree as to be objectionable to other tenants shall be placed and maintained by Tenant, at Tenant’s sole cost and expense, on vibration eliminators or other devices sufficient to eliminate such noises and vibrations to levels reasonably acceptable to Landlord and the affected tenants of the Project.</w:t>
      </w:r>
    </w:p>
    <w:p>
      <w:pPr>
        <w:spacing w:after="0" w:line="159" w:lineRule="exact"/>
        <w:rPr>
          <w:rFonts w:ascii="Arial" w:cs="Arial" w:eastAsia="Arial" w:hAnsi="Arial"/>
          <w:sz w:val="15"/>
          <w:szCs w:val="15"/>
          <w:color w:val="auto"/>
        </w:rPr>
      </w:pPr>
    </w:p>
    <w:p>
      <w:pPr>
        <w:ind w:left="680" w:hanging="153"/>
        <w:spacing w:after="0"/>
        <w:tabs>
          <w:tab w:leader="none" w:pos="68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Tenant shall not use any method of HVAC other than that approved in writing by Landlord.</w:t>
      </w:r>
    </w:p>
    <w:p>
      <w:pPr>
        <w:spacing w:after="0" w:line="177" w:lineRule="exact"/>
        <w:rPr>
          <w:rFonts w:ascii="Arial" w:cs="Arial" w:eastAsia="Arial" w:hAnsi="Arial"/>
          <w:sz w:val="15"/>
          <w:szCs w:val="15"/>
          <w:color w:val="auto"/>
        </w:rPr>
      </w:pPr>
    </w:p>
    <w:p>
      <w:pPr>
        <w:ind w:firstLine="527"/>
        <w:spacing w:after="0" w:line="262" w:lineRule="auto"/>
        <w:tabs>
          <w:tab w:leader="none" w:pos="686"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Tenant shall not install any radio, television or other antennae; cell or other communications equipment; or other devices on the roof or exterior walls of the Premises except in accordance with the Lease. Tenant shall not interfere with radio, television or other digital or electronic communications at the Project or elsewhere.</w:t>
      </w:r>
    </w:p>
    <w:p>
      <w:pPr>
        <w:spacing w:after="0" w:line="148" w:lineRule="exact"/>
        <w:rPr>
          <w:rFonts w:ascii="Arial" w:cs="Arial" w:eastAsia="Arial" w:hAnsi="Arial"/>
          <w:sz w:val="15"/>
          <w:szCs w:val="15"/>
          <w:color w:val="auto"/>
        </w:rPr>
      </w:pPr>
    </w:p>
    <w:p>
      <w:pPr>
        <w:ind w:firstLine="527"/>
        <w:spacing w:after="0" w:line="262" w:lineRule="auto"/>
        <w:tabs>
          <w:tab w:leader="none" w:pos="674" w:val="left"/>
        </w:tabs>
        <w:numPr>
          <w:ilvl w:val="0"/>
          <w:numId w:val="213"/>
        </w:numPr>
        <w:rPr>
          <w:rFonts w:ascii="Arial" w:cs="Arial" w:eastAsia="Arial" w:hAnsi="Arial"/>
          <w:sz w:val="15"/>
          <w:szCs w:val="15"/>
          <w:color w:val="auto"/>
        </w:rPr>
      </w:pPr>
      <w:r>
        <w:rPr>
          <w:rFonts w:ascii="Arial" w:cs="Arial" w:eastAsia="Arial" w:hAnsi="Arial"/>
          <w:sz w:val="15"/>
          <w:szCs w:val="15"/>
          <w:color w:val="auto"/>
        </w:rPr>
        <w:t>Canvassing, peddling, soliciting and distributing handbills or any other written material within, on or around the Project (other than within the Premises) are prohibited. Tenant shall cooperate with Landlord to prevent such activities by any Tenant Party.</w:t>
      </w:r>
    </w:p>
    <w:p>
      <w:pPr>
        <w:spacing w:after="0" w:line="148" w:lineRule="exact"/>
        <w:rPr>
          <w:rFonts w:ascii="Arial" w:cs="Arial" w:eastAsia="Arial" w:hAnsi="Arial"/>
          <w:sz w:val="15"/>
          <w:szCs w:val="15"/>
          <w:color w:val="auto"/>
        </w:rPr>
      </w:pPr>
    </w:p>
    <w:p>
      <w:pPr>
        <w:jc w:val="both"/>
        <w:ind w:firstLine="527"/>
        <w:spacing w:after="0" w:line="273" w:lineRule="auto"/>
        <w:tabs>
          <w:tab w:leader="none" w:pos="668"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Any Hazardous Materials transported through Common Area shall be held in secondary containment devices. Tenant shall be responsible, at its sole cost and expense, for Tenant’s removal of its trash, garbage and Hazardous Materials. Tenant is encouraged to participate in the waste removal and recycling program in place at the Project.</w:t>
      </w:r>
    </w:p>
    <w:p>
      <w:pPr>
        <w:spacing w:after="0" w:line="142" w:lineRule="exact"/>
        <w:rPr>
          <w:rFonts w:ascii="Arial" w:cs="Arial" w:eastAsia="Arial" w:hAnsi="Arial"/>
          <w:sz w:val="14"/>
          <w:szCs w:val="14"/>
          <w:color w:val="auto"/>
        </w:rPr>
      </w:pPr>
    </w:p>
    <w:p>
      <w:pPr>
        <w:jc w:val="both"/>
        <w:ind w:firstLine="527"/>
        <w:spacing w:after="0" w:line="249" w:lineRule="auto"/>
        <w:tabs>
          <w:tab w:leader="none" w:pos="747" w:val="left"/>
        </w:tabs>
        <w:numPr>
          <w:ilvl w:val="0"/>
          <w:numId w:val="213"/>
        </w:numPr>
        <w:rPr>
          <w:rFonts w:ascii="Arial" w:cs="Arial" w:eastAsia="Arial" w:hAnsi="Arial"/>
          <w:sz w:val="15"/>
          <w:szCs w:val="15"/>
          <w:color w:val="auto"/>
        </w:rPr>
      </w:pPr>
      <w:r>
        <w:rPr>
          <w:rFonts w:ascii="Arial" w:cs="Arial" w:eastAsia="Arial" w:hAnsi="Arial"/>
          <w:sz w:val="15"/>
          <w:szCs w:val="15"/>
          <w:color w:val="auto"/>
        </w:rPr>
        <w:t xml:space="preserve">The Premises shall not be used for lodging or for any improper, immoral or objectionable purpose. No cooking shall be done or permitted in the Premises;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plans approved by Landlord; </w:t>
      </w:r>
      <w:r>
        <w:rPr>
          <w:rFonts w:ascii="Arial" w:cs="Arial" w:eastAsia="Arial" w:hAnsi="Arial"/>
          <w:sz w:val="15"/>
          <w:szCs w:val="15"/>
          <w:u w:val="single" w:color="auto"/>
          <w:color w:val="auto"/>
        </w:rPr>
        <w:t>provided</w:t>
      </w:r>
      <w:r>
        <w:rPr>
          <w:rFonts w:ascii="Arial" w:cs="Arial" w:eastAsia="Arial" w:hAnsi="Arial"/>
          <w:sz w:val="15"/>
          <w:szCs w:val="15"/>
          <w:color w:val="auto"/>
        </w:rPr>
        <w:t>, further, that any such equipment and microwave ovens are used in accordance with Applicable Laws.</w:t>
      </w:r>
    </w:p>
    <w:p>
      <w:pPr>
        <w:spacing w:after="0" w:line="159" w:lineRule="exact"/>
        <w:rPr>
          <w:rFonts w:ascii="Arial" w:cs="Arial" w:eastAsia="Arial" w:hAnsi="Arial"/>
          <w:sz w:val="15"/>
          <w:szCs w:val="15"/>
          <w:color w:val="auto"/>
        </w:rPr>
      </w:pPr>
    </w:p>
    <w:p>
      <w:pPr>
        <w:ind w:left="740" w:hanging="213"/>
        <w:spacing w:after="0"/>
        <w:tabs>
          <w:tab w:leader="none" w:pos="74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Tenant shall not, without Landlord’s prior written consent, use the name of the Project, if any, in connection with or in promoting or advertising Tenant’s business except as Tenant’s</w:t>
      </w:r>
    </w:p>
    <w:p>
      <w:pPr>
        <w:spacing w:after="0" w:line="4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address.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4" w:right="219" w:bottom="1440" w:gutter="0" w:footer="0" w:header="0"/>
        </w:sectPr>
      </w:pPr>
    </w:p>
    <w:bookmarkStart w:id="356" w:name="page357"/>
    <w:bookmarkEnd w:id="356"/>
    <w:p>
      <w:pPr>
        <w:ind w:left="740" w:hanging="213"/>
        <w:spacing w:after="0"/>
        <w:tabs>
          <w:tab w:leader="none" w:pos="7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Tenant shall comply with all safety, fire protection and evacuation procedures and regulations established by Landlord or any Governmental Authority.</w:t>
      </w:r>
    </w:p>
    <w:p>
      <w:pPr>
        <w:spacing w:after="0" w:line="177" w:lineRule="exact"/>
        <w:rPr>
          <w:rFonts w:ascii="Arial" w:cs="Arial" w:eastAsia="Arial" w:hAnsi="Arial"/>
          <w:sz w:val="15"/>
          <w:szCs w:val="15"/>
          <w:color w:val="auto"/>
        </w:rPr>
      </w:pPr>
    </w:p>
    <w:p>
      <w:pPr>
        <w:ind w:firstLine="527"/>
        <w:spacing w:after="0" w:line="262" w:lineRule="auto"/>
        <w:tabs>
          <w:tab w:leader="none" w:pos="739"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Tenant assumes any and all responsibility for protecting the Premises from theft, robbery and pilferage, which responsibility includes keeping doors locked and other means of entry to the Premises closed.</w:t>
      </w:r>
    </w:p>
    <w:p>
      <w:pPr>
        <w:spacing w:after="0" w:line="148" w:lineRule="exact"/>
        <w:rPr>
          <w:rFonts w:ascii="Arial" w:cs="Arial" w:eastAsia="Arial" w:hAnsi="Arial"/>
          <w:sz w:val="15"/>
          <w:szCs w:val="15"/>
          <w:color w:val="auto"/>
        </w:rPr>
      </w:pPr>
    </w:p>
    <w:p>
      <w:pPr>
        <w:ind w:firstLine="527"/>
        <w:spacing w:after="0" w:line="262" w:lineRule="auto"/>
        <w:tabs>
          <w:tab w:leader="none" w:pos="741"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Tenant shall not modify any locks to the Premises without Landlord’s prior written consent, which consent Landlord shall not unreasonably withhold, condition or delay. Tenant shall furnish Landlord with copies of keys, pass cards or similar devices for locks to the Premises.</w:t>
      </w:r>
    </w:p>
    <w:p>
      <w:pPr>
        <w:spacing w:after="0" w:line="148" w:lineRule="exact"/>
        <w:rPr>
          <w:rFonts w:ascii="Arial" w:cs="Arial" w:eastAsia="Arial" w:hAnsi="Arial"/>
          <w:sz w:val="15"/>
          <w:szCs w:val="15"/>
          <w:color w:val="auto"/>
        </w:rPr>
      </w:pPr>
    </w:p>
    <w:p>
      <w:pPr>
        <w:ind w:left="740" w:hanging="213"/>
        <w:spacing w:after="0"/>
        <w:tabs>
          <w:tab w:leader="none" w:pos="7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Tenant shall cooperate and participate in all reasonable security programs affecting the Premises.</w:t>
      </w:r>
    </w:p>
    <w:p>
      <w:pPr>
        <w:spacing w:after="0" w:line="177" w:lineRule="exact"/>
        <w:rPr>
          <w:rFonts w:ascii="Arial" w:cs="Arial" w:eastAsia="Arial" w:hAnsi="Arial"/>
          <w:sz w:val="15"/>
          <w:szCs w:val="15"/>
          <w:color w:val="auto"/>
        </w:rPr>
      </w:pPr>
    </w:p>
    <w:p>
      <w:pPr>
        <w:ind w:left="740" w:hanging="213"/>
        <w:spacing w:after="0"/>
        <w:tabs>
          <w:tab w:leader="none" w:pos="7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Tenant shall not permit any animals in the Project, other than for guide animals or for use in laboratory experiments.</w:t>
      </w:r>
    </w:p>
    <w:p>
      <w:pPr>
        <w:spacing w:after="0" w:line="177" w:lineRule="exact"/>
        <w:rPr>
          <w:rFonts w:ascii="Arial" w:cs="Arial" w:eastAsia="Arial" w:hAnsi="Arial"/>
          <w:sz w:val="15"/>
          <w:szCs w:val="15"/>
          <w:color w:val="auto"/>
        </w:rPr>
      </w:pPr>
    </w:p>
    <w:p>
      <w:pPr>
        <w:ind w:left="740" w:hanging="213"/>
        <w:spacing w:after="0"/>
        <w:tabs>
          <w:tab w:leader="none" w:pos="7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Bicycles shall not be taken into the Building(s) (including the elevators and stairways of the Building) except into areas designated by Landlord.</w:t>
      </w:r>
    </w:p>
    <w:p>
      <w:pPr>
        <w:spacing w:after="0" w:line="177" w:lineRule="exact"/>
        <w:rPr>
          <w:rFonts w:ascii="Arial" w:cs="Arial" w:eastAsia="Arial" w:hAnsi="Arial"/>
          <w:sz w:val="15"/>
          <w:szCs w:val="15"/>
          <w:color w:val="auto"/>
        </w:rPr>
      </w:pPr>
    </w:p>
    <w:p>
      <w:pPr>
        <w:ind w:firstLine="527"/>
        <w:spacing w:after="0" w:line="262" w:lineRule="auto"/>
        <w:tabs>
          <w:tab w:leader="none" w:pos="74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water and wash closets and other plumbing fixtures shall not be used for any purposes other than those for which they were constructed, and no sweepings, rubbish, rags or other substances shall be deposited therein.</w:t>
      </w:r>
    </w:p>
    <w:p>
      <w:pPr>
        <w:spacing w:after="0" w:line="137" w:lineRule="exact"/>
        <w:rPr>
          <w:rFonts w:ascii="Arial" w:cs="Arial" w:eastAsia="Arial" w:hAnsi="Arial"/>
          <w:sz w:val="15"/>
          <w:szCs w:val="15"/>
          <w:color w:val="auto"/>
        </w:rPr>
      </w:pPr>
    </w:p>
    <w:p>
      <w:pPr>
        <w:ind w:left="760" w:hanging="233"/>
        <w:spacing w:after="0"/>
        <w:tabs>
          <w:tab w:leader="none" w:pos="76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Discharge of industrial sewage shall only be permitted if Tenant, at its sole expense, first obtains all necessary permits and licenses therefor from all applicable Governmental</w:t>
      </w:r>
    </w:p>
    <w:p>
      <w:pPr>
        <w:spacing w:after="0" w:line="4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Authorities.</w:t>
      </w:r>
    </w:p>
    <w:p>
      <w:pPr>
        <w:spacing w:after="0" w:line="144" w:lineRule="exact"/>
        <w:rPr>
          <w:rFonts w:ascii="Arial" w:cs="Arial" w:eastAsia="Arial" w:hAnsi="Arial"/>
          <w:sz w:val="12"/>
          <w:szCs w:val="12"/>
          <w:color w:val="auto"/>
        </w:rPr>
      </w:pPr>
    </w:p>
    <w:p>
      <w:pPr>
        <w:ind w:left="740" w:hanging="213"/>
        <w:spacing w:after="0"/>
        <w:tabs>
          <w:tab w:leader="none" w:pos="7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Smoking is prohibited inside the Building, except in designated outdoor areas of the Project (if any).</w:t>
      </w:r>
    </w:p>
    <w:p>
      <w:pPr>
        <w:spacing w:after="0" w:line="166" w:lineRule="exact"/>
        <w:rPr>
          <w:rFonts w:ascii="Arial" w:cs="Arial" w:eastAsia="Arial" w:hAnsi="Arial"/>
          <w:sz w:val="15"/>
          <w:szCs w:val="15"/>
          <w:color w:val="auto"/>
        </w:rPr>
      </w:pPr>
    </w:p>
    <w:p>
      <w:pPr>
        <w:ind w:left="740" w:hanging="213"/>
        <w:spacing w:after="0"/>
        <w:tabs>
          <w:tab w:leader="none" w:pos="74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Project’s hours of operation are currently 24 hours per day, seven (7) days per week.</w:t>
      </w:r>
    </w:p>
    <w:p>
      <w:pPr>
        <w:spacing w:after="0" w:line="166" w:lineRule="exact"/>
        <w:rPr>
          <w:rFonts w:ascii="Arial" w:cs="Arial" w:eastAsia="Arial" w:hAnsi="Arial"/>
          <w:sz w:val="15"/>
          <w:szCs w:val="15"/>
          <w:color w:val="auto"/>
        </w:rPr>
      </w:pPr>
    </w:p>
    <w:p>
      <w:pPr>
        <w:jc w:val="both"/>
        <w:ind w:firstLine="527"/>
        <w:spacing w:after="0" w:line="279" w:lineRule="auto"/>
        <w:tabs>
          <w:tab w:leader="none" w:pos="745"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Tenant shall comply with all orders, requirements and conditions now or hereafter imposed by Applicable Laws or Landlord (“</w:t>
      </w:r>
      <w:r>
        <w:rPr>
          <w:rFonts w:ascii="Arial" w:cs="Arial" w:eastAsia="Arial" w:hAnsi="Arial"/>
          <w:sz w:val="14"/>
          <w:szCs w:val="14"/>
          <w:u w:val="single" w:color="auto"/>
          <w:color w:val="auto"/>
        </w:rPr>
        <w:t>Waste Regulations</w:t>
      </w:r>
      <w:r>
        <w:rPr>
          <w:rFonts w:ascii="Arial" w:cs="Arial" w:eastAsia="Arial" w:hAnsi="Arial"/>
          <w:sz w:val="14"/>
          <w:szCs w:val="14"/>
          <w:color w:val="auto"/>
        </w:rPr>
        <w:t>”) regarding the collection, sorting, separation and recycling of waste products, garbage, refuse and trash generated by Tenant (collectively, “</w:t>
      </w:r>
      <w:r>
        <w:rPr>
          <w:rFonts w:ascii="Arial" w:cs="Arial" w:eastAsia="Arial" w:hAnsi="Arial"/>
          <w:sz w:val="14"/>
          <w:szCs w:val="14"/>
          <w:u w:val="single" w:color="auto"/>
          <w:color w:val="auto"/>
        </w:rPr>
        <w:t>Waste Products</w:t>
      </w:r>
      <w:r>
        <w:rPr>
          <w:rFonts w:ascii="Arial" w:cs="Arial" w:eastAsia="Arial" w:hAnsi="Arial"/>
          <w:sz w:val="14"/>
          <w:szCs w:val="14"/>
          <w:color w:val="auto"/>
        </w:rPr>
        <w:t>”), including (without limitation) the separation of Waste Products into receptacles reasonably approved by Landlord and the removal of such receptacles in accordance with any collection schedules prescribed by Waste Regulations.</w:t>
      </w:r>
    </w:p>
    <w:p>
      <w:pPr>
        <w:spacing w:after="0" w:line="116" w:lineRule="exact"/>
        <w:rPr>
          <w:rFonts w:ascii="Arial" w:cs="Arial" w:eastAsia="Arial" w:hAnsi="Arial"/>
          <w:sz w:val="14"/>
          <w:szCs w:val="14"/>
          <w:color w:val="auto"/>
        </w:rPr>
      </w:pPr>
    </w:p>
    <w:p>
      <w:pPr>
        <w:jc w:val="both"/>
        <w:ind w:firstLine="527"/>
        <w:spacing w:after="0" w:line="270" w:lineRule="auto"/>
        <w:tabs>
          <w:tab w:leader="none" w:pos="752"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Tenant, at Tenant’s sole cost and expense, shall cause the Premises to be exterminated on a monthly basis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or the Project for the purpose of providing such extermination 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133" w:lineRule="exact"/>
        <w:rPr>
          <w:rFonts w:ascii="Arial" w:cs="Arial" w:eastAsia="Arial" w:hAnsi="Arial"/>
          <w:sz w:val="14"/>
          <w:szCs w:val="14"/>
          <w:color w:val="auto"/>
        </w:rPr>
      </w:pPr>
    </w:p>
    <w:p>
      <w:pPr>
        <w:jc w:val="both"/>
        <w:ind w:firstLine="527"/>
        <w:spacing w:after="0" w:line="248" w:lineRule="auto"/>
        <w:tabs>
          <w:tab w:leader="none" w:pos="747" w:val="left"/>
        </w:tabs>
        <w:numPr>
          <w:ilvl w:val="0"/>
          <w:numId w:val="214"/>
        </w:numPr>
        <w:rPr>
          <w:rFonts w:ascii="Arial" w:cs="Arial" w:eastAsia="Arial" w:hAnsi="Arial"/>
          <w:sz w:val="15"/>
          <w:szCs w:val="15"/>
          <w:color w:val="auto"/>
        </w:rPr>
      </w:pPr>
      <w:r>
        <w:rPr>
          <w:rFonts w:ascii="Arial" w:cs="Arial" w:eastAsia="Arial" w:hAnsi="Arial"/>
          <w:sz w:val="15"/>
          <w:szCs w:val="15"/>
          <w:color w:val="auto"/>
        </w:rPr>
        <w:t xml:space="preserve">If Tenant desires to use any portion of the Common Area for a Tenant-related event, Tenant must notify Landlord in writing at least thirty (30) days prior to such event on the form attached as </w:t>
      </w:r>
      <w:r>
        <w:rPr>
          <w:rFonts w:ascii="Arial" w:cs="Arial" w:eastAsia="Arial" w:hAnsi="Arial"/>
          <w:sz w:val="15"/>
          <w:szCs w:val="15"/>
          <w:u w:val="single" w:color="auto"/>
          <w:color w:val="auto"/>
        </w:rPr>
        <w:t>Attachment 1</w:t>
      </w:r>
      <w:r>
        <w:rPr>
          <w:rFonts w:ascii="Arial" w:cs="Arial" w:eastAsia="Arial" w:hAnsi="Arial"/>
          <w:sz w:val="15"/>
          <w:szCs w:val="15"/>
          <w:color w:val="auto"/>
        </w:rPr>
        <w:t xml:space="preserve"> to this Exhibit, which use shall be subject to Landlord’s prior written consent, not to be unreasonably withheld, conditioned or delayed. Notwithstanding anything in this Lease or the completed and executed Attachment to the contrary, Tenant shall be solely responsible for setting up and taking down any equipment or other materials required for the event, and shall promptly pick up any litter and report any property damage to Landlord related to the event. Any use of the Common Area pursuant to this Section shall be subject to the provisions of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of the Lease.</w:t>
      </w:r>
    </w:p>
    <w:p>
      <w:pPr>
        <w:spacing w:after="0" w:line="148" w:lineRule="exact"/>
        <w:rPr>
          <w:sz w:val="20"/>
          <w:szCs w:val="20"/>
          <w:color w:val="auto"/>
        </w:rPr>
      </w:pPr>
    </w:p>
    <w:p>
      <w:pPr>
        <w:jc w:val="both"/>
        <w:ind w:firstLine="520"/>
        <w:spacing w:after="0" w:line="267" w:lineRule="auto"/>
        <w:rPr>
          <w:sz w:val="20"/>
          <w:szCs w:val="20"/>
          <w:color w:val="auto"/>
        </w:rPr>
      </w:pPr>
      <w:r>
        <w:rPr>
          <w:rFonts w:ascii="Arial" w:cs="Arial" w:eastAsia="Arial" w:hAnsi="Arial"/>
          <w:sz w:val="14"/>
          <w:szCs w:val="14"/>
          <w:color w:val="auto"/>
        </w:rPr>
        <w:t xml:space="preserve">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Project, including Tenant. These Rules and Regulations are in addition to, and shall not be construed to in any way modify or amend, in whole or in part, the terms covenants, agreements and conditions of the Lease. Landlord reserves the right to make such other and reasonable additional rules and regulations as, in its judgment, may from time to time be needed for safety and security, the care and cleanliness of the Project, or the preservation of good order therein;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Tenant shall not be obligated to adhere to such additional rules or regulations until Landlord has provided Tenant with written notice thereof. Tenant agrees to abide by these Rules and Regulations and any such additional rules and regulations issued or adopted by Landlord. Tenant shall be responsible for the observance of these Rules and Regulations by all Tenant Parties.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357" w:name="page358"/>
    <w:bookmarkEnd w:id="357"/>
    <w:p>
      <w:pPr>
        <w:jc w:val="center"/>
        <w:ind w:right="20"/>
        <w:spacing w:after="0"/>
        <w:rPr>
          <w:sz w:val="20"/>
          <w:szCs w:val="20"/>
          <w:color w:val="auto"/>
        </w:rPr>
      </w:pPr>
      <w:r>
        <w:rPr>
          <w:rFonts w:ascii="Arial" w:cs="Arial" w:eastAsia="Arial" w:hAnsi="Arial"/>
          <w:sz w:val="15"/>
          <w:szCs w:val="15"/>
          <w:b w:val="1"/>
          <w:bCs w:val="1"/>
          <w:color w:val="auto"/>
        </w:rPr>
        <w:t>ATTACHMENT 1 TO EXHIBIT G</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REQUEST FOR USE OF COMMON AREA</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REQUEST FOR USE OF COMMON AREA</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Date of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8255</wp:posOffset>
            </wp:positionV>
            <wp:extent cx="623062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230620"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Landlord/Owner: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8255</wp:posOffset>
            </wp:positionV>
            <wp:extent cx="623062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230620"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Tenant/Requestor: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8255</wp:posOffset>
            </wp:positionV>
            <wp:extent cx="623062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230620"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Property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8255</wp:posOffset>
            </wp:positionV>
            <wp:extent cx="623062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230620"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Event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7265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27265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8255</wp:posOffset>
            </wp:positionV>
            <wp:extent cx="623062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2306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Proposed Plan for Security &amp; 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7265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27265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8255</wp:posOffset>
            </wp:positionV>
            <wp:extent cx="511238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123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Date of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8255</wp:posOffset>
            </wp:positionV>
            <wp:extent cx="6459855"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459855"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Hours of Event: (to include set-up and take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8255</wp:posOffset>
            </wp:positionV>
            <wp:extent cx="450786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507865" cy="69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Location at Property (see attached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8255</wp:posOffset>
            </wp:positionV>
            <wp:extent cx="506349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063490" cy="698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gridSpan w:val="2"/>
          </w:tcPr>
          <w:p>
            <w:pPr>
              <w:spacing w:after="0"/>
              <w:rPr>
                <w:sz w:val="20"/>
                <w:szCs w:val="20"/>
                <w:color w:val="auto"/>
              </w:rPr>
            </w:pPr>
            <w:r>
              <w:rPr>
                <w:rFonts w:ascii="Arial" w:cs="Arial" w:eastAsia="Arial" w:hAnsi="Arial"/>
                <w:sz w:val="15"/>
                <w:szCs w:val="15"/>
                <w:color w:val="auto"/>
              </w:rPr>
              <w:t>Number of Attendees:</w:t>
            </w:r>
          </w:p>
        </w:tc>
        <w:tc>
          <w:tcPr>
            <w:tcW w:w="22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tcPr>
          <w:p>
            <w:pPr>
              <w:spacing w:after="0"/>
              <w:rPr>
                <w:sz w:val="16"/>
                <w:szCs w:val="16"/>
                <w:color w:val="auto"/>
              </w:rPr>
            </w:pPr>
          </w:p>
        </w:tc>
      </w:tr>
      <w:tr>
        <w:trPr>
          <w:trHeight w:val="341"/>
        </w:trPr>
        <w:tc>
          <w:tcPr>
            <w:tcW w:w="2260" w:type="dxa"/>
            <w:vAlign w:val="bottom"/>
            <w:gridSpan w:val="3"/>
          </w:tcPr>
          <w:p>
            <w:pPr>
              <w:spacing w:after="0"/>
              <w:rPr>
                <w:sz w:val="20"/>
                <w:szCs w:val="20"/>
                <w:color w:val="auto"/>
              </w:rPr>
            </w:pPr>
            <w:r>
              <w:rPr>
                <w:rFonts w:ascii="Arial" w:cs="Arial" w:eastAsia="Arial" w:hAnsi="Arial"/>
                <w:sz w:val="15"/>
                <w:szCs w:val="15"/>
                <w:color w:val="auto"/>
              </w:rPr>
              <w:t>Open to the Public?   [___] YES</w:t>
            </w:r>
          </w:p>
        </w:tc>
        <w:tc>
          <w:tcPr>
            <w:tcW w:w="9200" w:type="dxa"/>
            <w:vAlign w:val="bottom"/>
          </w:tcPr>
          <w:p>
            <w:pPr>
              <w:ind w:left="40"/>
              <w:spacing w:after="0"/>
              <w:rPr>
                <w:sz w:val="20"/>
                <w:szCs w:val="20"/>
                <w:color w:val="auto"/>
              </w:rPr>
            </w:pPr>
            <w:r>
              <w:rPr>
                <w:rFonts w:ascii="Arial" w:cs="Arial" w:eastAsia="Arial" w:hAnsi="Arial"/>
                <w:sz w:val="15"/>
                <w:szCs w:val="15"/>
                <w:color w:val="auto"/>
              </w:rPr>
              <w:t>[___] NO</w:t>
            </w:r>
          </w:p>
        </w:tc>
      </w:tr>
      <w:tr>
        <w:trPr>
          <w:trHeight w:val="350"/>
        </w:trPr>
        <w:tc>
          <w:tcPr>
            <w:tcW w:w="2260" w:type="dxa"/>
            <w:vAlign w:val="bottom"/>
            <w:gridSpan w:val="3"/>
          </w:tcPr>
          <w:p>
            <w:pPr>
              <w:spacing w:after="0"/>
              <w:rPr>
                <w:sz w:val="20"/>
                <w:szCs w:val="20"/>
                <w:color w:val="auto"/>
              </w:rPr>
            </w:pPr>
            <w:r>
              <w:rPr>
                <w:rFonts w:ascii="Arial" w:cs="Arial" w:eastAsia="Arial" w:hAnsi="Arial"/>
                <w:sz w:val="15"/>
                <w:szCs w:val="15"/>
                <w:color w:val="auto"/>
                <w:w w:val="91"/>
              </w:rPr>
              <w:t>Food and/or Beverages?   [___] YES</w:t>
            </w:r>
          </w:p>
        </w:tc>
        <w:tc>
          <w:tcPr>
            <w:tcW w:w="9200" w:type="dxa"/>
            <w:vAlign w:val="bottom"/>
          </w:tcPr>
          <w:p>
            <w:pPr>
              <w:ind w:left="340"/>
              <w:spacing w:after="0"/>
              <w:rPr>
                <w:sz w:val="20"/>
                <w:szCs w:val="20"/>
                <w:color w:val="auto"/>
              </w:rPr>
            </w:pPr>
            <w:r>
              <w:rPr>
                <w:rFonts w:ascii="Arial" w:cs="Arial" w:eastAsia="Arial" w:hAnsi="Arial"/>
                <w:sz w:val="15"/>
                <w:szCs w:val="15"/>
                <w:color w:val="auto"/>
              </w:rPr>
              <w:t>[___] NO</w:t>
            </w:r>
          </w:p>
        </w:tc>
      </w:tr>
      <w:tr>
        <w:trPr>
          <w:trHeight w:val="350"/>
        </w:trPr>
        <w:tc>
          <w:tcPr>
            <w:tcW w:w="1000" w:type="dxa"/>
            <w:vAlign w:val="bottom"/>
          </w:tcPr>
          <w:p>
            <w:pPr>
              <w:ind w:left="520"/>
              <w:spacing w:after="0"/>
              <w:rPr>
                <w:sz w:val="20"/>
                <w:szCs w:val="20"/>
                <w:color w:val="auto"/>
              </w:rPr>
            </w:pPr>
            <w:r>
              <w:rPr>
                <w:rFonts w:ascii="Arial" w:cs="Arial" w:eastAsia="Arial" w:hAnsi="Arial"/>
                <w:sz w:val="15"/>
                <w:szCs w:val="15"/>
                <w:color w:val="auto"/>
                <w:w w:val="98"/>
              </w:rPr>
              <w:t>If YES: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350"/>
        </w:trPr>
        <w:tc>
          <w:tcPr>
            <w:tcW w:w="1000" w:type="dxa"/>
            <w:vAlign w:val="bottom"/>
          </w:tcPr>
          <w:p>
            <w:pPr>
              <w:ind w:left="520"/>
              <w:spacing w:after="0"/>
              <w:rPr>
                <w:sz w:val="20"/>
                <w:szCs w:val="20"/>
                <w:color w:val="auto"/>
              </w:rPr>
            </w:pPr>
            <w:r>
              <w:rPr>
                <w:rFonts w:ascii="Arial" w:cs="Arial" w:eastAsia="Arial" w:hAnsi="Arial"/>
                <w:sz w:val="15"/>
                <w:szCs w:val="15"/>
                <w:color w:val="auto"/>
              </w:rPr>
              <w:t>·</w:t>
            </w:r>
          </w:p>
        </w:tc>
        <w:tc>
          <w:tcPr>
            <w:tcW w:w="10460" w:type="dxa"/>
            <w:vAlign w:val="bottom"/>
            <w:gridSpan w:val="3"/>
          </w:tcPr>
          <w:p>
            <w:pPr>
              <w:ind w:left="40"/>
              <w:spacing w:after="0"/>
              <w:rPr>
                <w:sz w:val="20"/>
                <w:szCs w:val="20"/>
                <w:color w:val="auto"/>
              </w:rPr>
            </w:pPr>
            <w:r>
              <w:rPr>
                <w:rFonts w:ascii="Arial" w:cs="Arial" w:eastAsia="Arial" w:hAnsi="Arial"/>
                <w:sz w:val="15"/>
                <w:szCs w:val="15"/>
                <w:color w:val="auto"/>
              </w:rPr>
              <w:t>Will food be prepared on site?  [___] YES   [___] NO</w:t>
            </w:r>
          </w:p>
        </w:tc>
      </w:tr>
    </w:tbl>
    <w:p>
      <w:pPr>
        <w:spacing w:after="0" w:line="164" w:lineRule="exact"/>
        <w:rPr>
          <w:sz w:val="20"/>
          <w:szCs w:val="20"/>
          <w:color w:val="auto"/>
        </w:rPr>
      </w:pPr>
    </w:p>
    <w:p>
      <w:pPr>
        <w:ind w:left="1040" w:hanging="518"/>
        <w:spacing w:after="0"/>
        <w:tabs>
          <w:tab w:leader="none" w:pos="104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Please describe:</w:t>
      </w:r>
    </w:p>
    <w:p>
      <w:pPr>
        <w:spacing w:after="0" w:line="178" w:lineRule="exact"/>
        <w:rPr>
          <w:sz w:val="20"/>
          <w:szCs w:val="20"/>
          <w:color w:val="auto"/>
        </w:rPr>
      </w:pPr>
    </w:p>
    <w:p>
      <w:pPr>
        <w:ind w:left="520"/>
        <w:spacing w:after="0"/>
        <w:tabs>
          <w:tab w:leader="none" w:pos="1020" w:val="left"/>
          <w:tab w:leader="none" w:pos="33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Will alcohol be served? [___] YES</w:t>
      </w:r>
      <w:r>
        <w:rPr>
          <w:sz w:val="20"/>
          <w:szCs w:val="20"/>
          <w:color w:val="auto"/>
        </w:rPr>
        <w:tab/>
      </w:r>
      <w:r>
        <w:rPr>
          <w:rFonts w:ascii="Arial" w:cs="Arial" w:eastAsia="Arial" w:hAnsi="Arial"/>
          <w:sz w:val="14"/>
          <w:szCs w:val="14"/>
          <w:color w:val="auto"/>
        </w:rPr>
        <w:t>[___] NO</w:t>
      </w:r>
    </w:p>
    <w:p>
      <w:pPr>
        <w:spacing w:after="0" w:line="178" w:lineRule="exact"/>
        <w:rPr>
          <w:sz w:val="20"/>
          <w:szCs w:val="20"/>
          <w:color w:val="auto"/>
        </w:rPr>
      </w:pPr>
    </w:p>
    <w:p>
      <w:pPr>
        <w:ind w:left="1040" w:hanging="518"/>
        <w:spacing w:after="0"/>
        <w:tabs>
          <w:tab w:leader="none" w:pos="104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Please describe: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2480" w:type="dxa"/>
            <w:vAlign w:val="bottom"/>
          </w:tcPr>
          <w:p>
            <w:pPr>
              <w:ind w:left="240"/>
              <w:spacing w:after="0"/>
              <w:rPr>
                <w:sz w:val="20"/>
                <w:szCs w:val="20"/>
                <w:color w:val="auto"/>
              </w:rPr>
            </w:pPr>
            <w:r>
              <w:rPr>
                <w:rFonts w:ascii="Arial" w:cs="Arial" w:eastAsia="Arial" w:hAnsi="Arial"/>
                <w:sz w:val="15"/>
                <w:szCs w:val="15"/>
                <w:color w:val="auto"/>
                <w:w w:val="86"/>
              </w:rPr>
              <w:t>Will attendees be charged for alcohol?</w:t>
            </w:r>
          </w:p>
        </w:tc>
        <w:tc>
          <w:tcPr>
            <w:tcW w:w="800" w:type="dxa"/>
            <w:vAlign w:val="bottom"/>
          </w:tcPr>
          <w:p>
            <w:pPr>
              <w:ind w:left="60"/>
              <w:spacing w:after="0"/>
              <w:rPr>
                <w:sz w:val="20"/>
                <w:szCs w:val="20"/>
                <w:color w:val="auto"/>
              </w:rPr>
            </w:pPr>
            <w:r>
              <w:rPr>
                <w:rFonts w:ascii="Arial" w:cs="Arial" w:eastAsia="Arial" w:hAnsi="Arial"/>
                <w:sz w:val="15"/>
                <w:szCs w:val="15"/>
                <w:color w:val="auto"/>
              </w:rPr>
              <w:t>[___] YES</w:t>
            </w:r>
          </w:p>
        </w:tc>
        <w:tc>
          <w:tcPr>
            <w:tcW w:w="1200" w:type="dxa"/>
            <w:vAlign w:val="bottom"/>
            <w:gridSpan w:val="2"/>
          </w:tcPr>
          <w:p>
            <w:pPr>
              <w:ind w:left="140"/>
              <w:spacing w:after="0"/>
              <w:rPr>
                <w:sz w:val="20"/>
                <w:szCs w:val="20"/>
                <w:color w:val="auto"/>
              </w:rPr>
            </w:pPr>
            <w:r>
              <w:rPr>
                <w:rFonts w:ascii="Arial" w:cs="Arial" w:eastAsia="Arial" w:hAnsi="Arial"/>
                <w:sz w:val="15"/>
                <w:szCs w:val="15"/>
                <w:color w:val="auto"/>
              </w:rPr>
              <w:t>[___] NO</w:t>
            </w:r>
          </w:p>
        </w:tc>
        <w:tc>
          <w:tcPr>
            <w:tcW w:w="6200" w:type="dxa"/>
            <w:vAlign w:val="bottom"/>
          </w:tcPr>
          <w:p>
            <w:pPr>
              <w:spacing w:after="0"/>
              <w:rPr>
                <w:sz w:val="16"/>
                <w:szCs w:val="16"/>
                <w:color w:val="auto"/>
              </w:rPr>
            </w:pPr>
          </w:p>
        </w:tc>
      </w:tr>
      <w:tr>
        <w:trPr>
          <w:trHeight w:val="350"/>
        </w:trPr>
        <w:tc>
          <w:tcPr>
            <w:tcW w:w="8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2480" w:type="dxa"/>
            <w:vAlign w:val="bottom"/>
          </w:tcPr>
          <w:p>
            <w:pPr>
              <w:ind w:left="240"/>
              <w:spacing w:after="0"/>
              <w:rPr>
                <w:sz w:val="20"/>
                <w:szCs w:val="20"/>
                <w:color w:val="auto"/>
              </w:rPr>
            </w:pPr>
            <w:r>
              <w:rPr>
                <w:rFonts w:ascii="Arial" w:cs="Arial" w:eastAsia="Arial" w:hAnsi="Arial"/>
                <w:sz w:val="15"/>
                <w:szCs w:val="15"/>
                <w:color w:val="auto"/>
                <w:w w:val="90"/>
              </w:rPr>
              <w:t>Is alcohol license or permit required?</w:t>
            </w:r>
          </w:p>
        </w:tc>
        <w:tc>
          <w:tcPr>
            <w:tcW w:w="800" w:type="dxa"/>
            <w:vAlign w:val="bottom"/>
          </w:tcPr>
          <w:p>
            <w:pPr>
              <w:spacing w:after="0"/>
              <w:rPr>
                <w:sz w:val="20"/>
                <w:szCs w:val="20"/>
                <w:color w:val="auto"/>
              </w:rPr>
            </w:pPr>
            <w:r>
              <w:rPr>
                <w:rFonts w:ascii="Arial" w:cs="Arial" w:eastAsia="Arial" w:hAnsi="Arial"/>
                <w:sz w:val="15"/>
                <w:szCs w:val="15"/>
                <w:color w:val="auto"/>
              </w:rPr>
              <w:t>[___] YES</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[___] NO</w:t>
            </w:r>
          </w:p>
        </w:tc>
        <w:tc>
          <w:tcPr>
            <w:tcW w:w="6200" w:type="dxa"/>
            <w:vAlign w:val="bottom"/>
          </w:tcPr>
          <w:p>
            <w:pPr>
              <w:spacing w:after="0"/>
              <w:rPr>
                <w:sz w:val="24"/>
                <w:szCs w:val="24"/>
                <w:color w:val="auto"/>
              </w:rPr>
            </w:pPr>
          </w:p>
        </w:tc>
      </w:tr>
      <w:tr>
        <w:trPr>
          <w:trHeight w:val="350"/>
        </w:trPr>
        <w:tc>
          <w:tcPr>
            <w:tcW w:w="8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3640" w:type="dxa"/>
            <w:vAlign w:val="bottom"/>
            <w:gridSpan w:val="3"/>
          </w:tcPr>
          <w:p>
            <w:pPr>
              <w:ind w:left="240"/>
              <w:spacing w:after="0"/>
              <w:rPr>
                <w:sz w:val="20"/>
                <w:szCs w:val="20"/>
                <w:color w:val="auto"/>
              </w:rPr>
            </w:pPr>
            <w:r>
              <w:rPr>
                <w:rFonts w:ascii="Arial" w:cs="Arial" w:eastAsia="Arial" w:hAnsi="Arial"/>
                <w:sz w:val="15"/>
                <w:szCs w:val="15"/>
                <w:color w:val="auto"/>
                <w:w w:val="92"/>
              </w:rPr>
              <w:t>Does caterer have alcohol license or permit: [___] YES</w:t>
            </w:r>
          </w:p>
        </w:tc>
        <w:tc>
          <w:tcPr>
            <w:tcW w:w="840" w:type="dxa"/>
            <w:vAlign w:val="bottom"/>
          </w:tcPr>
          <w:p>
            <w:pPr>
              <w:ind w:left="160"/>
              <w:spacing w:after="0"/>
              <w:rPr>
                <w:sz w:val="20"/>
                <w:szCs w:val="20"/>
                <w:color w:val="auto"/>
              </w:rPr>
            </w:pPr>
            <w:r>
              <w:rPr>
                <w:rFonts w:ascii="Arial" w:cs="Arial" w:eastAsia="Arial" w:hAnsi="Arial"/>
                <w:sz w:val="15"/>
                <w:szCs w:val="15"/>
                <w:color w:val="auto"/>
              </w:rPr>
              <w:t>[___] NO</w:t>
            </w:r>
          </w:p>
        </w:tc>
        <w:tc>
          <w:tcPr>
            <w:tcW w:w="6200" w:type="dxa"/>
            <w:vAlign w:val="bottom"/>
          </w:tcPr>
          <w:p>
            <w:pPr>
              <w:ind w:left="140"/>
              <w:spacing w:after="0"/>
              <w:rPr>
                <w:sz w:val="20"/>
                <w:szCs w:val="20"/>
                <w:color w:val="auto"/>
              </w:rPr>
            </w:pPr>
            <w:r>
              <w:rPr>
                <w:rFonts w:ascii="Arial" w:cs="Arial" w:eastAsia="Arial" w:hAnsi="Arial"/>
                <w:sz w:val="15"/>
                <w:szCs w:val="15"/>
                <w:color w:val="auto"/>
              </w:rPr>
              <w:t>[___] N/A</w:t>
            </w:r>
          </w:p>
        </w:tc>
      </w:tr>
      <w:tr>
        <w:trPr>
          <w:trHeight w:val="350"/>
        </w:trPr>
        <w:tc>
          <w:tcPr>
            <w:tcW w:w="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Arial" w:cs="Arial" w:eastAsia="Arial" w:hAnsi="Arial"/>
                <w:sz w:val="15"/>
                <w:szCs w:val="15"/>
                <w:color w:val="auto"/>
              </w:rPr>
              <w:t>Page G-1-1</w:t>
            </w:r>
          </w:p>
        </w:tc>
      </w:tr>
      <w:tr>
        <w:trPr>
          <w:trHeight w:val="89"/>
        </w:trPr>
        <w:tc>
          <w:tcPr>
            <w:tcW w:w="80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75" w:right="199" w:bottom="1440" w:gutter="0" w:footer="0" w:header="0"/>
        </w:sectPr>
      </w:pPr>
    </w:p>
    <w:bookmarkStart w:id="358" w:name="page359"/>
    <w:bookmarkEnd w:id="358"/>
    <w:p>
      <w:pPr>
        <w:spacing w:after="0"/>
        <w:rPr>
          <w:sz w:val="20"/>
          <w:szCs w:val="20"/>
          <w:color w:val="auto"/>
        </w:rPr>
      </w:pPr>
      <w:r>
        <w:rPr>
          <w:rFonts w:ascii="Arial" w:cs="Arial" w:eastAsia="Arial" w:hAnsi="Arial"/>
          <w:sz w:val="15"/>
          <w:szCs w:val="15"/>
          <w:color w:val="auto"/>
        </w:rPr>
        <w:t>Other Amenities (tent, booths, band, food trucks, bounce house,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7265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27265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8255</wp:posOffset>
            </wp:positionV>
            <wp:extent cx="347980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79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Other Event Details or Special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981075</wp:posOffset>
            </wp:positionV>
            <wp:extent cx="727265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737870</wp:posOffset>
            </wp:positionV>
            <wp:extent cx="727265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7265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27265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8255</wp:posOffset>
            </wp:positionV>
            <wp:extent cx="475805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580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certifies that the foregoing is true, accurate and complete and he/she is duly authorized to sign and submit this request on behalf of the Tenant/Requestor named above.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INSERT NAME OF TENANT/REQUESTOR</w:t>
      </w:r>
      <w:r>
        <w:rPr>
          <w:rFonts w:ascii="Arial" w:cs="Arial" w:eastAsia="Arial" w:hAnsi="Arial"/>
          <w:sz w:val="15"/>
          <w:szCs w:val="15"/>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246570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Page 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760"/>
          </w:cols>
          <w:pgMar w:left="220" w:top="500" w:right="91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5"/>
          <w:szCs w:val="15"/>
          <w:b w:val="1"/>
          <w:bCs w:val="1"/>
          <w:color w:val="auto"/>
        </w:rPr>
        <w:t>EXHIBIT 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PTDM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302260</wp:posOffset>
            </wp:positionV>
            <wp:extent cx="7312025"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14"/>
          <w:szCs w:val="14"/>
          <w:b w:val="1"/>
          <w:bCs w:val="1"/>
          <w:color w:val="auto"/>
        </w:rPr>
        <w:t>PARKING AND TRAFFIC DEMAND MANAGEMENT</w:t>
      </w:r>
    </w:p>
    <w:p>
      <w:pPr>
        <w:sectPr>
          <w:pgSz w:w="11900" w:h="16838" w:orient="portrait"/>
          <w:cols w:equalWidth="0" w:num="1">
            <w:col w:w="9019"/>
          </w:cols>
          <w:pgMar w:left="1440" w:top="299" w:right="1440" w:bottom="1440" w:gutter="0" w:footer="0" w:header="0"/>
        </w:sectPr>
      </w:pPr>
    </w:p>
    <w:p>
      <w:pPr>
        <w:spacing w:after="0" w:line="189"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FORT WASHINGTON REALTY TRUST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47 ERIE STREET AND RELATED PARKING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CAMBRIDGE, MA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April 28,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283210</wp:posOffset>
            </wp:positionV>
            <wp:extent cx="7312025"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361" w:name="page362"/>
    <w:bookmarkEnd w:id="361"/>
    <w:p>
      <w:pPr>
        <w:jc w:val="right"/>
        <w:ind w:right="3959"/>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178" w:lineRule="exact"/>
        <w:rPr>
          <w:sz w:val="20"/>
          <w:szCs w:val="20"/>
          <w:color w:val="auto"/>
        </w:rPr>
      </w:pPr>
    </w:p>
    <w:p>
      <w:pPr>
        <w:ind w:left="1280" w:hanging="1272"/>
        <w:spacing w:after="0"/>
        <w:tabs>
          <w:tab w:leader="none" w:pos="1280" w:val="left"/>
        </w:tabs>
        <w:numPr>
          <w:ilvl w:val="0"/>
          <w:numId w:val="217"/>
        </w:numPr>
        <w:rPr>
          <w:rFonts w:ascii="Arial" w:cs="Arial" w:eastAsia="Arial" w:hAnsi="Arial"/>
          <w:sz w:val="15"/>
          <w:szCs w:val="15"/>
          <w:b w:val="1"/>
          <w:bCs w:val="1"/>
          <w:color w:val="auto"/>
        </w:rPr>
      </w:pPr>
      <w:r>
        <w:rPr>
          <w:rFonts w:ascii="Arial" w:cs="Arial" w:eastAsia="Arial" w:hAnsi="Arial"/>
          <w:sz w:val="15"/>
          <w:szCs w:val="15"/>
          <w:b w:val="1"/>
          <w:bCs w:val="1"/>
          <w:color w:val="auto"/>
        </w:rPr>
        <w:t>General Project Description</w:t>
      </w:r>
    </w:p>
    <w:p>
      <w:pPr>
        <w:spacing w:after="0" w:line="101" w:lineRule="exact"/>
        <w:rPr>
          <w:sz w:val="20"/>
          <w:szCs w:val="20"/>
          <w:color w:val="auto"/>
        </w:rPr>
      </w:pPr>
    </w:p>
    <w:p>
      <w:pPr>
        <w:ind w:left="1280" w:hanging="1272"/>
        <w:spacing w:after="0"/>
        <w:tabs>
          <w:tab w:leader="none" w:pos="1280" w:val="left"/>
        </w:tabs>
        <w:numPr>
          <w:ilvl w:val="0"/>
          <w:numId w:val="21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 to Mode Split</w:t>
      </w:r>
    </w:p>
    <w:p>
      <w:pPr>
        <w:spacing w:after="0" w:line="101" w:lineRule="exact"/>
        <w:rPr>
          <w:sz w:val="20"/>
          <w:szCs w:val="20"/>
          <w:color w:val="auto"/>
        </w:rPr>
      </w:pPr>
    </w:p>
    <w:p>
      <w:pPr>
        <w:ind w:left="1280" w:hanging="1272"/>
        <w:spacing w:after="0"/>
        <w:tabs>
          <w:tab w:leader="none" w:pos="1280" w:val="left"/>
        </w:tabs>
        <w:numPr>
          <w:ilvl w:val="0"/>
          <w:numId w:val="219"/>
        </w:numPr>
        <w:rPr>
          <w:rFonts w:ascii="Arial" w:cs="Arial" w:eastAsia="Arial" w:hAnsi="Arial"/>
          <w:sz w:val="15"/>
          <w:szCs w:val="15"/>
          <w:b w:val="1"/>
          <w:bCs w:val="1"/>
          <w:color w:val="auto"/>
        </w:rPr>
      </w:pPr>
      <w:r>
        <w:rPr>
          <w:rFonts w:ascii="Arial" w:cs="Arial" w:eastAsia="Arial" w:hAnsi="Arial"/>
          <w:sz w:val="15"/>
          <w:szCs w:val="15"/>
          <w:b w:val="1"/>
          <w:bCs w:val="1"/>
          <w:color w:val="auto"/>
        </w:rPr>
        <w:t>General Transportation Demand Management Programs</w:t>
      </w:r>
    </w:p>
    <w:p>
      <w:pPr>
        <w:spacing w:after="0" w:line="374" w:lineRule="exact"/>
        <w:rPr>
          <w:sz w:val="20"/>
          <w:szCs w:val="20"/>
          <w:color w:val="auto"/>
        </w:rPr>
      </w:pPr>
    </w:p>
    <w:p>
      <w:pPr>
        <w:ind w:left="1280" w:hanging="1272"/>
        <w:spacing w:after="0"/>
        <w:tabs>
          <w:tab w:leader="none" w:pos="1280" w:val="left"/>
        </w:tabs>
        <w:numPr>
          <w:ilvl w:val="0"/>
          <w:numId w:val="220"/>
        </w:numPr>
        <w:rPr>
          <w:rFonts w:ascii="Arial" w:cs="Arial" w:eastAsia="Arial" w:hAnsi="Arial"/>
          <w:sz w:val="15"/>
          <w:szCs w:val="15"/>
          <w:b w:val="1"/>
          <w:bCs w:val="1"/>
          <w:color w:val="auto"/>
        </w:rPr>
      </w:pPr>
      <w:r>
        <w:rPr>
          <w:rFonts w:ascii="Arial" w:cs="Arial" w:eastAsia="Arial" w:hAnsi="Arial"/>
          <w:sz w:val="15"/>
          <w:szCs w:val="15"/>
          <w:b w:val="1"/>
          <w:bCs w:val="1"/>
          <w:color w:val="auto"/>
        </w:rPr>
        <w:t>Alternative Work Programs</w:t>
      </w:r>
    </w:p>
    <w:p>
      <w:pPr>
        <w:sectPr>
          <w:pgSz w:w="11900" w:h="16838" w:orient="portrait"/>
          <w:cols w:equalWidth="0" w:num="1">
            <w:col w:w="10239"/>
          </w:cols>
          <w:pgMar w:left="220" w:top="299" w:right="1440"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VII.</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VIII.</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IX.</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Parking Management and SOV Disincentives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Marketing Programs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Monitoring and Reporting Plan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Office of workplace Development Commitment</w:t>
      </w:r>
    </w:p>
    <w:p>
      <w:pPr>
        <w:spacing w:after="0" w:line="135" w:lineRule="exact"/>
        <w:rPr>
          <w:sz w:val="20"/>
          <w:szCs w:val="20"/>
          <w:color w:val="auto"/>
        </w:rPr>
      </w:pPr>
    </w:p>
    <w:p>
      <w:pPr>
        <w:sectPr>
          <w:pgSz w:w="11900" w:h="16838" w:orient="portrait"/>
          <w:cols w:equalWidth="0" w:num="2">
            <w:col w:w="560" w:space="720"/>
            <w:col w:w="8959"/>
          </w:cols>
          <w:pgMar w:left="220" w:top="299" w:right="1440" w:bottom="1440" w:gutter="0" w:footer="0" w:header="0"/>
          <w:type w:val="continuous"/>
        </w:sectPr>
      </w:pPr>
    </w:p>
    <w:p>
      <w:pPr>
        <w:ind w:left="1280" w:hanging="1272"/>
        <w:spacing w:after="0"/>
        <w:tabs>
          <w:tab w:leader="none" w:pos="1280" w:val="left"/>
        </w:tabs>
        <w:numPr>
          <w:ilvl w:val="0"/>
          <w:numId w:val="221"/>
        </w:numPr>
        <w:rPr>
          <w:rFonts w:ascii="Arial" w:cs="Arial" w:eastAsia="Arial" w:hAnsi="Arial"/>
          <w:sz w:val="12"/>
          <w:szCs w:val="12"/>
          <w:b w:val="1"/>
          <w:bCs w:val="1"/>
          <w:color w:val="auto"/>
        </w:rPr>
      </w:pPr>
      <w:r>
        <w:rPr>
          <w:rFonts w:ascii="Arial" w:cs="Arial" w:eastAsia="Arial" w:hAnsi="Arial"/>
          <w:sz w:val="12"/>
          <w:szCs w:val="12"/>
          <w:b w:val="1"/>
          <w:bCs w:val="1"/>
          <w:color w:val="auto"/>
        </w:rPr>
        <w:t>Corporate Offices Commercial Parking Certification</w:t>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Attachments:</w:t>
      </w:r>
    </w:p>
    <w:p>
      <w:pPr>
        <w:spacing w:after="0" w:line="86" w:lineRule="exact"/>
        <w:rPr>
          <w:sz w:val="20"/>
          <w:szCs w:val="20"/>
          <w:color w:val="auto"/>
        </w:rPr>
      </w:pPr>
    </w:p>
    <w:p>
      <w:pPr>
        <w:ind w:left="520" w:hanging="512"/>
        <w:spacing w:after="0"/>
        <w:tabs>
          <w:tab w:leader="none" w:pos="5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w:t>
      </w:r>
    </w:p>
    <w:p>
      <w:pPr>
        <w:spacing w:after="0" w:line="89" w:lineRule="exact"/>
        <w:rPr>
          <w:rFonts w:ascii="Arial" w:cs="Arial" w:eastAsia="Arial" w:hAnsi="Arial"/>
          <w:sz w:val="16"/>
          <w:szCs w:val="16"/>
          <w:b w:val="1"/>
          <w:bCs w:val="1"/>
          <w:color w:val="auto"/>
        </w:rPr>
      </w:pPr>
    </w:p>
    <w:p>
      <w:pPr>
        <w:ind w:left="520" w:hanging="512"/>
        <w:spacing w:after="0"/>
        <w:tabs>
          <w:tab w:leader="none" w:pos="5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Certification</w:t>
      </w:r>
    </w:p>
    <w:p>
      <w:pPr>
        <w:spacing w:after="0" w:line="89" w:lineRule="exact"/>
        <w:rPr>
          <w:rFonts w:ascii="Arial" w:cs="Arial" w:eastAsia="Arial" w:hAnsi="Arial"/>
          <w:sz w:val="16"/>
          <w:szCs w:val="16"/>
          <w:b w:val="1"/>
          <w:bCs w:val="1"/>
          <w:color w:val="auto"/>
        </w:rPr>
      </w:pPr>
    </w:p>
    <w:p>
      <w:pPr>
        <w:ind w:left="520" w:hanging="512"/>
        <w:spacing w:after="0"/>
        <w:tabs>
          <w:tab w:leader="none" w:pos="5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Vehicle Trips</w:t>
      </w:r>
    </w:p>
    <w:p>
      <w:pPr>
        <w:spacing w:after="0" w:line="89" w:lineRule="exact"/>
        <w:rPr>
          <w:rFonts w:ascii="Arial" w:cs="Arial" w:eastAsia="Arial" w:hAnsi="Arial"/>
          <w:sz w:val="16"/>
          <w:szCs w:val="16"/>
          <w:b w:val="1"/>
          <w:bCs w:val="1"/>
          <w:color w:val="auto"/>
        </w:rPr>
      </w:pPr>
    </w:p>
    <w:p>
      <w:pPr>
        <w:ind w:left="520" w:hanging="512"/>
        <w:spacing w:after="0"/>
        <w:tabs>
          <w:tab w:leader="none" w:pos="5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Site Plan</w:t>
      </w:r>
    </w:p>
    <w:p>
      <w:pPr>
        <w:spacing w:after="0" w:line="89" w:lineRule="exact"/>
        <w:rPr>
          <w:rFonts w:ascii="Arial" w:cs="Arial" w:eastAsia="Arial" w:hAnsi="Arial"/>
          <w:sz w:val="16"/>
          <w:szCs w:val="16"/>
          <w:b w:val="1"/>
          <w:bCs w:val="1"/>
          <w:color w:val="auto"/>
        </w:rPr>
      </w:pPr>
    </w:p>
    <w:p>
      <w:pPr>
        <w:ind w:left="520" w:hanging="512"/>
        <w:spacing w:after="0"/>
        <w:tabs>
          <w:tab w:leader="none" w:pos="5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Guaranteed Ride Home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312025"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9" w:right="1440" w:bottom="1440" w:gutter="0" w:footer="0" w:header="0"/>
          <w:type w:val="continuous"/>
        </w:sectPr>
      </w:pPr>
    </w:p>
    <w:bookmarkStart w:id="362" w:name="page363"/>
    <w:bookmarkEnd w:id="362"/>
    <w:p>
      <w:pPr>
        <w:ind w:left="520" w:hanging="512"/>
        <w:spacing w:after="0"/>
        <w:tabs>
          <w:tab w:leader="none" w:pos="520"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Project Description</w:t>
      </w:r>
    </w:p>
    <w:p>
      <w:pPr>
        <w:spacing w:after="0" w:line="97" w:lineRule="exact"/>
        <w:rPr>
          <w:sz w:val="20"/>
          <w:szCs w:val="20"/>
          <w:color w:val="auto"/>
        </w:rPr>
      </w:pPr>
    </w:p>
    <w:p>
      <w:pPr>
        <w:ind w:right="80"/>
        <w:spacing w:after="0" w:line="325" w:lineRule="auto"/>
        <w:rPr>
          <w:sz w:val="20"/>
          <w:szCs w:val="20"/>
          <w:color w:val="auto"/>
        </w:rPr>
      </w:pPr>
      <w:r>
        <w:rPr>
          <w:rFonts w:ascii="Arial" w:cs="Arial" w:eastAsia="Arial" w:hAnsi="Arial"/>
          <w:sz w:val="12"/>
          <w:szCs w:val="12"/>
          <w:color w:val="auto"/>
        </w:rPr>
        <w:t>The garage at 47 Eric Street (the “Garage”) is being constructed and will be owned by Fort Washington Realty Trust (“FWRT”) whose address is in care of Lyme Properties, 101 Main Street, 18</w:t>
      </w:r>
      <w:r>
        <w:rPr>
          <w:rFonts w:ascii="Arial" w:cs="Arial" w:eastAsia="Arial" w:hAnsi="Arial"/>
          <w:sz w:val="10"/>
          <w:szCs w:val="10"/>
          <w:color w:val="auto"/>
        </w:rPr>
        <w:t>th</w:t>
      </w:r>
      <w:r>
        <w:rPr>
          <w:rFonts w:ascii="Arial" w:cs="Arial" w:eastAsia="Arial" w:hAnsi="Arial"/>
          <w:sz w:val="12"/>
          <w:szCs w:val="12"/>
          <w:color w:val="auto"/>
        </w:rPr>
        <w:t xml:space="preserve"> Floor, Cambridge, MA 02142. The Garage and 77 surface spaces located at 40 Erie Street and 270. Albany Street will provide the accessory parking spaces pursuant to the Cambridge Zoning Ordinance for 270 Albany Street, 21 Erie Street, 40 Erie Street (also known as 130 Waverly Street and Fort Washington Research Park Phase 1) and 200 Sidney Street (Fort Washington Research Park Phase 2) (together, the “Buildings”). Of these four Buildings, all but Fort Washington Phase 2 are built and occupied. All of the occupied buildings received certificates of occupancy prior to the enactment of the PTDM ordinance. The Garage contains a total of 447 accessory parking spaces. The 447 Garage spaces are allocated among the four</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Buildings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 w:type="dxa"/>
            <w:vAlign w:val="bottom"/>
            <w:gridSpan w:val="2"/>
            <w:vMerge w:val="restart"/>
          </w:tcPr>
          <w:p>
            <w:pPr>
              <w:spacing w:after="0"/>
              <w:rPr>
                <w:sz w:val="20"/>
                <w:szCs w:val="20"/>
                <w:color w:val="auto"/>
              </w:rPr>
            </w:pPr>
            <w:r>
              <w:rPr>
                <w:rFonts w:ascii="Arial" w:cs="Arial" w:eastAsia="Arial" w:hAnsi="Arial"/>
                <w:sz w:val="15"/>
                <w:szCs w:val="15"/>
                <w:color w:val="auto"/>
                <w:w w:val="87"/>
              </w:rPr>
              <w:t>270</w:t>
            </w:r>
          </w:p>
        </w:tc>
        <w:tc>
          <w:tcPr>
            <w:tcW w:w="2740" w:type="dxa"/>
            <w:vAlign w:val="bottom"/>
            <w:vMerge w:val="restart"/>
          </w:tcPr>
          <w:p>
            <w:pPr>
              <w:ind w:left="20"/>
              <w:spacing w:after="0"/>
              <w:rPr>
                <w:sz w:val="20"/>
                <w:szCs w:val="20"/>
                <w:color w:val="auto"/>
              </w:rPr>
            </w:pPr>
            <w:r>
              <w:rPr>
                <w:rFonts w:ascii="Arial" w:cs="Arial" w:eastAsia="Arial" w:hAnsi="Arial"/>
                <w:sz w:val="15"/>
                <w:szCs w:val="15"/>
                <w:color w:val="auto"/>
              </w:rPr>
              <w:t>Albany Street</w:t>
            </w:r>
          </w:p>
        </w:tc>
        <w:tc>
          <w:tcPr>
            <w:tcW w:w="4820" w:type="dxa"/>
            <w:vAlign w:val="bottom"/>
            <w:gridSpan w:val="3"/>
          </w:tcPr>
          <w:p>
            <w:pPr>
              <w:ind w:left="940"/>
              <w:spacing w:after="0"/>
              <w:rPr>
                <w:sz w:val="20"/>
                <w:szCs w:val="20"/>
                <w:color w:val="auto"/>
              </w:rPr>
            </w:pPr>
            <w:r>
              <w:rPr>
                <w:rFonts w:ascii="Arial" w:cs="Arial" w:eastAsia="Arial" w:hAnsi="Arial"/>
                <w:sz w:val="12"/>
                <w:szCs w:val="12"/>
                <w:color w:val="auto"/>
              </w:rPr>
              <w:t>Building Square Footage</w:t>
            </w:r>
          </w:p>
        </w:tc>
        <w:tc>
          <w:tcPr>
            <w:tcW w:w="3660" w:type="dxa"/>
            <w:vAlign w:val="bottom"/>
          </w:tcPr>
          <w:p>
            <w:pPr>
              <w:spacing w:after="0"/>
              <w:rPr>
                <w:sz w:val="20"/>
                <w:szCs w:val="20"/>
                <w:color w:val="auto"/>
              </w:rPr>
            </w:pPr>
            <w:r>
              <w:rPr>
                <w:rFonts w:ascii="Arial" w:cs="Arial" w:eastAsia="Arial" w:hAnsi="Arial"/>
                <w:sz w:val="12"/>
                <w:szCs w:val="12"/>
                <w:color w:val="auto"/>
              </w:rPr>
              <w:t># Spaces</w:t>
            </w:r>
          </w:p>
        </w:tc>
        <w:tc>
          <w:tcPr>
            <w:tcW w:w="0" w:type="dxa"/>
            <w:vAlign w:val="bottom"/>
          </w:tcPr>
          <w:p>
            <w:pPr>
              <w:spacing w:after="0"/>
              <w:rPr>
                <w:sz w:val="1"/>
                <w:szCs w:val="1"/>
                <w:color w:val="auto"/>
              </w:rPr>
            </w:pPr>
          </w:p>
        </w:tc>
      </w:tr>
      <w:tr>
        <w:trPr>
          <w:trHeight w:val="177"/>
        </w:trPr>
        <w:tc>
          <w:tcPr>
            <w:tcW w:w="240" w:type="dxa"/>
            <w:vAlign w:val="bottom"/>
            <w:gridSpan w:val="2"/>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70,000</w:t>
            </w:r>
          </w:p>
        </w:tc>
        <w:tc>
          <w:tcPr>
            <w:tcW w:w="220" w:type="dxa"/>
            <w:vAlign w:val="bottom"/>
          </w:tcPr>
          <w:p>
            <w:pPr>
              <w:spacing w:after="0"/>
              <w:rPr>
                <w:sz w:val="15"/>
                <w:szCs w:val="15"/>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63"/>
        </w:trPr>
        <w:tc>
          <w:tcPr>
            <w:tcW w:w="180" w:type="dxa"/>
            <w:vAlign w:val="bottom"/>
          </w:tcPr>
          <w:p>
            <w:pPr>
              <w:spacing w:after="0"/>
              <w:rPr>
                <w:sz w:val="20"/>
                <w:szCs w:val="20"/>
                <w:color w:val="auto"/>
              </w:rPr>
            </w:pPr>
            <w:r>
              <w:rPr>
                <w:rFonts w:ascii="Arial" w:cs="Arial" w:eastAsia="Arial" w:hAnsi="Arial"/>
                <w:sz w:val="15"/>
                <w:szCs w:val="15"/>
                <w:color w:val="auto"/>
                <w:w w:val="95"/>
              </w:rPr>
              <w:t>21</w:t>
            </w:r>
          </w:p>
        </w:tc>
        <w:tc>
          <w:tcPr>
            <w:tcW w:w="2800" w:type="dxa"/>
            <w:vAlign w:val="bottom"/>
            <w:gridSpan w:val="2"/>
          </w:tcPr>
          <w:p>
            <w:pPr>
              <w:spacing w:after="0"/>
              <w:rPr>
                <w:sz w:val="20"/>
                <w:szCs w:val="20"/>
                <w:color w:val="auto"/>
              </w:rPr>
            </w:pPr>
            <w:r>
              <w:rPr>
                <w:rFonts w:ascii="Arial" w:cs="Arial" w:eastAsia="Arial" w:hAnsi="Arial"/>
                <w:sz w:val="15"/>
                <w:szCs w:val="15"/>
                <w:color w:val="auto"/>
              </w:rPr>
              <w:t>Erie Street</w:t>
            </w:r>
          </w:p>
        </w:tc>
        <w:tc>
          <w:tcPr>
            <w:tcW w:w="4600" w:type="dxa"/>
            <w:vAlign w:val="bottom"/>
            <w:gridSpan w:val="2"/>
          </w:tcPr>
          <w:p>
            <w:pPr>
              <w:ind w:left="940"/>
              <w:spacing w:after="0"/>
              <w:rPr>
                <w:sz w:val="20"/>
                <w:szCs w:val="20"/>
                <w:color w:val="auto"/>
              </w:rPr>
            </w:pPr>
            <w:r>
              <w:rPr>
                <w:rFonts w:ascii="Arial" w:cs="Arial" w:eastAsia="Arial" w:hAnsi="Arial"/>
                <w:sz w:val="15"/>
                <w:szCs w:val="15"/>
                <w:color w:val="auto"/>
              </w:rPr>
              <w:t>52,000</w:t>
            </w:r>
          </w:p>
        </w:tc>
        <w:tc>
          <w:tcPr>
            <w:tcW w:w="22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63 .</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0"/>
                <w:szCs w:val="20"/>
                <w:color w:val="auto"/>
              </w:rPr>
            </w:pPr>
            <w:r>
              <w:rPr>
                <w:rFonts w:ascii="Arial" w:cs="Arial" w:eastAsia="Arial" w:hAnsi="Arial"/>
                <w:sz w:val="15"/>
                <w:szCs w:val="15"/>
                <w:color w:val="auto"/>
                <w:w w:val="95"/>
              </w:rPr>
              <w:t>40</w:t>
            </w:r>
          </w:p>
        </w:tc>
        <w:tc>
          <w:tcPr>
            <w:tcW w:w="2800" w:type="dxa"/>
            <w:vAlign w:val="bottom"/>
            <w:gridSpan w:val="2"/>
          </w:tcPr>
          <w:p>
            <w:pPr>
              <w:spacing w:after="0"/>
              <w:rPr>
                <w:sz w:val="20"/>
                <w:szCs w:val="20"/>
                <w:color w:val="auto"/>
              </w:rPr>
            </w:pPr>
            <w:r>
              <w:rPr>
                <w:rFonts w:ascii="Arial" w:cs="Arial" w:eastAsia="Arial" w:hAnsi="Arial"/>
                <w:sz w:val="15"/>
                <w:szCs w:val="15"/>
                <w:color w:val="auto"/>
              </w:rPr>
              <w:t>Erie Street (130 Waverly Street)</w:t>
            </w:r>
          </w:p>
        </w:tc>
        <w:tc>
          <w:tcPr>
            <w:tcW w:w="4600" w:type="dxa"/>
            <w:vAlign w:val="bottom"/>
            <w:gridSpan w:val="2"/>
          </w:tcPr>
          <w:p>
            <w:pPr>
              <w:ind w:left="940"/>
              <w:spacing w:after="0"/>
              <w:rPr>
                <w:sz w:val="20"/>
                <w:szCs w:val="20"/>
                <w:color w:val="auto"/>
              </w:rPr>
            </w:pPr>
            <w:r>
              <w:rPr>
                <w:rFonts w:ascii="Arial" w:cs="Arial" w:eastAsia="Arial" w:hAnsi="Arial"/>
                <w:sz w:val="15"/>
                <w:szCs w:val="15"/>
                <w:color w:val="auto"/>
              </w:rPr>
              <w:t>109,000</w:t>
            </w:r>
          </w:p>
        </w:tc>
        <w:tc>
          <w:tcPr>
            <w:tcW w:w="2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73"/>
        </w:trPr>
        <w:tc>
          <w:tcPr>
            <w:tcW w:w="240" w:type="dxa"/>
            <w:vAlign w:val="bottom"/>
            <w:gridSpan w:val="2"/>
          </w:tcPr>
          <w:p>
            <w:pPr>
              <w:spacing w:after="0"/>
              <w:rPr>
                <w:sz w:val="20"/>
                <w:szCs w:val="20"/>
                <w:color w:val="auto"/>
              </w:rPr>
            </w:pPr>
            <w:r>
              <w:rPr>
                <w:rFonts w:ascii="Arial" w:cs="Arial" w:eastAsia="Arial" w:hAnsi="Arial"/>
                <w:sz w:val="15"/>
                <w:szCs w:val="15"/>
                <w:color w:val="auto"/>
                <w:w w:val="87"/>
              </w:rPr>
              <w:t>200</w:t>
            </w:r>
          </w:p>
        </w:tc>
        <w:tc>
          <w:tcPr>
            <w:tcW w:w="2740" w:type="dxa"/>
            <w:vAlign w:val="bottom"/>
          </w:tcPr>
          <w:p>
            <w:pPr>
              <w:ind w:left="20"/>
              <w:spacing w:after="0"/>
              <w:rPr>
                <w:sz w:val="20"/>
                <w:szCs w:val="20"/>
                <w:color w:val="auto"/>
              </w:rPr>
            </w:pPr>
            <w:r>
              <w:rPr>
                <w:rFonts w:ascii="Arial" w:cs="Arial" w:eastAsia="Arial" w:hAnsi="Arial"/>
                <w:sz w:val="15"/>
                <w:szCs w:val="15"/>
                <w:color w:val="auto"/>
              </w:rPr>
              <w:t>Sidney Street</w:t>
            </w:r>
          </w:p>
        </w:tc>
        <w:tc>
          <w:tcPr>
            <w:tcW w:w="4600" w:type="dxa"/>
            <w:vAlign w:val="bottom"/>
            <w:gridSpan w:val="2"/>
          </w:tcPr>
          <w:p>
            <w:pPr>
              <w:ind w:left="940"/>
              <w:spacing w:after="0"/>
              <w:rPr>
                <w:sz w:val="20"/>
                <w:szCs w:val="20"/>
                <w:color w:val="auto"/>
              </w:rPr>
            </w:pPr>
            <w:r>
              <w:rPr>
                <w:rFonts w:ascii="Arial" w:cs="Arial" w:eastAsia="Arial" w:hAnsi="Arial"/>
                <w:sz w:val="15"/>
                <w:szCs w:val="15"/>
                <w:color w:val="auto"/>
              </w:rPr>
              <w:t>135,000</w:t>
            </w:r>
          </w:p>
        </w:tc>
        <w:tc>
          <w:tcPr>
            <w:tcW w:w="2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387" w:lineRule="auto"/>
        <w:rPr>
          <w:sz w:val="20"/>
          <w:szCs w:val="20"/>
          <w:color w:val="auto"/>
        </w:rPr>
      </w:pPr>
      <w:r>
        <w:rPr>
          <w:rFonts w:ascii="Arial" w:cs="Arial" w:eastAsia="Arial" w:hAnsi="Arial"/>
          <w:sz w:val="12"/>
          <w:szCs w:val="12"/>
          <w:color w:val="auto"/>
        </w:rPr>
        <w:t xml:space="preserve">The existing surface spaces serve 40 Erie Street. A “Non-Commercial Parking Space Registration Form” for the Garage and existing surface spaces at 270 Albany and 40 Erie Street (a total of 524 spaces), a copy of which is attached, was filed with the Cambridge Department of Traffic, Parking and Transportation and approved by the Director on October 28, 1997 </w:t>
      </w:r>
      <w:r>
        <w:rPr>
          <w:rFonts w:ascii="Arial" w:cs="Arial" w:eastAsia="Arial" w:hAnsi="Arial"/>
          <w:sz w:val="12"/>
          <w:szCs w:val="12"/>
          <w:b w:val="1"/>
          <w:bCs w:val="1"/>
          <w:color w:val="auto"/>
        </w:rPr>
        <w:t>(Attachment 1).</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A building permit for the garage was issued November 4, 1997 (#0997154), and construction will be complete on or about April 30,1999.</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447 accessory parking spaces in the Garage are located on six levels and served by two elevators. All of the Garage and surface spaces are employee spaces. There are no commercial spaces in the Garage or surface lots. The gross size of the garage is 121,000 gross square feet.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tenants located in the Buildings served by the Garage and surface lots are:</w:t>
      </w:r>
    </w:p>
    <w:p>
      <w:pPr>
        <w:spacing w:after="0" w:line="86" w:lineRule="exact"/>
        <w:rPr>
          <w:sz w:val="20"/>
          <w:szCs w:val="20"/>
          <w:color w:val="auto"/>
        </w:rPr>
      </w:pPr>
    </w:p>
    <w:p>
      <w:pPr>
        <w:ind w:left="520" w:hanging="512"/>
        <w:spacing w:after="0"/>
        <w:tabs>
          <w:tab w:leader="none" w:pos="5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270 Albany Street:</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Millennium Pharmaceuticals, Inc. (“Millennium”) - 200 employees</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Plex, LLC (“Plex”) - 2 employees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21 Erie Street:</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Heliotrope Studios Ltd. (“Heliotrope”) - 3 employees</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Reprogensis, Inc. (“Reprogensis”)-33 employees</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TVisions, Inc. (“TVisions”) - 100 employees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40 Erie Street:</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Vertex Pharmaceuticals, Incorporated (“Vertex”) - 261 employees</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Millennium - 50 employees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200 Sidney Street:</w:t>
      </w:r>
    </w:p>
    <w:p>
      <w:pPr>
        <w:spacing w:after="0" w:line="89" w:lineRule="exact"/>
        <w:rPr>
          <w:rFonts w:ascii="Arial" w:cs="Arial" w:eastAsia="Arial" w:hAnsi="Arial"/>
          <w:sz w:val="16"/>
          <w:szCs w:val="16"/>
          <w:color w:val="auto"/>
        </w:rPr>
      </w:pPr>
    </w:p>
    <w:p>
      <w:pPr>
        <w:ind w:left="1040" w:hanging="518"/>
        <w:spacing w:after="0"/>
        <w:tabs>
          <w:tab w:leader="none" w:pos="1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Not yet leased, but expected to be 540 employees based on a projection of 4 persons per 1000 square feet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Average daily vehicle trips expected to be generated by the Buildings are set forth in the attached schedule </w:t>
      </w:r>
      <w:r>
        <w:rPr>
          <w:rFonts w:ascii="Arial" w:cs="Arial" w:eastAsia="Arial" w:hAnsi="Arial"/>
          <w:sz w:val="15"/>
          <w:szCs w:val="15"/>
          <w:b w:val="1"/>
          <w:bCs w:val="1"/>
          <w:color w:val="auto"/>
        </w:rPr>
        <w:t>(Attachment 3)</w:t>
      </w:r>
      <w:r>
        <w:rPr>
          <w:rFonts w:ascii="Arial" w:cs="Arial" w:eastAsia="Arial" w:hAnsi="Arial"/>
          <w:sz w:val="15"/>
          <w:szCs w:val="15"/>
          <w:color w:val="auto"/>
        </w:rPr>
        <w:t>.</w:t>
      </w:r>
    </w:p>
    <w:p>
      <w:pPr>
        <w:spacing w:after="0" w:line="182"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The nearest public transit is Central Square, approximately ,7 miles away. The nearest bicycle paths or lanes are on Mass. Ave. in Central Square, along the Charles River at Memorial Drive and on the MIT campus.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312025" cy="393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363" w:name="page364"/>
    <w:bookmarkEnd w:id="363"/>
    <w:p>
      <w:pPr>
        <w:spacing w:after="0"/>
        <w:rPr>
          <w:sz w:val="20"/>
          <w:szCs w:val="20"/>
          <w:color w:val="auto"/>
        </w:rPr>
      </w:pPr>
      <w:r>
        <w:rPr>
          <w:rFonts w:ascii="Arial" w:cs="Arial" w:eastAsia="Arial" w:hAnsi="Arial"/>
          <w:sz w:val="12"/>
          <w:szCs w:val="12"/>
          <w:color w:val="auto"/>
        </w:rPr>
        <w:t xml:space="preserve">Bicycle lanes are planned for the Sidney/Waverly/Vasser “Cambridge Roadway Improvements”. A site plan is attached showing the location of the Garage and the Buildings </w:t>
      </w:r>
      <w:r>
        <w:rPr>
          <w:rFonts w:ascii="Arial" w:cs="Arial" w:eastAsia="Arial" w:hAnsi="Arial"/>
          <w:sz w:val="12"/>
          <w:szCs w:val="12"/>
          <w:b w:val="1"/>
          <w:bCs w:val="1"/>
          <w:color w:val="auto"/>
        </w:rPr>
        <w:t>(Attachment 4)</w:t>
      </w:r>
      <w:r>
        <w:rPr>
          <w:rFonts w:ascii="Arial" w:cs="Arial" w:eastAsia="Arial" w:hAnsi="Arial"/>
          <w:sz w:val="12"/>
          <w:szCs w:val="12"/>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contact person for this project is Robert L. Green, Lyme Properties 18</w:t>
      </w:r>
      <w:r>
        <w:rPr>
          <w:rFonts w:ascii="Arial" w:cs="Arial" w:eastAsia="Arial" w:hAnsi="Arial"/>
          <w:sz w:val="12"/>
          <w:szCs w:val="12"/>
          <w:color w:val="auto"/>
        </w:rPr>
        <w:t>th</w:t>
      </w:r>
      <w:r>
        <w:rPr>
          <w:rFonts w:ascii="Arial" w:cs="Arial" w:eastAsia="Arial" w:hAnsi="Arial"/>
          <w:sz w:val="15"/>
          <w:szCs w:val="15"/>
          <w:color w:val="auto"/>
        </w:rPr>
        <w:t xml:space="preserve"> Floor, 101 Main St., Cambridge, MA 02142, telephone, (617) 225-0909.</w:t>
      </w:r>
    </w:p>
    <w:p>
      <w:pPr>
        <w:spacing w:after="0" w:line="257" w:lineRule="exact"/>
        <w:rPr>
          <w:sz w:val="20"/>
          <w:szCs w:val="20"/>
          <w:color w:val="auto"/>
        </w:rPr>
      </w:pPr>
    </w:p>
    <w:p>
      <w:pPr>
        <w:ind w:left="520" w:hanging="512"/>
        <w:spacing w:after="0"/>
        <w:tabs>
          <w:tab w:leader="none" w:pos="520"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 to Mode Split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FWRT has agreed to a mode split goal of 61% for single occupancy vehicles.</w:t>
      </w:r>
    </w:p>
    <w:p>
      <w:pPr>
        <w:spacing w:after="0" w:line="257" w:lineRule="exact"/>
        <w:rPr>
          <w:sz w:val="20"/>
          <w:szCs w:val="20"/>
          <w:color w:val="auto"/>
        </w:rPr>
      </w:pPr>
    </w:p>
    <w:p>
      <w:pPr>
        <w:ind w:left="520" w:hanging="512"/>
        <w:spacing w:after="0"/>
        <w:tabs>
          <w:tab w:leader="none" w:pos="520"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General Transportation Demand Management Programs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 Membership in Transportation Management Association</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 Transportation Management Association is a private not-for-profit organization whose objective is to coordinate member business and other resources to improve transportation. The local organization, the Charles River Transportation Management Association (CRTMA), works with employers to develop voluntary, cost effective measures that benefit the members of the organization. The CRTMA assists businesses in developing internal transportation policies and programs that offer employees commute options at reduced costs. The CRTMA can facilitate the development of joint programs between groups of businesses. The CRTMA provides a connection with local, state and federal agencies to inform participating members of recent developments in transportation and assist in compliance with regulations. Services by the CRTMA include:</w:t>
      </w:r>
    </w:p>
    <w:p>
      <w:pPr>
        <w:spacing w:after="0" w:line="53" w:lineRule="exact"/>
        <w:rPr>
          <w:sz w:val="20"/>
          <w:szCs w:val="20"/>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Corporate transportation policy analysis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Monitoring of government policy</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Guaranteed ride home program.</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RideSource car and van matching</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Information resource for commute alternative</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Marketing of commute choices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Development of incentive programs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Employer transportation advisor and training program</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Pedestrian and bicycle incentive program</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Local shuttle bus service for members</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FWRT or an affiliate will join the CRTMA. FWRT will include provisions in all future tenant leases informing them of the programs available under the CRTMA and encouraging participation by tenants.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 Guaranteed Ride Home</w:t>
      </w:r>
    </w:p>
    <w:p>
      <w:pPr>
        <w:spacing w:after="0" w:line="94" w:lineRule="exact"/>
        <w:rPr>
          <w:sz w:val="20"/>
          <w:szCs w:val="20"/>
          <w:color w:val="auto"/>
        </w:rPr>
      </w:pPr>
    </w:p>
    <w:p>
      <w:pPr>
        <w:ind w:right="200"/>
        <w:spacing w:after="0" w:line="387" w:lineRule="auto"/>
        <w:rPr>
          <w:sz w:val="20"/>
          <w:szCs w:val="20"/>
          <w:color w:val="auto"/>
        </w:rPr>
      </w:pPr>
      <w:r>
        <w:rPr>
          <w:rFonts w:ascii="Arial" w:cs="Arial" w:eastAsia="Arial" w:hAnsi="Arial"/>
          <w:sz w:val="12"/>
          <w:szCs w:val="12"/>
          <w:color w:val="auto"/>
        </w:rPr>
        <w:t xml:space="preserve">Many employees drive to work because of concern that they cannot get home quickly in the event of an emergency or need a car for unexpected travel. Either directly or through its leases with tenants, FWRT will provide a guaranteed ride home to employees in such an event. The attached CRTMA Guaranteed Ride Home Program or a similar one will be provided </w:t>
      </w:r>
      <w:r>
        <w:rPr>
          <w:rFonts w:ascii="Arial" w:cs="Arial" w:eastAsia="Arial" w:hAnsi="Arial"/>
          <w:sz w:val="12"/>
          <w:szCs w:val="12"/>
          <w:b w:val="1"/>
          <w:bCs w:val="1"/>
          <w:color w:val="auto"/>
        </w:rPr>
        <w:t>(Attachment 5).</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 Employee Transportation Coordinator</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FWRT will designate a full-time employee as Employee Transportation Coordinator (ETC) to assist in the day to day administration of TDM programs. The ETC will be responsible for coordination with CRTMA and tenants and staffing an on-site commuter services desk that will sell transit passes, tokens, and commuter checks; distribute marketing materials; and administer the guaranteed ride home program.</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312025" cy="39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474" w:right="279" w:bottom="1440" w:gutter="0" w:footer="0" w:header="0"/>
        </w:sectPr>
      </w:pPr>
    </w:p>
    <w:bookmarkStart w:id="364" w:name="page365"/>
    <w:bookmarkEnd w:id="364"/>
    <w:p>
      <w:pPr>
        <w:spacing w:after="0"/>
        <w:rPr>
          <w:sz w:val="20"/>
          <w:szCs w:val="20"/>
          <w:color w:val="auto"/>
        </w:rPr>
      </w:pPr>
      <w:r>
        <w:rPr>
          <w:rFonts w:ascii="Arial" w:cs="Arial" w:eastAsia="Arial" w:hAnsi="Arial"/>
          <w:sz w:val="15"/>
          <w:szCs w:val="15"/>
          <w:b w:val="1"/>
          <w:bCs w:val="1"/>
          <w:u w:val="single" w:color="auto"/>
          <w:color w:val="auto"/>
        </w:rPr>
        <w:t>D. Initial Tenant Survey</w:t>
      </w:r>
    </w:p>
    <w:p>
      <w:pPr>
        <w:spacing w:after="0" w:line="94" w:lineRule="exact"/>
        <w:rPr>
          <w:sz w:val="20"/>
          <w:szCs w:val="20"/>
          <w:color w:val="auto"/>
        </w:rPr>
      </w:pPr>
    </w:p>
    <w:p>
      <w:pPr>
        <w:ind w:right="480"/>
        <w:spacing w:after="0" w:line="262" w:lineRule="auto"/>
        <w:rPr>
          <w:sz w:val="20"/>
          <w:szCs w:val="20"/>
          <w:color w:val="auto"/>
        </w:rPr>
      </w:pPr>
      <w:r>
        <w:rPr>
          <w:rFonts w:ascii="Arial" w:cs="Arial" w:eastAsia="Arial" w:hAnsi="Arial"/>
          <w:sz w:val="15"/>
          <w:szCs w:val="15"/>
          <w:color w:val="auto"/>
        </w:rPr>
        <w:t>In all future tenant leases, FWRT will include a provision encouraging tenants to provide an initial survey upon occupancy including information about the characteristics and attitudes of employees and customers in order to refine existing TDM programs and develop new ones.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 lectric Vehicle Recharging Facility</w:t>
      </w:r>
    </w:p>
    <w:p>
      <w:pPr>
        <w:spacing w:after="0" w:line="94" w:lineRule="exact"/>
        <w:rPr>
          <w:sz w:val="20"/>
          <w:szCs w:val="20"/>
          <w:color w:val="auto"/>
        </w:rPr>
      </w:pPr>
    </w:p>
    <w:p>
      <w:pPr>
        <w:ind w:right="500"/>
        <w:spacing w:after="0" w:line="262" w:lineRule="auto"/>
        <w:rPr>
          <w:sz w:val="20"/>
          <w:szCs w:val="20"/>
          <w:color w:val="auto"/>
        </w:rPr>
      </w:pPr>
      <w:r>
        <w:rPr>
          <w:rFonts w:ascii="Arial" w:cs="Arial" w:eastAsia="Arial" w:hAnsi="Arial"/>
          <w:sz w:val="15"/>
          <w:szCs w:val="15"/>
          <w:color w:val="auto"/>
        </w:rPr>
        <w:t>Promptly upon a request therefor by any tenant or employee of the Buildings, FWRT will install an electric vehicle recharging facility in the garage and will distribute information on the availability and use to tenants and visitors.</w:t>
      </w:r>
    </w:p>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b w:val="1"/>
          <w:bCs w:val="1"/>
          <w:color w:val="auto"/>
        </w:rPr>
        <w:t>Alternative Mode Promotions and Incentives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 MBTA Corporate Pass Program and Subsidized Transit Passes</w:t>
      </w:r>
    </w:p>
    <w:p>
      <w:pPr>
        <w:spacing w:after="0" w:line="94" w:lineRule="exact"/>
        <w:rPr>
          <w:sz w:val="20"/>
          <w:szCs w:val="20"/>
          <w:color w:val="auto"/>
        </w:rPr>
      </w:pPr>
    </w:p>
    <w:p>
      <w:pPr>
        <w:ind w:right="100"/>
        <w:spacing w:after="0" w:line="310" w:lineRule="auto"/>
        <w:rPr>
          <w:sz w:val="20"/>
          <w:szCs w:val="20"/>
          <w:color w:val="auto"/>
        </w:rPr>
      </w:pPr>
      <w:r>
        <w:rPr>
          <w:rFonts w:ascii="Arial" w:cs="Arial" w:eastAsia="Arial" w:hAnsi="Arial"/>
          <w:sz w:val="12"/>
          <w:szCs w:val="12"/>
          <w:color w:val="auto"/>
        </w:rPr>
        <w:t>On-site sales of MBTA transit passes and commuter vouchers through the MBTA Corporate Pass Program will begin after at least 50% of the tenants have occupied 200 Sidney Street. Working with MBTA and CARAVAN, unsold passes will be carried over into the next month or returned for credit on future purchases. Sales will be monitored for several months to establish the appropriate number of passes to be purchased in subsequent months. FWRT will exercise reasonable efforts to negotiate lease provisions in future leases regarding tenants who do not presently</w:t>
      </w:r>
    </w:p>
    <w:p>
      <w:pPr>
        <w:spacing w:after="0" w:line="1" w:lineRule="exact"/>
        <w:rPr>
          <w:sz w:val="20"/>
          <w:szCs w:val="20"/>
          <w:color w:val="auto"/>
        </w:rPr>
      </w:pPr>
    </w:p>
    <w:p>
      <w:pPr>
        <w:spacing w:after="0"/>
        <w:tabs>
          <w:tab w:leader="none" w:pos="3200" w:val="left"/>
        </w:tabs>
        <w:rPr>
          <w:sz w:val="20"/>
          <w:szCs w:val="20"/>
          <w:color w:val="auto"/>
        </w:rPr>
      </w:pPr>
      <w:r>
        <w:rPr>
          <w:rFonts w:ascii="Arial" w:cs="Arial" w:eastAsia="Arial" w:hAnsi="Arial"/>
          <w:sz w:val="15"/>
          <w:szCs w:val="15"/>
          <w:color w:val="auto"/>
        </w:rPr>
        <w:t>subsidize MBTA passes to do so in the future.</w:t>
      </w:r>
      <w:r>
        <w:rPr>
          <w:sz w:val="20"/>
          <w:szCs w:val="20"/>
          <w:color w:val="auto"/>
        </w:rPr>
        <w:tab/>
      </w:r>
      <w:r>
        <w:rPr>
          <w:rFonts w:ascii="Arial" w:cs="Arial" w:eastAsia="Arial" w:hAnsi="Arial"/>
          <w:sz w:val="14"/>
          <w:szCs w:val="14"/>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 Participation in Private Bus Shuttle Service</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FWRT has also met with CRTMA to discuss establishing shuttle service for the Buildings. The current CRTMA routes do not provide service to the Red Line or Central Square. With new membership and additional shuttle participation by its members, CRTMA has indicated that it might assume responsibility for operating shuttles that could provide service between the buildings and Central Square. However, because leases for substantially all of the space in the Buildings are already in effect and shuttle costs cannot be passed on tenants, FWRT is not able to unconditionally commit to such service unless it can be provided cost efficiently and the tenants voluntarily agree to pay for it. However working with CRTMA, FWRT will exercise reasonable efforts to convince tenants to participate and implement Red Line shuttle service.</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 Green Line Shuttle Study</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Within twelve months of 90% occupancy of 200 Sidney Street, FWRT or CRTMA will complete a study on the feasibility of providing service connecting the Buildings to the B, C, and D Green Line branches. This study will be undertaken by FWRT alone or in combination with others including perhaps tenants of the Buildings or CRTMA and will include estimates of demand and cost. The study will be presented to the PDTM Planning Officer along with FWRT’s recommendations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 Ridesharing Vehicles</w:t>
      </w:r>
    </w:p>
    <w:p>
      <w:pPr>
        <w:spacing w:after="0" w:line="94" w:lineRule="exact"/>
        <w:rPr>
          <w:sz w:val="20"/>
          <w:szCs w:val="20"/>
          <w:color w:val="auto"/>
        </w:rPr>
      </w:pPr>
    </w:p>
    <w:p>
      <w:pPr>
        <w:ind w:right="260"/>
        <w:spacing w:after="0" w:line="346" w:lineRule="auto"/>
        <w:rPr>
          <w:sz w:val="20"/>
          <w:szCs w:val="20"/>
          <w:color w:val="auto"/>
        </w:rPr>
      </w:pPr>
      <w:r>
        <w:rPr>
          <w:rFonts w:ascii="Arial" w:cs="Arial" w:eastAsia="Arial" w:hAnsi="Arial"/>
          <w:sz w:val="12"/>
          <w:szCs w:val="12"/>
          <w:color w:val="auto"/>
        </w:rPr>
        <w:t>FWRT will provide up to 10% of accessory parking in convenient locations in order to encourage ridesharing. The actual number of spaces will be adjusted based on usage, but additional preferential spaces will be available as needed for new ridesharing vehicles. The Employee Transportation Coordinator will administer, monitor, and adapt the preferential parking as needed. All site employees will be provided with access to CARAVAN for Commuter’s Ridesource regional ridesource matching database. Also, a project ridematching database will be developed.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 Bicycle and Pedestrian Programs:</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FWRT will provide secure bicycle parking in the garage and in exterior locations and such garage bicycle parking will be covered and secured. No less than the minimum parking required by zoning will be provided. Short term bicycle parking will be provided near building entrances for visitors, customers, and couriers.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312025"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40"/>
          </w:cols>
          <w:pgMar w:left="220" w:top="562" w:right="339" w:bottom="1440" w:gutter="0" w:footer="0" w:header="0"/>
        </w:sectPr>
      </w:pPr>
    </w:p>
    <w:bookmarkStart w:id="365" w:name="page366"/>
    <w:bookmarkEnd w:id="365"/>
    <w:p>
      <w:pPr>
        <w:spacing w:after="0"/>
        <w:rPr>
          <w:sz w:val="20"/>
          <w:szCs w:val="20"/>
          <w:color w:val="auto"/>
        </w:rPr>
      </w:pPr>
      <w:r>
        <w:rPr>
          <w:rFonts w:ascii="Arial" w:cs="Arial" w:eastAsia="Arial" w:hAnsi="Arial"/>
          <w:sz w:val="15"/>
          <w:szCs w:val="15"/>
          <w:color w:val="auto"/>
        </w:rPr>
        <w:t>Set forth below is a chart summarizing existing TDM programs for the Garage and lots: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jc w:val="center"/>
              <w:ind w:left="292"/>
              <w:spacing w:after="0"/>
              <w:rPr>
                <w:sz w:val="20"/>
                <w:szCs w:val="20"/>
                <w:color w:val="auto"/>
              </w:rPr>
            </w:pPr>
            <w:r>
              <w:rPr>
                <w:rFonts w:ascii="Arial" w:cs="Arial" w:eastAsia="Arial" w:hAnsi="Arial"/>
                <w:sz w:val="12"/>
                <w:szCs w:val="12"/>
                <w:color w:val="auto"/>
                <w:w w:val="87"/>
              </w:rPr>
              <w:t>FWRTon</w:t>
            </w:r>
          </w:p>
        </w:tc>
      </w:tr>
      <w:tr>
        <w:trPr>
          <w:trHeight w:val="120"/>
        </w:trPr>
        <w:tc>
          <w:tcPr>
            <w:tcW w:w="52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00" w:type="dxa"/>
            <w:vAlign w:val="bottom"/>
          </w:tcPr>
          <w:p>
            <w:pPr>
              <w:jc w:val="center"/>
              <w:ind w:left="292"/>
              <w:spacing w:after="0" w:line="121" w:lineRule="exact"/>
              <w:rPr>
                <w:sz w:val="20"/>
                <w:szCs w:val="20"/>
                <w:color w:val="auto"/>
              </w:rPr>
            </w:pPr>
            <w:r>
              <w:rPr>
                <w:rFonts w:ascii="Arial" w:cs="Arial" w:eastAsia="Arial" w:hAnsi="Arial"/>
                <w:sz w:val="12"/>
                <w:szCs w:val="12"/>
                <w:color w:val="auto"/>
                <w:w w:val="91"/>
              </w:rPr>
              <w:t>behalf of</w:t>
            </w:r>
          </w:p>
        </w:tc>
      </w:tr>
      <w:tr>
        <w:trPr>
          <w:trHeight w:val="114"/>
        </w:trPr>
        <w:tc>
          <w:tcPr>
            <w:tcW w:w="5220" w:type="dxa"/>
            <w:vAlign w:val="bottom"/>
          </w:tcPr>
          <w:p>
            <w:pPr>
              <w:spacing w:after="0"/>
              <w:rPr>
                <w:sz w:val="9"/>
                <w:szCs w:val="9"/>
                <w:color w:val="auto"/>
              </w:rPr>
            </w:pPr>
          </w:p>
        </w:tc>
        <w:tc>
          <w:tcPr>
            <w:tcW w:w="2600" w:type="dxa"/>
            <w:vAlign w:val="bottom"/>
          </w:tcPr>
          <w:p>
            <w:pPr>
              <w:jc w:val="center"/>
              <w:ind w:left="1129"/>
              <w:spacing w:after="0" w:line="114" w:lineRule="exact"/>
              <w:rPr>
                <w:sz w:val="20"/>
                <w:szCs w:val="20"/>
                <w:color w:val="auto"/>
              </w:rPr>
            </w:pPr>
            <w:r>
              <w:rPr>
                <w:rFonts w:ascii="Arial" w:cs="Arial" w:eastAsia="Arial" w:hAnsi="Arial"/>
                <w:sz w:val="12"/>
                <w:szCs w:val="12"/>
                <w:color w:val="auto"/>
                <w:w w:val="97"/>
              </w:rPr>
              <w:t>Millennium</w:t>
            </w:r>
          </w:p>
        </w:tc>
        <w:tc>
          <w:tcPr>
            <w:tcW w:w="1140" w:type="dxa"/>
            <w:vAlign w:val="bottom"/>
          </w:tcPr>
          <w:p>
            <w:pPr>
              <w:jc w:val="center"/>
              <w:spacing w:after="0" w:line="114" w:lineRule="exact"/>
              <w:rPr>
                <w:sz w:val="20"/>
                <w:szCs w:val="20"/>
                <w:color w:val="auto"/>
              </w:rPr>
            </w:pPr>
            <w:r>
              <w:rPr>
                <w:rFonts w:ascii="Arial" w:cs="Arial" w:eastAsia="Arial" w:hAnsi="Arial"/>
                <w:sz w:val="12"/>
                <w:szCs w:val="12"/>
                <w:color w:val="auto"/>
                <w:w w:val="86"/>
              </w:rPr>
              <w:t>Vertex</w:t>
            </w:r>
          </w:p>
        </w:tc>
        <w:tc>
          <w:tcPr>
            <w:tcW w:w="1300" w:type="dxa"/>
            <w:vAlign w:val="bottom"/>
          </w:tcPr>
          <w:p>
            <w:pPr>
              <w:ind w:left="440"/>
              <w:spacing w:after="0" w:line="114" w:lineRule="exact"/>
              <w:rPr>
                <w:sz w:val="20"/>
                <w:szCs w:val="20"/>
                <w:color w:val="auto"/>
              </w:rPr>
            </w:pPr>
            <w:r>
              <w:rPr>
                <w:rFonts w:ascii="Arial" w:cs="Arial" w:eastAsia="Arial" w:hAnsi="Arial"/>
                <w:sz w:val="12"/>
                <w:szCs w:val="12"/>
                <w:color w:val="auto"/>
              </w:rPr>
              <w:t>TVisions 4</w:t>
            </w:r>
          </w:p>
        </w:tc>
        <w:tc>
          <w:tcPr>
            <w:tcW w:w="900" w:type="dxa"/>
            <w:vAlign w:val="bottom"/>
          </w:tcPr>
          <w:p>
            <w:pPr>
              <w:jc w:val="center"/>
              <w:ind w:left="292"/>
              <w:spacing w:after="0" w:line="114" w:lineRule="exact"/>
              <w:rPr>
                <w:sz w:val="20"/>
                <w:szCs w:val="20"/>
                <w:color w:val="auto"/>
              </w:rPr>
            </w:pPr>
            <w:r>
              <w:rPr>
                <w:rFonts w:ascii="Arial" w:cs="Arial" w:eastAsia="Arial" w:hAnsi="Arial"/>
                <w:sz w:val="12"/>
                <w:szCs w:val="12"/>
                <w:color w:val="auto"/>
                <w:w w:val="89"/>
              </w:rPr>
              <w:t>200 Sidney</w:t>
            </w:r>
          </w:p>
        </w:tc>
      </w:tr>
      <w:tr>
        <w:trPr>
          <w:trHeight w:val="229"/>
        </w:trPr>
        <w:tc>
          <w:tcPr>
            <w:tcW w:w="5220" w:type="dxa"/>
            <w:vAlign w:val="bottom"/>
          </w:tcPr>
          <w:p>
            <w:pPr>
              <w:spacing w:after="0"/>
              <w:rPr>
                <w:sz w:val="20"/>
                <w:szCs w:val="20"/>
                <w:color w:val="auto"/>
              </w:rPr>
            </w:pPr>
            <w:r>
              <w:rPr>
                <w:rFonts w:ascii="Arial" w:cs="Arial" w:eastAsia="Arial" w:hAnsi="Arial"/>
                <w:sz w:val="15"/>
                <w:szCs w:val="15"/>
                <w:color w:val="auto"/>
              </w:rPr>
              <w:t>Shuttle Participation</w:t>
            </w:r>
          </w:p>
        </w:tc>
        <w:tc>
          <w:tcPr>
            <w:tcW w:w="2600" w:type="dxa"/>
            <w:vAlign w:val="bottom"/>
          </w:tcPr>
          <w:p>
            <w:pPr>
              <w:jc w:val="center"/>
              <w:ind w:left="1129"/>
              <w:spacing w:after="0" w:line="151" w:lineRule="exact"/>
              <w:rPr>
                <w:sz w:val="20"/>
                <w:szCs w:val="20"/>
                <w:color w:val="auto"/>
              </w:rPr>
            </w:pPr>
            <w:r>
              <w:rPr>
                <w:rFonts w:ascii="MS PGothic" w:cs="MS PGothic" w:eastAsia="MS PGothic" w:hAnsi="MS PGothic"/>
                <w:sz w:val="15"/>
                <w:szCs w:val="15"/>
                <w:color w:val="auto"/>
                <w:w w:val="79"/>
              </w:rPr>
              <w:t>✓</w:t>
            </w: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5"/>
                <w:szCs w:val="15"/>
                <w:color w:val="auto"/>
              </w:rPr>
              <w:t>MBTA Pass Program</w:t>
            </w:r>
            <w:r>
              <w:rPr>
                <w:rFonts w:ascii="Arial" w:cs="Arial" w:eastAsia="Arial" w:hAnsi="Arial"/>
                <w:sz w:val="12"/>
                <w:szCs w:val="12"/>
                <w:color w:val="auto"/>
              </w:rPr>
              <w:t>1</w:t>
            </w:r>
          </w:p>
        </w:tc>
        <w:tc>
          <w:tcPr>
            <w:tcW w:w="2600" w:type="dxa"/>
            <w:vAlign w:val="bottom"/>
          </w:tcPr>
          <w:p>
            <w:pPr>
              <w:jc w:val="center"/>
              <w:ind w:left="1129"/>
              <w:spacing w:after="0" w:line="151" w:lineRule="exact"/>
              <w:rPr>
                <w:sz w:val="20"/>
                <w:szCs w:val="20"/>
                <w:color w:val="auto"/>
              </w:rPr>
            </w:pPr>
            <w:r>
              <w:rPr>
                <w:rFonts w:ascii="MS PGothic" w:cs="MS PGothic" w:eastAsia="MS PGothic" w:hAnsi="MS PGothic"/>
                <w:sz w:val="15"/>
                <w:szCs w:val="15"/>
                <w:color w:val="auto"/>
                <w:w w:val="79"/>
              </w:rPr>
              <w:t>✓</w:t>
            </w: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00" w:type="dxa"/>
            <w:vAlign w:val="bottom"/>
          </w:tcPr>
          <w:p>
            <w:pPr>
              <w:jc w:val="center"/>
              <w:ind w:left="312"/>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Guaranteed Ride Home</w:t>
            </w:r>
            <w:r>
              <w:rPr>
                <w:rFonts w:ascii="Arial" w:cs="Arial" w:eastAsia="Arial" w:hAnsi="Arial"/>
                <w:sz w:val="12"/>
                <w:szCs w:val="12"/>
                <w:color w:val="auto"/>
              </w:rPr>
              <w:t>2</w:t>
            </w:r>
          </w:p>
        </w:tc>
        <w:tc>
          <w:tcPr>
            <w:tcW w:w="2600" w:type="dxa"/>
            <w:vAlign w:val="bottom"/>
          </w:tcPr>
          <w:p>
            <w:pPr>
              <w:jc w:val="center"/>
              <w:ind w:left="1129"/>
              <w:spacing w:after="0" w:line="151" w:lineRule="exact"/>
              <w:rPr>
                <w:sz w:val="20"/>
                <w:szCs w:val="20"/>
                <w:color w:val="auto"/>
              </w:rPr>
            </w:pPr>
            <w:r>
              <w:rPr>
                <w:rFonts w:ascii="MS PGothic" w:cs="MS PGothic" w:eastAsia="MS PGothic" w:hAnsi="MS PGothic"/>
                <w:sz w:val="15"/>
                <w:szCs w:val="15"/>
                <w:color w:val="auto"/>
                <w:w w:val="79"/>
              </w:rPr>
              <w:t>✓</w:t>
            </w: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jc w:val="center"/>
              <w:ind w:left="312"/>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Carpooling and Caravan Ride matching</w:t>
            </w:r>
          </w:p>
        </w:tc>
        <w:tc>
          <w:tcPr>
            <w:tcW w:w="2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jc w:val="center"/>
              <w:ind w:left="312"/>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Flexible Work Schedules</w:t>
            </w:r>
          </w:p>
        </w:tc>
        <w:tc>
          <w:tcPr>
            <w:tcW w:w="2600" w:type="dxa"/>
            <w:vAlign w:val="bottom"/>
          </w:tcPr>
          <w:p>
            <w:pPr>
              <w:jc w:val="center"/>
              <w:ind w:left="1129"/>
              <w:spacing w:after="0" w:line="151" w:lineRule="exact"/>
              <w:rPr>
                <w:sz w:val="20"/>
                <w:szCs w:val="20"/>
                <w:color w:val="auto"/>
              </w:rPr>
            </w:pPr>
            <w:r>
              <w:rPr>
                <w:rFonts w:ascii="MS PGothic" w:cs="MS PGothic" w:eastAsia="MS PGothic" w:hAnsi="MS PGothic"/>
                <w:sz w:val="15"/>
                <w:szCs w:val="15"/>
                <w:color w:val="auto"/>
                <w:w w:val="79"/>
              </w:rPr>
              <w:t>✓</w:t>
            </w:r>
          </w:p>
        </w:tc>
        <w:tc>
          <w:tcPr>
            <w:tcW w:w="114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Publicity and Marketing</w:t>
            </w:r>
          </w:p>
        </w:tc>
        <w:tc>
          <w:tcPr>
            <w:tcW w:w="2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jc w:val="center"/>
              <w:ind w:left="312"/>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Bicycles/Racks/Showers</w:t>
            </w:r>
          </w:p>
        </w:tc>
        <w:tc>
          <w:tcPr>
            <w:tcW w:w="2600" w:type="dxa"/>
            <w:vAlign w:val="bottom"/>
          </w:tcPr>
          <w:p>
            <w:pPr>
              <w:jc w:val="center"/>
              <w:ind w:left="1129"/>
              <w:spacing w:after="0" w:line="151" w:lineRule="exact"/>
              <w:rPr>
                <w:sz w:val="20"/>
                <w:szCs w:val="20"/>
                <w:color w:val="auto"/>
              </w:rPr>
            </w:pPr>
            <w:r>
              <w:rPr>
                <w:rFonts w:ascii="MS PGothic" w:cs="MS PGothic" w:eastAsia="MS PGothic" w:hAnsi="MS PGothic"/>
                <w:sz w:val="15"/>
                <w:szCs w:val="15"/>
                <w:color w:val="auto"/>
                <w:w w:val="79"/>
              </w:rPr>
              <w:t>✓</w:t>
            </w:r>
          </w:p>
        </w:tc>
        <w:tc>
          <w:tcPr>
            <w:tcW w:w="114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300" w:type="dxa"/>
            <w:vAlign w:val="bottom"/>
          </w:tcPr>
          <w:p>
            <w:pPr>
              <w:spacing w:after="0"/>
              <w:rPr>
                <w:sz w:val="23"/>
                <w:szCs w:val="23"/>
                <w:color w:val="auto"/>
              </w:rPr>
            </w:pPr>
          </w:p>
        </w:tc>
        <w:tc>
          <w:tcPr>
            <w:tcW w:w="900" w:type="dxa"/>
            <w:vAlign w:val="bottom"/>
          </w:tcPr>
          <w:p>
            <w:pPr>
              <w:jc w:val="center"/>
              <w:ind w:left="312"/>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Discount and Preferential Parking for Vanpools and Carpools</w:t>
            </w:r>
          </w:p>
        </w:tc>
        <w:tc>
          <w:tcPr>
            <w:tcW w:w="2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jc w:val="center"/>
              <w:ind w:left="312"/>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220" w:type="dxa"/>
            <w:vAlign w:val="bottom"/>
          </w:tcPr>
          <w:p>
            <w:pPr>
              <w:spacing w:after="0"/>
              <w:rPr>
                <w:sz w:val="20"/>
                <w:szCs w:val="20"/>
                <w:color w:val="auto"/>
              </w:rPr>
            </w:pPr>
            <w:r>
              <w:rPr>
                <w:rFonts w:ascii="Arial" w:cs="Arial" w:eastAsia="Arial" w:hAnsi="Arial"/>
                <w:sz w:val="15"/>
                <w:szCs w:val="15"/>
                <w:color w:val="auto"/>
              </w:rPr>
              <w:t>Financial Incentives</w:t>
            </w:r>
            <w:r>
              <w:rPr>
                <w:rFonts w:ascii="Arial" w:cs="Arial" w:eastAsia="Arial" w:hAnsi="Arial"/>
                <w:sz w:val="12"/>
                <w:szCs w:val="12"/>
                <w:color w:val="auto"/>
              </w:rPr>
              <w:t>3</w:t>
            </w:r>
          </w:p>
        </w:tc>
        <w:tc>
          <w:tcPr>
            <w:tcW w:w="2600" w:type="dxa"/>
            <w:vAlign w:val="bottom"/>
          </w:tcPr>
          <w:p>
            <w:pPr>
              <w:jc w:val="center"/>
              <w:ind w:left="1129"/>
              <w:spacing w:after="0" w:line="151" w:lineRule="exact"/>
              <w:rPr>
                <w:sz w:val="20"/>
                <w:szCs w:val="20"/>
                <w:color w:val="auto"/>
              </w:rPr>
            </w:pPr>
            <w:r>
              <w:rPr>
                <w:rFonts w:ascii="MS PGothic" w:cs="MS PGothic" w:eastAsia="MS PGothic" w:hAnsi="MS PGothic"/>
                <w:sz w:val="15"/>
                <w:szCs w:val="15"/>
                <w:color w:val="auto"/>
                <w:w w:val="79"/>
              </w:rPr>
              <w:t>✓</w:t>
            </w: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In all cases the TDM measures described hereunder will be implemented by FWRT, individual building owners, or the tenants of the Buildings.</w:t>
      </w:r>
    </w:p>
    <w:p>
      <w:pPr>
        <w:spacing w:after="0" w:line="257" w:lineRule="exact"/>
        <w:rPr>
          <w:sz w:val="20"/>
          <w:szCs w:val="20"/>
          <w:color w:val="auto"/>
        </w:rPr>
      </w:pPr>
    </w:p>
    <w:p>
      <w:pPr>
        <w:ind w:left="520" w:hanging="512"/>
        <w:spacing w:after="0"/>
        <w:tabs>
          <w:tab w:leader="none" w:pos="520"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Alternative Work Programs</w:t>
      </w:r>
    </w:p>
    <w:p>
      <w:pPr>
        <w:spacing w:after="0" w:line="98"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FWRT will include provisions in all leases giving tenants information on the advantages and benefits of telecommuting, flexible lime and compressed work week programs and encouraging tenants to work directly with the City of Cambridge on such programs.</w:t>
      </w:r>
    </w:p>
    <w:p>
      <w:pPr>
        <w:spacing w:after="0" w:line="65" w:lineRule="exact"/>
        <w:rPr>
          <w:sz w:val="20"/>
          <w:szCs w:val="20"/>
          <w:color w:val="auto"/>
        </w:rPr>
      </w:pPr>
    </w:p>
    <w:p>
      <w:pPr>
        <w:ind w:left="140" w:hanging="132"/>
        <w:spacing w:after="0"/>
        <w:tabs>
          <w:tab w:leader="none" w:pos="14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Millennium offers full paymenl up $60 per month, deducted form paychecks bcfore taxes.</w:t>
      </w:r>
    </w:p>
    <w:p>
      <w:pPr>
        <w:spacing w:after="0" w:line="102" w:lineRule="exact"/>
        <w:rPr>
          <w:rFonts w:ascii="Arial" w:cs="Arial" w:eastAsia="Arial" w:hAnsi="Arial"/>
          <w:sz w:val="13"/>
          <w:szCs w:val="13"/>
          <w:color w:val="auto"/>
        </w:rPr>
      </w:pPr>
    </w:p>
    <w:p>
      <w:pPr>
        <w:ind w:left="140" w:hanging="132"/>
        <w:spacing w:after="0"/>
        <w:tabs>
          <w:tab w:leader="none" w:pos="14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Millennium also offcers flee taxi vouchers for meetings.</w:t>
      </w:r>
    </w:p>
    <w:p>
      <w:pPr>
        <w:spacing w:after="0" w:line="102" w:lineRule="exact"/>
        <w:rPr>
          <w:rFonts w:ascii="Arial" w:cs="Arial" w:eastAsia="Arial" w:hAnsi="Arial"/>
          <w:sz w:val="13"/>
          <w:szCs w:val="13"/>
          <w:color w:val="auto"/>
        </w:rPr>
      </w:pPr>
    </w:p>
    <w:p>
      <w:pPr>
        <w:ind w:left="140" w:hanging="132"/>
        <w:spacing w:after="0"/>
        <w:tabs>
          <w:tab w:leader="none" w:pos="14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Millenniulll offers $100 per quarter to employces who elect not to commute by public transit or car.</w:t>
      </w:r>
    </w:p>
    <w:p>
      <w:pPr>
        <w:spacing w:after="0" w:line="102" w:lineRule="exact"/>
        <w:rPr>
          <w:rFonts w:ascii="Arial" w:cs="Arial" w:eastAsia="Arial" w:hAnsi="Arial"/>
          <w:sz w:val="13"/>
          <w:szCs w:val="13"/>
          <w:color w:val="auto"/>
        </w:rPr>
      </w:pPr>
    </w:p>
    <w:p>
      <w:pPr>
        <w:ind w:left="140" w:hanging="132"/>
        <w:spacing w:after="0"/>
        <w:tabs>
          <w:tab w:leader="none" w:pos="14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21 Erie Slreet tenants of 35 or less cmployees excluded.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31202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160"/>
          </w:cols>
          <w:pgMar w:left="220" w:top="478" w:right="51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5"/>
          <w:szCs w:val="15"/>
          <w:b w:val="1"/>
          <w:bCs w:val="1"/>
          <w:color w:val="auto"/>
        </w:rPr>
        <w:t>Department of Traffic, Parking and Transportation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57 Inman Street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Cambridge, MA 02139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 Commercial Parking Space Registration Form</w:t>
      </w:r>
    </w:p>
    <w:p>
      <w:pPr>
        <w:spacing w:after="0" w:line="182"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 xml:space="preserve">Name and address of property owner </w:t>
      </w:r>
      <w:r>
        <w:rPr>
          <w:rFonts w:ascii="Arial" w:cs="Arial" w:eastAsia="Arial" w:hAnsi="Arial"/>
          <w:sz w:val="15"/>
          <w:szCs w:val="15"/>
          <w:u w:val="single" w:color="auto"/>
          <w:color w:val="auto"/>
        </w:rPr>
        <w:t>FORT WASHINGTON REALTY TRUST</w:t>
      </w:r>
      <w:r>
        <w:rPr>
          <w:rFonts w:ascii="Arial" w:cs="Arial" w:eastAsia="Arial" w:hAnsi="Arial"/>
          <w:sz w:val="15"/>
          <w:szCs w:val="15"/>
          <w:color w:val="auto"/>
        </w:rPr>
        <w:t xml:space="preserve"> [ILLEGIBLE] </w:t>
      </w:r>
      <w:r>
        <w:rPr>
          <w:rFonts w:ascii="Arial" w:cs="Arial" w:eastAsia="Arial" w:hAnsi="Arial"/>
          <w:sz w:val="15"/>
          <w:szCs w:val="15"/>
          <w:u w:val="single" w:color="auto"/>
          <w:color w:val="auto"/>
        </w:rPr>
        <w:t>MCNEIL MGMT., 320 NORWOOD PARK SOUTH, NORWOOD MA 02062</w:t>
      </w:r>
      <w:r>
        <w:rPr>
          <w:rFonts w:ascii="Arial" w:cs="Arial" w:eastAsia="Arial" w:hAnsi="Arial"/>
          <w:sz w:val="15"/>
          <w:szCs w:val="15"/>
          <w:color w:val="auto"/>
        </w:rPr>
        <w:t xml:space="preserve"> Telephone </w:t>
      </w:r>
      <w:r>
        <w:rPr>
          <w:rFonts w:ascii="Arial" w:cs="Arial" w:eastAsia="Arial" w:hAnsi="Arial"/>
          <w:sz w:val="15"/>
          <w:szCs w:val="15"/>
          <w:u w:val="single" w:color="auto"/>
          <w:color w:val="auto"/>
        </w:rPr>
        <w:t>617 762</w:t>
      </w:r>
      <w:r>
        <w:rPr>
          <w:rFonts w:ascii="Arial" w:cs="Arial" w:eastAsia="Arial" w:hAnsi="Arial"/>
          <w:sz w:val="15"/>
          <w:szCs w:val="15"/>
          <w:color w:val="auto"/>
        </w:rPr>
        <w:t xml:space="preserve"> </w:t>
      </w:r>
      <w:r>
        <w:rPr>
          <w:rFonts w:ascii="Arial" w:cs="Arial" w:eastAsia="Arial" w:hAnsi="Arial"/>
          <w:sz w:val="15"/>
          <w:szCs w:val="15"/>
          <w:u w:val="single" w:color="auto"/>
          <w:color w:val="auto"/>
        </w:rPr>
        <w:t>4800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Name &amp; address of parking facility operator </w:t>
      </w:r>
      <w:r>
        <w:rPr>
          <w:rFonts w:ascii="Arial" w:cs="Arial" w:eastAsia="Arial" w:hAnsi="Arial"/>
          <w:sz w:val="15"/>
          <w:szCs w:val="15"/>
          <w:u w:val="single" w:color="auto"/>
          <w:color w:val="auto"/>
        </w:rPr>
        <w:t>SAME</w:t>
      </w:r>
      <w:r>
        <w:rPr>
          <w:rFonts w:ascii="Arial" w:cs="Arial" w:eastAsia="Arial" w:hAnsi="Arial"/>
          <w:sz w:val="15"/>
          <w:szCs w:val="15"/>
          <w:color w:val="auto"/>
        </w:rPr>
        <w:t xml:space="preserv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-12065</wp:posOffset>
            </wp:positionV>
            <wp:extent cx="60198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1980" cy="6985"/>
                    </a:xfrm>
                    <a:prstGeom prst="rect">
                      <a:avLst/>
                    </a:prstGeom>
                    <a:noFill/>
                  </pic:spPr>
                </pic:pic>
              </a:graphicData>
            </a:graphic>
          </wp:anchor>
        </w:drawing>
      </w:r>
    </w:p>
    <w:p>
      <w:pPr>
        <w:spacing w:after="0" w:line="158" w:lineRule="exact"/>
        <w:rPr>
          <w:sz w:val="20"/>
          <w:szCs w:val="20"/>
          <w:color w:val="auto"/>
        </w:rPr>
      </w:pPr>
    </w:p>
    <w:p>
      <w:pPr>
        <w:ind w:right="5420"/>
        <w:spacing w:after="0" w:line="399" w:lineRule="auto"/>
        <w:rPr>
          <w:sz w:val="20"/>
          <w:szCs w:val="20"/>
          <w:color w:val="auto"/>
        </w:rPr>
      </w:pPr>
      <w:r>
        <w:rPr>
          <w:rFonts w:ascii="Arial" w:cs="Arial" w:eastAsia="Arial" w:hAnsi="Arial"/>
          <w:sz w:val="15"/>
          <w:szCs w:val="15"/>
          <w:color w:val="auto"/>
        </w:rPr>
        <w:t xml:space="preserve">Name and address of facility </w:t>
      </w:r>
      <w:r>
        <w:rPr>
          <w:rFonts w:ascii="Arial" w:cs="Arial" w:eastAsia="Arial" w:hAnsi="Arial"/>
          <w:sz w:val="15"/>
          <w:szCs w:val="15"/>
          <w:u w:val="single" w:color="auto"/>
          <w:color w:val="auto"/>
        </w:rPr>
        <w:t>47 ERIE ST GARAGE, 47 ERIE ST, CAMBRIDGE MA 0213</w:t>
      </w:r>
      <w:r>
        <w:rPr>
          <w:rFonts w:ascii="Arial" w:cs="Arial" w:eastAsia="Arial" w:hAnsi="Arial"/>
          <w:sz w:val="15"/>
          <w:szCs w:val="15"/>
          <w:color w:val="auto"/>
        </w:rPr>
        <w:t xml:space="preserve"> Telephone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-266700</wp:posOffset>
            </wp:positionV>
            <wp:extent cx="57848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78485" cy="698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Type of facility:</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5"/>
                <w:szCs w:val="15"/>
                <w:color w:val="auto"/>
                <w:w w:val="91"/>
              </w:rPr>
              <w:t>Start of construction: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ind w:left="800"/>
              <w:spacing w:after="0"/>
              <w:rPr>
                <w:sz w:val="20"/>
                <w:szCs w:val="20"/>
                <w:color w:val="auto"/>
              </w:rPr>
            </w:pPr>
            <w:r>
              <w:rPr>
                <w:rFonts w:ascii="Arial" w:cs="Arial" w:eastAsia="Arial" w:hAnsi="Arial"/>
                <w:sz w:val="15"/>
                <w:szCs w:val="15"/>
                <w:color w:val="auto"/>
                <w:w w:val="95"/>
              </w:rPr>
              <w:t>Month</w:t>
            </w:r>
          </w:p>
        </w:tc>
        <w:tc>
          <w:tcPr>
            <w:tcW w:w="240" w:type="dxa"/>
            <w:vAlign w:val="bottom"/>
            <w:vMerge w:val="restart"/>
          </w:tcPr>
          <w:p>
            <w:pPr>
              <w:spacing w:after="0"/>
              <w:rPr>
                <w:sz w:val="12"/>
                <w:szCs w:val="12"/>
                <w:color w:val="auto"/>
              </w:rPr>
            </w:pPr>
          </w:p>
        </w:tc>
        <w:tc>
          <w:tcPr>
            <w:tcW w:w="940" w:type="dxa"/>
            <w:vAlign w:val="bottom"/>
            <w:vMerge w:val="restart"/>
          </w:tcPr>
          <w:p>
            <w:pPr>
              <w:jc w:val="right"/>
              <w:ind w:right="267"/>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5"/>
                <w:szCs w:val="15"/>
                <w:color w:val="auto"/>
              </w:rPr>
              <w:t>Day</w:t>
            </w:r>
          </w:p>
        </w:tc>
        <w:tc>
          <w:tcPr>
            <w:tcW w:w="520" w:type="dxa"/>
            <w:vAlign w:val="bottom"/>
            <w:vMerge w:val="restart"/>
          </w:tcPr>
          <w:p>
            <w:pPr>
              <w:spacing w:after="0"/>
              <w:rPr>
                <w:sz w:val="12"/>
                <w:szCs w:val="12"/>
                <w:color w:val="auto"/>
              </w:rPr>
            </w:pPr>
          </w:p>
        </w:tc>
        <w:tc>
          <w:tcPr>
            <w:tcW w:w="720" w:type="dxa"/>
            <w:vAlign w:val="bottom"/>
            <w:gridSpan w:val="3"/>
            <w:vMerge w:val="restart"/>
          </w:tcPr>
          <w:p>
            <w:pPr>
              <w:jc w:val="right"/>
              <w:ind w:right="487"/>
              <w:spacing w:after="0"/>
              <w:rPr>
                <w:sz w:val="20"/>
                <w:szCs w:val="20"/>
                <w:color w:val="auto"/>
              </w:rPr>
            </w:pPr>
            <w:r>
              <w:rPr>
                <w:rFonts w:ascii="Arial" w:cs="Arial" w:eastAsia="Arial" w:hAnsi="Arial"/>
                <w:sz w:val="15"/>
                <w:szCs w:val="15"/>
                <w:color w:val="auto"/>
                <w:w w:val="83"/>
              </w:rPr>
              <w:t>30</w:t>
            </w:r>
          </w:p>
        </w:tc>
        <w:tc>
          <w:tcPr>
            <w:tcW w:w="560" w:type="dxa"/>
            <w:vAlign w:val="bottom"/>
            <w:vMerge w:val="restart"/>
          </w:tcPr>
          <w:p>
            <w:pPr>
              <w:spacing w:after="0"/>
              <w:rPr>
                <w:sz w:val="20"/>
                <w:szCs w:val="20"/>
                <w:color w:val="auto"/>
              </w:rPr>
            </w:pPr>
            <w:r>
              <w:rPr>
                <w:rFonts w:ascii="Arial" w:cs="Arial" w:eastAsia="Arial" w:hAnsi="Arial"/>
                <w:sz w:val="15"/>
                <w:szCs w:val="15"/>
                <w:color w:val="auto"/>
              </w:rPr>
              <w:t>Year</w:t>
            </w:r>
          </w:p>
        </w:tc>
        <w:tc>
          <w:tcPr>
            <w:tcW w:w="1140" w:type="dxa"/>
            <w:vAlign w:val="bottom"/>
            <w:gridSpan w:val="2"/>
            <w:vMerge w:val="restart"/>
          </w:tcPr>
          <w:p>
            <w:pPr>
              <w:jc w:val="right"/>
              <w:ind w:right="427"/>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6"/>
        </w:trPr>
        <w:tc>
          <w:tcPr>
            <w:tcW w:w="2360" w:type="dxa"/>
            <w:vAlign w:val="bottom"/>
            <w:gridSpan w:val="2"/>
          </w:tcPr>
          <w:p>
            <w:pPr>
              <w:spacing w:after="0" w:line="166" w:lineRule="exact"/>
              <w:rPr>
                <w:sz w:val="20"/>
                <w:szCs w:val="20"/>
                <w:color w:val="auto"/>
              </w:rPr>
            </w:pPr>
            <w:r>
              <w:rPr>
                <w:rFonts w:ascii="Arial" w:cs="Arial" w:eastAsia="Arial" w:hAnsi="Arial"/>
                <w:sz w:val="15"/>
                <w:szCs w:val="15"/>
                <w:color w:val="auto"/>
              </w:rPr>
              <w:t>(Check one)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gridSpan w:val="2"/>
          </w:tcPr>
          <w:p>
            <w:pPr>
              <w:spacing w:after="0"/>
              <w:rPr>
                <w:sz w:val="20"/>
                <w:szCs w:val="20"/>
                <w:color w:val="auto"/>
              </w:rPr>
            </w:pPr>
            <w:r>
              <w:rPr>
                <w:rFonts w:ascii="Arial" w:cs="Arial" w:eastAsia="Arial" w:hAnsi="Arial"/>
                <w:sz w:val="15"/>
                <w:szCs w:val="15"/>
                <w:color w:val="auto"/>
              </w:rPr>
              <w:t>o Lot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5"/>
                <w:szCs w:val="15"/>
                <w:color w:val="auto"/>
              </w:rPr>
              <w:t>Opening of facility:</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ind w:left="800"/>
              <w:spacing w:after="0"/>
              <w:rPr>
                <w:sz w:val="20"/>
                <w:szCs w:val="20"/>
                <w:color w:val="auto"/>
              </w:rPr>
            </w:pPr>
            <w:r>
              <w:rPr>
                <w:rFonts w:ascii="Arial" w:cs="Arial" w:eastAsia="Arial" w:hAnsi="Arial"/>
                <w:sz w:val="15"/>
                <w:szCs w:val="15"/>
                <w:color w:val="auto"/>
                <w:w w:val="95"/>
              </w:rPr>
              <w:t>Month</w:t>
            </w:r>
          </w:p>
        </w:tc>
        <w:tc>
          <w:tcPr>
            <w:tcW w:w="240" w:type="dxa"/>
            <w:vAlign w:val="bottom"/>
          </w:tcPr>
          <w:p>
            <w:pPr>
              <w:spacing w:after="0"/>
              <w:rPr>
                <w:sz w:val="22"/>
                <w:szCs w:val="22"/>
                <w:color w:val="auto"/>
              </w:rPr>
            </w:pPr>
          </w:p>
        </w:tc>
        <w:tc>
          <w:tcPr>
            <w:tcW w:w="940" w:type="dxa"/>
            <w:vAlign w:val="bottom"/>
          </w:tcPr>
          <w:p>
            <w:pPr>
              <w:jc w:val="right"/>
              <w:ind w:right="307"/>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Day</w:t>
            </w:r>
          </w:p>
        </w:tc>
        <w:tc>
          <w:tcPr>
            <w:tcW w:w="5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58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15"/>
                <w:szCs w:val="15"/>
                <w:color w:val="auto"/>
              </w:rPr>
              <w:t>Year</w:t>
            </w:r>
          </w:p>
        </w:tc>
        <w:tc>
          <w:tcPr>
            <w:tcW w:w="1140" w:type="dxa"/>
            <w:vAlign w:val="bottom"/>
            <w:gridSpan w:val="2"/>
          </w:tcPr>
          <w:p>
            <w:pPr>
              <w:jc w:val="right"/>
              <w:ind w:right="427"/>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81"/>
        </w:trPr>
        <w:tc>
          <w:tcPr>
            <w:tcW w:w="2360" w:type="dxa"/>
            <w:vAlign w:val="bottom"/>
            <w:gridSpan w:val="2"/>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Garage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60" w:type="dxa"/>
            <w:vAlign w:val="bottom"/>
            <w:gridSpan w:val="2"/>
          </w:tcPr>
          <w:p>
            <w:pPr>
              <w:spacing w:after="0"/>
              <w:rPr>
                <w:sz w:val="20"/>
                <w:szCs w:val="20"/>
                <w:color w:val="auto"/>
              </w:rPr>
            </w:pPr>
            <w:r>
              <w:rPr>
                <w:rFonts w:ascii="Arial" w:cs="Arial" w:eastAsia="Arial" w:hAnsi="Arial"/>
                <w:sz w:val="12"/>
                <w:szCs w:val="12"/>
                <w:color w:val="auto"/>
              </w:rPr>
              <w:t>Type of request:</w:t>
            </w:r>
          </w:p>
        </w:tc>
        <w:tc>
          <w:tcPr>
            <w:tcW w:w="2140" w:type="dxa"/>
            <w:vAlign w:val="bottom"/>
            <w:gridSpan w:val="5"/>
            <w:vMerge w:val="restart"/>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New facility</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1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(Check one)</w:t>
            </w:r>
          </w:p>
        </w:tc>
        <w:tc>
          <w:tcPr>
            <w:tcW w:w="18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gridSpan w:val="5"/>
          </w:tcPr>
          <w:p>
            <w:pPr>
              <w:ind w:left="60"/>
              <w:spacing w:after="0"/>
              <w:rPr>
                <w:sz w:val="20"/>
                <w:szCs w:val="20"/>
                <w:color w:val="auto"/>
              </w:rPr>
            </w:pPr>
            <w:r>
              <w:rPr>
                <w:rFonts w:ascii="Arial" w:cs="Arial" w:eastAsia="Arial" w:hAnsi="Arial"/>
                <w:sz w:val="15"/>
                <w:szCs w:val="15"/>
                <w:color w:val="auto"/>
              </w:rPr>
              <w:t>o Modified facility</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gridSpan w:val="6"/>
          </w:tcPr>
          <w:p>
            <w:pPr>
              <w:spacing w:after="0"/>
              <w:rPr>
                <w:sz w:val="20"/>
                <w:szCs w:val="20"/>
                <w:color w:val="auto"/>
              </w:rPr>
            </w:pPr>
            <w:r>
              <w:rPr>
                <w:rFonts w:ascii="Arial" w:cs="Arial" w:eastAsia="Arial" w:hAnsi="Arial"/>
                <w:sz w:val="15"/>
                <w:szCs w:val="15"/>
                <w:color w:val="auto"/>
              </w:rPr>
              <w:t>Number of parking spaces</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5"/>
          </w:tcPr>
          <w:p>
            <w:pPr>
              <w:ind w:left="100"/>
              <w:spacing w:after="0"/>
              <w:rPr>
                <w:sz w:val="20"/>
                <w:szCs w:val="20"/>
                <w:color w:val="auto"/>
              </w:rPr>
            </w:pPr>
            <w:r>
              <w:rPr>
                <w:rFonts w:ascii="Arial" w:cs="Arial" w:eastAsia="Arial" w:hAnsi="Arial"/>
                <w:sz w:val="15"/>
                <w:szCs w:val="15"/>
                <w:color w:val="auto"/>
              </w:rPr>
              <w:t>Number of parking spaces</w:t>
            </w:r>
          </w:p>
        </w:tc>
        <w:tc>
          <w:tcPr>
            <w:tcW w:w="0" w:type="dxa"/>
            <w:vAlign w:val="bottom"/>
          </w:tcPr>
          <w:p>
            <w:pPr>
              <w:spacing w:after="0"/>
              <w:rPr>
                <w:sz w:val="1"/>
                <w:szCs w:val="1"/>
                <w:color w:val="auto"/>
              </w:rPr>
            </w:pPr>
          </w:p>
        </w:tc>
      </w:tr>
      <w:tr>
        <w:trPr>
          <w:trHeight w:val="350"/>
        </w:trPr>
        <w:tc>
          <w:tcPr>
            <w:tcW w:w="2360" w:type="dxa"/>
            <w:vAlign w:val="bottom"/>
            <w:gridSpan w:val="2"/>
          </w:tcPr>
          <w:p>
            <w:pPr>
              <w:spacing w:after="0"/>
              <w:rPr>
                <w:sz w:val="20"/>
                <w:szCs w:val="20"/>
                <w:color w:val="auto"/>
              </w:rPr>
            </w:pPr>
            <w:r>
              <w:rPr>
                <w:rFonts w:ascii="Arial" w:cs="Arial" w:eastAsia="Arial" w:hAnsi="Arial"/>
                <w:sz w:val="15"/>
                <w:szCs w:val="15"/>
                <w:b w:val="1"/>
                <w:bCs w:val="1"/>
                <w:color w:val="auto"/>
              </w:rPr>
              <w:t>Type of Parking Spaces: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5"/>
                <w:szCs w:val="15"/>
                <w:b w:val="1"/>
                <w:bCs w:val="1"/>
                <w:color w:val="auto"/>
              </w:rPr>
              <w:t>Existing</w:t>
            </w:r>
          </w:p>
        </w:tc>
        <w:tc>
          <w:tcPr>
            <w:tcW w:w="1240" w:type="dxa"/>
            <w:vAlign w:val="bottom"/>
            <w:gridSpan w:val="3"/>
          </w:tcPr>
          <w:p>
            <w:pPr>
              <w:ind w:left="20"/>
              <w:spacing w:after="0"/>
              <w:rPr>
                <w:sz w:val="20"/>
                <w:szCs w:val="20"/>
                <w:color w:val="auto"/>
              </w:rPr>
            </w:pPr>
            <w:r>
              <w:rPr>
                <w:rFonts w:ascii="Arial" w:cs="Arial" w:eastAsia="Arial" w:hAnsi="Arial"/>
                <w:sz w:val="15"/>
                <w:szCs w:val="15"/>
                <w:b w:val="1"/>
                <w:bCs w:val="1"/>
                <w:color w:val="auto"/>
              </w:rPr>
              <w:t>Proposed</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Type:</w:t>
            </w:r>
          </w:p>
        </w:tc>
        <w:tc>
          <w:tcPr>
            <w:tcW w:w="4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5"/>
                <w:szCs w:val="15"/>
                <w:b w:val="1"/>
                <w:bCs w:val="1"/>
                <w:color w:val="auto"/>
                <w:w w:val="92"/>
              </w:rPr>
              <w:t>Existing</w:t>
            </w:r>
          </w:p>
        </w:tc>
        <w:tc>
          <w:tcPr>
            <w:tcW w:w="560" w:type="dxa"/>
            <w:vAlign w:val="bottom"/>
          </w:tcPr>
          <w:p>
            <w:pPr>
              <w:spacing w:after="0"/>
              <w:rPr>
                <w:sz w:val="24"/>
                <w:szCs w:val="24"/>
                <w:color w:val="auto"/>
              </w:rPr>
            </w:pPr>
          </w:p>
        </w:tc>
        <w:tc>
          <w:tcPr>
            <w:tcW w:w="1140" w:type="dxa"/>
            <w:vAlign w:val="bottom"/>
            <w:gridSpan w:val="2"/>
          </w:tcPr>
          <w:p>
            <w:pPr>
              <w:jc w:val="right"/>
              <w:ind w:right="367"/>
              <w:spacing w:after="0"/>
              <w:rPr>
                <w:sz w:val="20"/>
                <w:szCs w:val="20"/>
                <w:color w:val="auto"/>
              </w:rPr>
            </w:pPr>
            <w:r>
              <w:rPr>
                <w:rFonts w:ascii="Arial" w:cs="Arial" w:eastAsia="Arial" w:hAnsi="Arial"/>
                <w:sz w:val="15"/>
                <w:szCs w:val="15"/>
                <w:b w:val="1"/>
                <w:bCs w:val="1"/>
                <w:color w:val="auto"/>
                <w:w w:val="98"/>
              </w:rPr>
              <w:t>Proposed</w:t>
            </w:r>
          </w:p>
        </w:tc>
        <w:tc>
          <w:tcPr>
            <w:tcW w:w="0" w:type="dxa"/>
            <w:vAlign w:val="bottom"/>
          </w:tcPr>
          <w:p>
            <w:pPr>
              <w:spacing w:after="0"/>
              <w:rPr>
                <w:sz w:val="1"/>
                <w:szCs w:val="1"/>
                <w:color w:val="auto"/>
              </w:rPr>
            </w:pPr>
          </w:p>
        </w:tc>
      </w:tr>
      <w:tr>
        <w:trPr>
          <w:trHeight w:val="341"/>
        </w:trPr>
        <w:tc>
          <w:tcPr>
            <w:tcW w:w="236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color w:val="auto"/>
              </w:rPr>
              <w:t>Residential</w:t>
            </w: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Commercial</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360" w:type="dxa"/>
            <w:vAlign w:val="bottom"/>
            <w:gridSpan w:val="2"/>
          </w:tcPr>
          <w:p>
            <w:pPr>
              <w:ind w:left="120"/>
              <w:spacing w:after="0"/>
              <w:rPr>
                <w:sz w:val="20"/>
                <w:szCs w:val="20"/>
                <w:color w:val="auto"/>
              </w:rPr>
            </w:pPr>
            <w:r>
              <w:rPr>
                <w:rFonts w:ascii="Arial" w:cs="Arial" w:eastAsia="Arial" w:hAnsi="Arial"/>
                <w:sz w:val="15"/>
                <w:szCs w:val="15"/>
                <w:color w:val="auto"/>
              </w:rPr>
              <w:t>Employee</w:t>
            </w:r>
          </w:p>
        </w:tc>
        <w:tc>
          <w:tcPr>
            <w:tcW w:w="2140" w:type="dxa"/>
            <w:vAlign w:val="bottom"/>
            <w:gridSpan w:val="5"/>
          </w:tcPr>
          <w:p>
            <w:pPr>
              <w:ind w:left="1900"/>
              <w:spacing w:after="0"/>
              <w:rPr>
                <w:sz w:val="20"/>
                <w:szCs w:val="20"/>
                <w:color w:val="auto"/>
              </w:rPr>
            </w:pPr>
            <w:r>
              <w:rPr>
                <w:rFonts w:ascii="Arial" w:cs="Arial" w:eastAsia="Arial" w:hAnsi="Arial"/>
                <w:sz w:val="15"/>
                <w:szCs w:val="15"/>
                <w:color w:val="auto"/>
              </w:rPr>
              <w:t>14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color w:val="auto"/>
              </w:rPr>
              <w:t>47[ILLEGIBLE]</w:t>
            </w:r>
          </w:p>
        </w:tc>
        <w:tc>
          <w:tcPr>
            <w:tcW w:w="1100" w:type="dxa"/>
            <w:vAlign w:val="bottom"/>
            <w:gridSpan w:val="3"/>
          </w:tcPr>
          <w:p>
            <w:pPr>
              <w:spacing w:after="0"/>
              <w:rPr>
                <w:sz w:val="20"/>
                <w:szCs w:val="20"/>
                <w:color w:val="auto"/>
              </w:rPr>
            </w:pPr>
            <w:r>
              <w:rPr>
                <w:rFonts w:ascii="Arial" w:cs="Arial" w:eastAsia="Arial" w:hAnsi="Arial"/>
                <w:sz w:val="15"/>
                <w:szCs w:val="15"/>
                <w:color w:val="auto"/>
              </w:rPr>
              <w:t>Patient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15</w:t>
            </w: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tcPr>
          <w:p>
            <w:pPr>
              <w:jc w:val="right"/>
              <w:ind w:right="927"/>
              <w:spacing w:after="0" w:line="156" w:lineRule="exact"/>
              <w:rPr>
                <w:sz w:val="20"/>
                <w:szCs w:val="20"/>
                <w:color w:val="auto"/>
              </w:rPr>
            </w:pPr>
            <w:r>
              <w:rPr>
                <w:rFonts w:ascii="Arial" w:cs="Arial" w:eastAsia="Arial" w:hAnsi="Arial"/>
                <w:sz w:val="15"/>
                <w:szCs w:val="15"/>
                <w:color w:val="auto"/>
                <w:w w:val="71"/>
              </w:rPr>
              <w:t>15</w:t>
            </w:r>
          </w:p>
        </w:tc>
        <w:tc>
          <w:tcPr>
            <w:tcW w:w="8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color w:val="auto"/>
              </w:rPr>
              <w:t>270[ILLEGIBLE]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120"/>
              <w:spacing w:after="0"/>
              <w:rPr>
                <w:sz w:val="20"/>
                <w:szCs w:val="20"/>
                <w:color w:val="auto"/>
              </w:rPr>
            </w:pPr>
            <w:r>
              <w:rPr>
                <w:rFonts w:ascii="Arial" w:cs="Arial" w:eastAsia="Arial" w:hAnsi="Arial"/>
                <w:sz w:val="15"/>
                <w:szCs w:val="15"/>
                <w:color w:val="auto"/>
              </w:rPr>
              <w:t>Customer</w:t>
            </w:r>
          </w:p>
        </w:tc>
        <w:tc>
          <w:tcPr>
            <w:tcW w:w="2140" w:type="dxa"/>
            <w:vAlign w:val="bottom"/>
            <w:gridSpan w:val="5"/>
          </w:tcPr>
          <w:p>
            <w:pPr>
              <w:ind w:left="1900"/>
              <w:spacing w:after="0"/>
              <w:rPr>
                <w:sz w:val="20"/>
                <w:szCs w:val="20"/>
                <w:color w:val="auto"/>
              </w:rPr>
            </w:pPr>
            <w:r>
              <w:rPr>
                <w:rFonts w:ascii="Arial" w:cs="Arial" w:eastAsia="Arial" w:hAnsi="Arial"/>
                <w:sz w:val="15"/>
                <w:szCs w:val="15"/>
                <w:color w:val="auto"/>
                <w:w w:val="87"/>
              </w:rPr>
              <w:t>254</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927"/>
              <w:spacing w:after="0"/>
              <w:rPr>
                <w:sz w:val="20"/>
                <w:szCs w:val="20"/>
                <w:color w:val="auto"/>
              </w:rPr>
            </w:pPr>
            <w:r>
              <w:rPr>
                <w:rFonts w:ascii="Arial" w:cs="Arial" w:eastAsia="Arial" w:hAnsi="Arial"/>
                <w:sz w:val="15"/>
                <w:szCs w:val="15"/>
                <w:color w:val="auto"/>
                <w:w w:val="83"/>
              </w:rPr>
              <w:t>62</w:t>
            </w:r>
          </w:p>
        </w:tc>
        <w:tc>
          <w:tcPr>
            <w:tcW w:w="8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color w:val="auto"/>
              </w:rPr>
              <w:t>40[ILLEGIBLE]</w:t>
            </w:r>
          </w:p>
        </w:tc>
        <w:tc>
          <w:tcPr>
            <w:tcW w:w="1100" w:type="dxa"/>
            <w:vAlign w:val="bottom"/>
            <w:gridSpan w:val="3"/>
          </w:tcPr>
          <w:p>
            <w:pPr>
              <w:spacing w:after="0"/>
              <w:rPr>
                <w:sz w:val="20"/>
                <w:szCs w:val="20"/>
                <w:color w:val="auto"/>
              </w:rPr>
            </w:pPr>
            <w:r>
              <w:rPr>
                <w:rFonts w:ascii="Arial" w:cs="Arial" w:eastAsia="Arial" w:hAnsi="Arial"/>
                <w:sz w:val="15"/>
                <w:szCs w:val="15"/>
                <w:color w:val="auto"/>
              </w:rPr>
              <w:t>Student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2360" w:type="dxa"/>
            <w:vAlign w:val="bottom"/>
            <w:gridSpan w:val="2"/>
          </w:tcPr>
          <w:p>
            <w:pPr>
              <w:ind w:left="120"/>
              <w:spacing w:after="0"/>
              <w:rPr>
                <w:sz w:val="20"/>
                <w:szCs w:val="20"/>
                <w:color w:val="auto"/>
              </w:rPr>
            </w:pPr>
            <w:r>
              <w:rPr>
                <w:rFonts w:ascii="Arial" w:cs="Arial" w:eastAsia="Arial" w:hAnsi="Arial"/>
                <w:sz w:val="15"/>
                <w:szCs w:val="15"/>
                <w:color w:val="auto"/>
              </w:rPr>
              <w:t>Client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5"/>
                <w:szCs w:val="15"/>
                <w:color w:val="auto"/>
              </w:rPr>
              <w:t>Guest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4500" w:type="dxa"/>
            <w:vAlign w:val="bottom"/>
            <w:gridSpan w:val="7"/>
          </w:tcPr>
          <w:p>
            <w:pPr>
              <w:spacing w:after="0"/>
              <w:rPr>
                <w:sz w:val="20"/>
                <w:szCs w:val="20"/>
                <w:color w:val="auto"/>
              </w:rPr>
            </w:pPr>
            <w:r>
              <w:rPr>
                <w:rFonts w:ascii="Arial" w:cs="Arial" w:eastAsia="Arial" w:hAnsi="Arial"/>
                <w:sz w:val="15"/>
                <w:szCs w:val="15"/>
                <w:color w:val="auto"/>
              </w:rPr>
              <w:t>[ILLEGIBLE] have any existing parking facility permits?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auto"/>
              </w:rPr>
              <w:t>Yes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60" w:type="dxa"/>
            <w:vAlign w:val="bottom"/>
          </w:tcPr>
          <w:p>
            <w:pPr>
              <w:ind w:left="340"/>
              <w:spacing w:after="0"/>
              <w:rPr>
                <w:sz w:val="20"/>
                <w:szCs w:val="20"/>
                <w:color w:val="auto"/>
              </w:rPr>
            </w:pPr>
            <w:r>
              <w:rPr>
                <w:rFonts w:ascii="Arial" w:cs="Arial" w:eastAsia="Arial" w:hAnsi="Arial"/>
                <w:sz w:val="15"/>
                <w:szCs w:val="15"/>
                <w:color w:val="auto"/>
              </w:rPr>
              <w:t>No</w:t>
            </w:r>
          </w:p>
        </w:tc>
        <w:tc>
          <w:tcPr>
            <w:tcW w:w="120" w:type="dxa"/>
            <w:vAlign w:val="bottom"/>
          </w:tcPr>
          <w:p>
            <w:pPr>
              <w:spacing w:after="0"/>
              <w:rPr>
                <w:sz w:val="24"/>
                <w:szCs w:val="24"/>
                <w:color w:val="auto"/>
              </w:rPr>
            </w:pPr>
          </w:p>
        </w:tc>
        <w:tc>
          <w:tcPr>
            <w:tcW w:w="1020" w:type="dxa"/>
            <w:vAlign w:val="bottom"/>
          </w:tcPr>
          <w:p>
            <w:pPr>
              <w:jc w:val="right"/>
              <w:ind w:right="427"/>
              <w:spacing w:after="0"/>
              <w:rPr>
                <w:sz w:val="20"/>
                <w:szCs w:val="20"/>
                <w:color w:val="auto"/>
              </w:rPr>
            </w:pPr>
            <w:r>
              <w:rPr>
                <w:rFonts w:ascii="Arial" w:cs="Arial" w:eastAsia="Arial" w:hAnsi="Arial"/>
                <w:sz w:val="15"/>
                <w:szCs w:val="15"/>
                <w:color w:val="auto"/>
              </w:rPr>
              <w:t>o</w:t>
            </w:r>
          </w:p>
        </w:tc>
        <w:tc>
          <w:tcPr>
            <w:tcW w:w="0" w:type="dxa"/>
            <w:vAlign w:val="bottom"/>
          </w:tcPr>
          <w:p>
            <w:pPr>
              <w:spacing w:after="0"/>
              <w:rPr>
                <w:sz w:val="1"/>
                <w:szCs w:val="1"/>
                <w:color w:val="auto"/>
              </w:rPr>
            </w:pPr>
          </w:p>
        </w:tc>
      </w:tr>
      <w:tr>
        <w:trPr>
          <w:trHeight w:val="334"/>
        </w:trPr>
        <w:tc>
          <w:tcPr>
            <w:tcW w:w="4500" w:type="dxa"/>
            <w:vAlign w:val="bottom"/>
            <w:gridSpan w:val="7"/>
          </w:tcPr>
          <w:p>
            <w:pPr>
              <w:spacing w:after="0"/>
              <w:rPr>
                <w:sz w:val="20"/>
                <w:szCs w:val="20"/>
                <w:color w:val="auto"/>
              </w:rPr>
            </w:pPr>
            <w:r>
              <w:rPr>
                <w:rFonts w:ascii="Arial" w:cs="Arial" w:eastAsia="Arial" w:hAnsi="Arial"/>
                <w:sz w:val="15"/>
                <w:szCs w:val="15"/>
                <w:color w:val="auto"/>
              </w:rPr>
              <w:t>[ILLEGIBLE] type of permit and date issued.</w:t>
            </w:r>
          </w:p>
        </w:tc>
        <w:tc>
          <w:tcPr>
            <w:tcW w:w="4540" w:type="dxa"/>
            <w:vAlign w:val="bottom"/>
            <w:tcBorders>
              <w:bottom w:val="single" w:sz="8" w:color="auto"/>
            </w:tcBorders>
            <w:gridSpan w:val="10"/>
          </w:tcPr>
          <w:p>
            <w:pPr>
              <w:spacing w:after="0"/>
              <w:rPr>
                <w:sz w:val="20"/>
                <w:szCs w:val="20"/>
                <w:color w:val="auto"/>
              </w:rPr>
            </w:pPr>
            <w:r>
              <w:rPr>
                <w:rFonts w:ascii="Arial" w:cs="Arial" w:eastAsia="Arial" w:hAnsi="Arial"/>
                <w:sz w:val="14"/>
                <w:szCs w:val="14"/>
                <w:color w:val="auto"/>
                <w:w w:val="93"/>
              </w:rPr>
              <w:t>SEE ATTACHED LETTER FROM LAUREN PRESTON DATED JAN 27, 1995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500" w:type="dxa"/>
            <w:vAlign w:val="bottom"/>
            <w:gridSpan w:val="7"/>
          </w:tcPr>
          <w:p>
            <w:pPr>
              <w:spacing w:after="0"/>
              <w:rPr>
                <w:sz w:val="20"/>
                <w:szCs w:val="20"/>
                <w:color w:val="auto"/>
              </w:rPr>
            </w:pPr>
            <w:r>
              <w:rPr>
                <w:rFonts w:ascii="Arial" w:cs="Arial" w:eastAsia="Arial" w:hAnsi="Arial"/>
                <w:sz w:val="15"/>
                <w:szCs w:val="15"/>
                <w:b w:val="1"/>
                <w:bCs w:val="1"/>
                <w:color w:val="auto"/>
              </w:rPr>
              <w:t>Enforcement Actions Against the Parking Facility:</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w w:val="96"/>
              </w:rPr>
              <w:t>Departments who have taken action:</w:t>
            </w: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5"/>
                <w:szCs w:val="15"/>
                <w:color w:val="auto"/>
                <w:w w:val="95"/>
              </w:rPr>
              <w:t>NONE KNOWN</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360" w:type="dxa"/>
            <w:vAlign w:val="bottom"/>
            <w:gridSpan w:val="2"/>
          </w:tcPr>
          <w:p>
            <w:pPr>
              <w:spacing w:after="0"/>
              <w:rPr>
                <w:sz w:val="20"/>
                <w:szCs w:val="20"/>
                <w:color w:val="auto"/>
              </w:rPr>
            </w:pPr>
            <w:r>
              <w:rPr>
                <w:rFonts w:ascii="Arial" w:cs="Arial" w:eastAsia="Arial" w:hAnsi="Arial"/>
                <w:sz w:val="15"/>
                <w:szCs w:val="15"/>
                <w:color w:val="auto"/>
                <w:w w:val="89"/>
              </w:rPr>
              <w:t>Departments who have action pending:</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5"/>
                <w:szCs w:val="15"/>
                <w:color w:val="auto"/>
                <w:w w:val="95"/>
              </w:rPr>
              <w:t>NONE KNOWN</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right="80"/>
        <w:spacing w:after="0" w:line="252" w:lineRule="auto"/>
        <w:rPr>
          <w:sz w:val="20"/>
          <w:szCs w:val="20"/>
          <w:color w:val="auto"/>
        </w:rPr>
      </w:pPr>
      <w:r>
        <w:rPr>
          <w:rFonts w:ascii="Arial" w:cs="Arial" w:eastAsia="Arial" w:hAnsi="Arial"/>
          <w:sz w:val="15"/>
          <w:szCs w:val="15"/>
          <w:color w:val="auto"/>
        </w:rPr>
        <w:t>hereby certify that a commercial parking permit has been obtained for each space being used for commercial parking. None of the other existing or proposed parking spaces at this parking facility have been or will be available as commercial parking spaces until a commercial parking permit therefor has been obtained. I also certify that all information supplied on this form is true , accurate and complete.</w:t>
      </w:r>
    </w:p>
    <w:p>
      <w:pPr>
        <w:sectPr>
          <w:pgSz w:w="11900" w:h="16838" w:orient="portrait"/>
          <w:cols w:equalWidth="0" w:num="1">
            <w:col w:w="11460"/>
          </w:cols>
          <w:pgMar w:left="220" w:top="299" w:right="21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David Clem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Operator Signature &amp; Title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David Clem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4952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Print Name (Owner) &amp;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54952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David Clem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254254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4254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Operator Signature &amp; Title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David Clem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254254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42540" cy="69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Print Name (Oerator) &amp;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254254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42540" cy="698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344170</wp:posOffset>
            </wp:positionV>
            <wp:extent cx="731202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2">
            <w:col w:w="6740" w:space="720"/>
            <w:col w:w="4000"/>
          </w:cols>
          <w:pgMar w:left="220" w:top="299" w:right="219" w:bottom="1440" w:gutter="0" w:footer="0" w:header="0"/>
          <w:type w:val="continuous"/>
        </w:sectPr>
      </w:pPr>
    </w:p>
    <w:bookmarkStart w:id="367" w:name="page368"/>
    <w:bookmarkEnd w:id="367"/>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60" w:type="dxa"/>
            <w:vAlign w:val="bottom"/>
            <w:gridSpan w:val="4"/>
          </w:tcPr>
          <w:p>
            <w:pPr>
              <w:ind w:left="100"/>
              <w:spacing w:after="0"/>
              <w:rPr>
                <w:sz w:val="20"/>
                <w:szCs w:val="20"/>
                <w:color w:val="auto"/>
              </w:rPr>
            </w:pPr>
            <w:r>
              <w:rPr>
                <w:rFonts w:ascii="Arial" w:cs="Arial" w:eastAsia="Arial" w:hAnsi="Arial"/>
                <w:sz w:val="15"/>
                <w:szCs w:val="15"/>
                <w:b w:val="1"/>
                <w:bCs w:val="1"/>
                <w:color w:val="auto"/>
              </w:rPr>
              <w:t>FOR TRAFFIC, PARKING AND TRANSPORTATION DEPARTMENT USE ONLY</w:t>
            </w:r>
          </w:p>
        </w:tc>
        <w:tc>
          <w:tcPr>
            <w:tcW w:w="2820" w:type="dxa"/>
            <w:vAlign w:val="bottom"/>
            <w:gridSpan w:val="2"/>
            <w:vMerge w:val="restart"/>
          </w:tcPr>
          <w:p>
            <w:pPr>
              <w:ind w:left="1840"/>
              <w:spacing w:after="0"/>
              <w:rPr>
                <w:sz w:val="20"/>
                <w:szCs w:val="20"/>
                <w:color w:val="auto"/>
              </w:rPr>
            </w:pPr>
            <w:r>
              <w:rPr>
                <w:rFonts w:ascii="Arial" w:cs="Arial" w:eastAsia="Arial" w:hAnsi="Arial"/>
                <w:sz w:val="15"/>
                <w:szCs w:val="15"/>
                <w:color w:val="auto"/>
                <w:w w:val="93"/>
              </w:rPr>
              <w:t>ATTACHMENT</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DO NOT WRITE BELOW THIS LINE</w:t>
            </w: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0" w:type="dxa"/>
            <w:vAlign w:val="bottom"/>
            <w:gridSpan w:val="2"/>
            <w:vMerge w:val="continue"/>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5"/>
                <w:szCs w:val="15"/>
                <w:color w:val="auto"/>
              </w:rPr>
              <w:t>Date Received: 10/22/97</w:t>
            </w:r>
          </w:p>
        </w:tc>
        <w:tc>
          <w:tcPr>
            <w:tcW w:w="9360" w:type="dxa"/>
            <w:vAlign w:val="bottom"/>
            <w:gridSpan w:val="9"/>
          </w:tcPr>
          <w:p>
            <w:pPr>
              <w:ind w:left="20"/>
              <w:spacing w:after="0"/>
              <w:rPr>
                <w:sz w:val="20"/>
                <w:szCs w:val="20"/>
                <w:color w:val="auto"/>
              </w:rPr>
            </w:pPr>
            <w:r>
              <w:rPr>
                <w:rFonts w:ascii="Arial" w:cs="Arial" w:eastAsia="Arial" w:hAnsi="Arial"/>
                <w:sz w:val="15"/>
                <w:szCs w:val="15"/>
                <w:color w:val="auto"/>
                <w:w w:val="87"/>
              </w:rPr>
              <w:t>Comments: Elimination of 14 surface lot spaces at 47 Erie St. to construct a 6 level 447 space garage plus elimination of 220 surface lot spaces at 40 Erie St. to</w:t>
            </w:r>
          </w:p>
        </w:tc>
        <w:tc>
          <w:tcPr>
            <w:tcW w:w="0" w:type="dxa"/>
            <w:vAlign w:val="bottom"/>
          </w:tcPr>
          <w:p>
            <w:pPr>
              <w:spacing w:after="0"/>
              <w:rPr>
                <w:sz w:val="1"/>
                <w:szCs w:val="1"/>
                <w:color w:val="auto"/>
              </w:rPr>
            </w:pPr>
          </w:p>
        </w:tc>
      </w:tr>
      <w:tr>
        <w:trPr>
          <w:trHeight w:val="186"/>
        </w:trPr>
        <w:tc>
          <w:tcPr>
            <w:tcW w:w="11460" w:type="dxa"/>
            <w:vAlign w:val="bottom"/>
            <w:gridSpan w:val="12"/>
          </w:tcPr>
          <w:p>
            <w:pPr>
              <w:spacing w:after="0"/>
              <w:rPr>
                <w:sz w:val="20"/>
                <w:szCs w:val="20"/>
                <w:color w:val="auto"/>
              </w:rPr>
            </w:pPr>
            <w:r>
              <w:rPr>
                <w:rFonts w:ascii="Arial" w:cs="Arial" w:eastAsia="Arial" w:hAnsi="Arial"/>
                <w:sz w:val="15"/>
                <w:szCs w:val="15"/>
                <w:color w:val="auto"/>
                <w:w w:val="93"/>
              </w:rPr>
              <w:t>construct a 4 story office/ R+D building. Also the reconfiguration of surface lot spaces for existing building at 40 Erie St. and maintains existing spaces, at 40 Erie St. and 270 Albany St.</w:t>
            </w:r>
          </w:p>
        </w:tc>
        <w:tc>
          <w:tcPr>
            <w:tcW w:w="0" w:type="dxa"/>
            <w:vAlign w:val="bottom"/>
          </w:tcPr>
          <w:p>
            <w:pPr>
              <w:spacing w:after="0"/>
              <w:rPr>
                <w:sz w:val="1"/>
                <w:szCs w:val="1"/>
                <w:color w:val="auto"/>
              </w:rPr>
            </w:pPr>
          </w:p>
        </w:tc>
      </w:tr>
      <w:tr>
        <w:trPr>
          <w:trHeight w:val="317"/>
        </w:trPr>
        <w:tc>
          <w:tcPr>
            <w:tcW w:w="1140" w:type="dxa"/>
            <w:vAlign w:val="bottom"/>
            <w:gridSpan w:val="2"/>
          </w:tcPr>
          <w:p>
            <w:pPr>
              <w:spacing w:after="0"/>
              <w:rPr>
                <w:sz w:val="20"/>
                <w:szCs w:val="20"/>
                <w:color w:val="auto"/>
              </w:rPr>
            </w:pPr>
            <w:r>
              <w:rPr>
                <w:rFonts w:ascii="Arial" w:cs="Arial" w:eastAsia="Arial" w:hAnsi="Arial"/>
                <w:sz w:val="15"/>
                <w:szCs w:val="15"/>
                <w:color w:val="auto"/>
              </w:rPr>
              <w:t>Category: o</w:t>
            </w:r>
          </w:p>
        </w:tc>
        <w:tc>
          <w:tcPr>
            <w:tcW w:w="960" w:type="dxa"/>
            <w:vAlign w:val="bottom"/>
          </w:tcPr>
          <w:p>
            <w:pPr>
              <w:jc w:val="center"/>
              <w:spacing w:after="0" w:line="173" w:lineRule="exact"/>
              <w:rPr>
                <w:sz w:val="20"/>
                <w:szCs w:val="20"/>
                <w:color w:val="auto"/>
              </w:rPr>
            </w:pPr>
            <w:r>
              <w:rPr>
                <w:rFonts w:ascii="Arial" w:cs="Arial" w:eastAsia="Arial" w:hAnsi="Arial"/>
                <w:sz w:val="15"/>
                <w:szCs w:val="15"/>
                <w:color w:val="auto"/>
                <w:w w:val="87"/>
              </w:rPr>
              <w:t>Residential</w:t>
            </w:r>
            <w:r>
              <w:rPr>
                <w:rFonts w:ascii="MS PGothic" w:cs="MS PGothic" w:eastAsia="MS PGothic" w:hAnsi="MS PGothic"/>
                <w:sz w:val="15"/>
                <w:szCs w:val="15"/>
                <w:color w:val="auto"/>
                <w:w w:val="87"/>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5"/>
          </w:tcPr>
          <w:p>
            <w:pPr>
              <w:ind w:left="180"/>
              <w:spacing w:after="0"/>
              <w:rPr>
                <w:sz w:val="20"/>
                <w:szCs w:val="20"/>
                <w:color w:val="auto"/>
              </w:rPr>
            </w:pPr>
            <w:r>
              <w:rPr>
                <w:rFonts w:ascii="Arial" w:cs="Arial" w:eastAsia="Arial" w:hAnsi="Arial"/>
                <w:sz w:val="15"/>
                <w:szCs w:val="15"/>
                <w:color w:val="auto"/>
              </w:rPr>
              <w:t>Non-Residential or Non-Commercial</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8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Number of parking spaces approved </w:t>
            </w:r>
            <w:r>
              <w:rPr>
                <w:rFonts w:ascii="Arial" w:cs="Arial" w:eastAsia="Arial" w:hAnsi="Arial"/>
                <w:sz w:val="15"/>
                <w:szCs w:val="15"/>
                <w:color w:val="auto"/>
              </w:rPr>
              <w: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residential</w:t>
            </w:r>
          </w:p>
        </w:tc>
        <w:tc>
          <w:tcPr>
            <w:tcW w:w="4000" w:type="dxa"/>
            <w:vAlign w:val="bottom"/>
            <w:gridSpan w:val="2"/>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jc w:val="right"/>
              <w:ind w:right="7"/>
              <w:spacing w:after="0" w:line="166" w:lineRule="exact"/>
              <w:rPr>
                <w:sz w:val="20"/>
                <w:szCs w:val="20"/>
                <w:color w:val="auto"/>
              </w:rPr>
            </w:pPr>
            <w:r>
              <w:rPr>
                <w:rFonts w:ascii="Arial" w:cs="Arial" w:eastAsia="Arial" w:hAnsi="Arial"/>
                <w:sz w:val="15"/>
                <w:szCs w:val="15"/>
                <w:color w:val="auto"/>
              </w:rPr>
              <w:t>524</w:t>
            </w:r>
          </w:p>
        </w:tc>
        <w:tc>
          <w:tcPr>
            <w:tcW w:w="240" w:type="dxa"/>
            <w:vAlign w:val="bottom"/>
            <w:tcBorders>
              <w:bottom w:val="single" w:sz="8" w:color="auto"/>
            </w:tcBorders>
          </w:tcPr>
          <w:p>
            <w:pPr>
              <w:spacing w:after="0"/>
              <w:rPr>
                <w:sz w:val="14"/>
                <w:szCs w:val="14"/>
                <w:color w:val="auto"/>
              </w:rPr>
            </w:pPr>
          </w:p>
        </w:tc>
        <w:tc>
          <w:tcPr>
            <w:tcW w:w="5420" w:type="dxa"/>
            <w:vAlign w:val="bottom"/>
            <w:gridSpan w:val="3"/>
          </w:tcPr>
          <w:p>
            <w:pPr>
              <w:ind w:left="60"/>
              <w:spacing w:after="0" w:line="166" w:lineRule="exact"/>
              <w:rPr>
                <w:sz w:val="20"/>
                <w:szCs w:val="20"/>
                <w:color w:val="auto"/>
              </w:rPr>
            </w:pPr>
            <w:r>
              <w:rPr>
                <w:rFonts w:ascii="Arial" w:cs="Arial" w:eastAsia="Arial" w:hAnsi="Arial"/>
                <w:sz w:val="15"/>
                <w:szCs w:val="15"/>
                <w:color w:val="auto"/>
              </w:rPr>
              <w:t>non-residential or non-commercial</w:t>
            </w: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1140" w:type="dxa"/>
            <w:vAlign w:val="bottom"/>
            <w:gridSpan w:val="2"/>
          </w:tcPr>
          <w:p>
            <w:pPr>
              <w:ind w:left="120"/>
              <w:spacing w:after="0"/>
              <w:rPr>
                <w:sz w:val="20"/>
                <w:szCs w:val="20"/>
                <w:color w:val="auto"/>
              </w:rPr>
            </w:pPr>
            <w:r>
              <w:rPr>
                <w:rFonts w:ascii="Arial" w:cs="Arial" w:eastAsia="Arial" w:hAnsi="Arial"/>
                <w:sz w:val="15"/>
                <w:szCs w:val="15"/>
                <w:color w:val="auto"/>
              </w:rPr>
              <w:t>Approved: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Sig E. Clipping</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20" w:type="dxa"/>
            <w:vAlign w:val="bottom"/>
          </w:tcPr>
          <w:p>
            <w:pPr>
              <w:ind w:left="2760"/>
              <w:spacing w:after="0"/>
              <w:rPr>
                <w:sz w:val="20"/>
                <w:szCs w:val="20"/>
                <w:color w:val="auto"/>
              </w:rPr>
            </w:pPr>
            <w:r>
              <w:rPr>
                <w:rFonts w:ascii="Arial" w:cs="Arial" w:eastAsia="Arial" w:hAnsi="Arial"/>
                <w:sz w:val="15"/>
                <w:szCs w:val="15"/>
                <w:color w:val="auto"/>
              </w:rPr>
              <w:t>Date:</w:t>
            </w:r>
          </w:p>
        </w:tc>
        <w:tc>
          <w:tcPr>
            <w:tcW w:w="2800" w:type="dxa"/>
            <w:vAlign w:val="bottom"/>
            <w:tcBorders>
              <w:bottom w:val="single" w:sz="8" w:color="auto"/>
            </w:tcBorders>
          </w:tcPr>
          <w:p>
            <w:pPr>
              <w:jc w:val="right"/>
              <w:ind w:right="2187"/>
              <w:spacing w:after="0"/>
              <w:rPr>
                <w:sz w:val="20"/>
                <w:szCs w:val="20"/>
                <w:color w:val="auto"/>
              </w:rPr>
            </w:pPr>
            <w:r>
              <w:rPr>
                <w:rFonts w:ascii="Arial" w:cs="Arial" w:eastAsia="Arial" w:hAnsi="Arial"/>
                <w:sz w:val="15"/>
                <w:szCs w:val="15"/>
                <w:color w:val="auto"/>
                <w:w w:val="86"/>
              </w:rPr>
              <w:t>10-28-97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color w:val="auto"/>
                <w:w w:val="91"/>
              </w:rPr>
              <w:t>Traffic Director</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5"/>
          <w:szCs w:val="15"/>
          <w:u w:val="single" w:color="auto"/>
          <w:color w:val="auto"/>
        </w:rPr>
        <w:t>Additional Comments: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447 Garage spaces at 47 Erie St.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62 Lot spaces at 40 Erie St.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5 Garage spaces at 270 Albany St.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10 Lot spaces at 270 Albany St.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524 Total spaces for use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68" w:name="page369"/>
    <w:bookmarkEnd w:id="368"/>
    <w:p>
      <w:pPr>
        <w:spacing w:after="0"/>
        <w:rPr>
          <w:sz w:val="20"/>
          <w:szCs w:val="20"/>
          <w:color w:val="auto"/>
        </w:rPr>
      </w:pPr>
      <w:r>
        <w:rPr>
          <w:rFonts w:ascii="Arial" w:cs="Arial" w:eastAsia="Arial" w:hAnsi="Arial"/>
          <w:sz w:val="15"/>
          <w:szCs w:val="15"/>
          <w:u w:val="single" w:color="auto"/>
          <w:color w:val="auto"/>
        </w:rPr>
        <w:t>A t t a c h m e n t 2</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4"/>
          <w:szCs w:val="14"/>
          <w:b w:val="1"/>
          <w:bCs w:val="1"/>
          <w:color w:val="auto"/>
        </w:rPr>
        <w:t>I hereby certify that a commercial parking permit has been obtained for each space being used for commercial parking. None of the other existing or proposed parking spaces at this parking facility have been or will be available as commercial parking spaces until a commercial parking permit therefor has been obtained.</w:t>
      </w:r>
    </w:p>
    <w:p>
      <w:pPr>
        <w:spacing w:after="0" w:line="117" w:lineRule="exact"/>
        <w:rPr>
          <w:sz w:val="20"/>
          <w:szCs w:val="20"/>
          <w:color w:val="auto"/>
        </w:rPr>
      </w:pPr>
    </w:p>
    <w:p>
      <w:pPr>
        <w:ind w:left="6880"/>
        <w:spacing w:after="0"/>
        <w:rPr>
          <w:sz w:val="20"/>
          <w:szCs w:val="20"/>
          <w:color w:val="auto"/>
        </w:rPr>
      </w:pPr>
      <w:r>
        <w:rPr>
          <w:rFonts w:ascii="Arial" w:cs="Arial" w:eastAsia="Arial" w:hAnsi="Arial"/>
          <w:sz w:val="15"/>
          <w:szCs w:val="15"/>
          <w:b w:val="1"/>
          <w:bCs w:val="1"/>
          <w:color w:val="auto"/>
        </w:rPr>
        <w:t>Fort Washington Realty Trust</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5"/>
          <w:szCs w:val="15"/>
          <w:b w:val="1"/>
          <w:bCs w:val="1"/>
          <w:color w:val="auto"/>
        </w:rPr>
        <w:t>\s\ David M. Roby,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1270</wp:posOffset>
            </wp:positionV>
            <wp:extent cx="2903220"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90322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5"/>
          <w:szCs w:val="15"/>
          <w:b w:val="1"/>
          <w:bCs w:val="1"/>
          <w:color w:val="auto"/>
        </w:rPr>
        <w:t>David M. Roby, Trustee</w:t>
      </w:r>
    </w:p>
    <w:p>
      <w:pPr>
        <w:spacing w:after="0" w:line="13" w:lineRule="exact"/>
        <w:rPr>
          <w:sz w:val="20"/>
          <w:szCs w:val="20"/>
          <w:color w:val="auto"/>
        </w:rPr>
      </w:pPr>
    </w:p>
    <w:p>
      <w:pPr>
        <w:ind w:left="6880"/>
        <w:spacing w:after="0"/>
        <w:tabs>
          <w:tab w:leader="none" w:pos="750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3/11/99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1270</wp:posOffset>
            </wp:positionV>
            <wp:extent cx="250761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0761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273685</wp:posOffset>
            </wp:positionV>
            <wp:extent cx="7312025" cy="393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240"/>
          </w:cols>
          <w:pgMar w:left="220" w:top="292" w:right="43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172"/>
        </w:trPr>
        <w:tc>
          <w:tcPr>
            <w:tcW w:w="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8"/>
              </w:rPr>
              <w:t>Attachment 3</w:t>
            </w:r>
          </w:p>
        </w:tc>
        <w:tc>
          <w:tcPr>
            <w:tcW w:w="1320" w:type="dxa"/>
            <w:vAlign w:val="bottom"/>
          </w:tcPr>
          <w:p>
            <w:pPr>
              <w:spacing w:after="0"/>
              <w:rPr>
                <w:sz w:val="14"/>
                <w:szCs w:val="14"/>
                <w:color w:val="auto"/>
              </w:rPr>
            </w:pPr>
          </w:p>
        </w:tc>
        <w:tc>
          <w:tcPr>
            <w:tcW w:w="9300" w:type="dxa"/>
            <w:vAlign w:val="bottom"/>
          </w:tcPr>
          <w:p>
            <w:pPr>
              <w:spacing w:after="0"/>
              <w:rPr>
                <w:sz w:val="14"/>
                <w:szCs w:val="14"/>
                <w:color w:val="auto"/>
              </w:rPr>
            </w:pPr>
          </w:p>
        </w:tc>
      </w:tr>
      <w:tr>
        <w:trPr>
          <w:trHeight w:val="352"/>
        </w:trPr>
        <w:tc>
          <w:tcPr>
            <w:tcW w:w="2180" w:type="dxa"/>
            <w:vAlign w:val="bottom"/>
            <w:gridSpan w:val="2"/>
          </w:tcPr>
          <w:p>
            <w:pPr>
              <w:spacing w:after="0"/>
              <w:rPr>
                <w:sz w:val="20"/>
                <w:szCs w:val="20"/>
                <w:color w:val="auto"/>
              </w:rPr>
            </w:pPr>
            <w:r>
              <w:rPr>
                <w:rFonts w:ascii="Arial" w:cs="Arial" w:eastAsia="Arial" w:hAnsi="Arial"/>
                <w:sz w:val="15"/>
                <w:szCs w:val="15"/>
                <w:color w:val="auto"/>
              </w:rPr>
              <w:t>Vehicle Trips</w:t>
            </w:r>
          </w:p>
        </w:tc>
        <w:tc>
          <w:tcPr>
            <w:tcW w:w="9300" w:type="dxa"/>
            <w:vAlign w:val="bottom"/>
          </w:tcPr>
          <w:p>
            <w:pPr>
              <w:spacing w:after="0"/>
              <w:rPr>
                <w:sz w:val="24"/>
                <w:szCs w:val="24"/>
                <w:color w:val="auto"/>
              </w:rPr>
            </w:pPr>
          </w:p>
        </w:tc>
      </w:tr>
      <w:tr>
        <w:trPr>
          <w:trHeight w:val="350"/>
        </w:trPr>
        <w:tc>
          <w:tcPr>
            <w:tcW w:w="2180" w:type="dxa"/>
            <w:vAlign w:val="bottom"/>
            <w:gridSpan w:val="2"/>
          </w:tcPr>
          <w:p>
            <w:pPr>
              <w:spacing w:after="0"/>
              <w:rPr>
                <w:sz w:val="20"/>
                <w:szCs w:val="20"/>
                <w:color w:val="auto"/>
              </w:rPr>
            </w:pPr>
            <w:r>
              <w:rPr>
                <w:rFonts w:ascii="Arial" w:cs="Arial" w:eastAsia="Arial" w:hAnsi="Arial"/>
                <w:sz w:val="15"/>
                <w:szCs w:val="15"/>
                <w:color w:val="auto"/>
                <w:w w:val="90"/>
              </w:rPr>
              <w:t>337,000 SF of lab space @ ITE 760</w:t>
            </w:r>
          </w:p>
        </w:tc>
        <w:tc>
          <w:tcPr>
            <w:tcW w:w="9300" w:type="dxa"/>
            <w:vAlign w:val="bottom"/>
          </w:tcPr>
          <w:p>
            <w:pPr>
              <w:ind w:left="60"/>
              <w:spacing w:after="0"/>
              <w:rPr>
                <w:sz w:val="20"/>
                <w:szCs w:val="20"/>
                <w:color w:val="auto"/>
              </w:rPr>
            </w:pPr>
            <w:r>
              <w:rPr>
                <w:rFonts w:ascii="Arial" w:cs="Arial" w:eastAsia="Arial" w:hAnsi="Arial"/>
                <w:sz w:val="15"/>
                <w:szCs w:val="15"/>
                <w:color w:val="auto"/>
              </w:rPr>
              <w:t>= 2,782 trips/day</w:t>
            </w:r>
          </w:p>
        </w:tc>
      </w:tr>
      <w:tr>
        <w:trPr>
          <w:trHeight w:val="273"/>
        </w:trPr>
        <w:tc>
          <w:tcPr>
            <w:tcW w:w="2180" w:type="dxa"/>
            <w:vAlign w:val="bottom"/>
            <w:gridSpan w:val="2"/>
          </w:tcPr>
          <w:p>
            <w:pPr>
              <w:spacing w:after="0"/>
              <w:rPr>
                <w:sz w:val="20"/>
                <w:szCs w:val="20"/>
                <w:color w:val="auto"/>
              </w:rPr>
            </w:pPr>
            <w:r>
              <w:rPr>
                <w:rFonts w:ascii="Arial" w:cs="Arial" w:eastAsia="Arial" w:hAnsi="Arial"/>
                <w:sz w:val="15"/>
                <w:szCs w:val="15"/>
                <w:color w:val="auto"/>
              </w:rPr>
              <w:t>20,000 SF of office @ ITE 710</w:t>
            </w:r>
          </w:p>
        </w:tc>
        <w:tc>
          <w:tcPr>
            <w:tcW w:w="9300" w:type="dxa"/>
            <w:vAlign w:val="bottom"/>
          </w:tcPr>
          <w:p>
            <w:pPr>
              <w:ind w:left="60"/>
              <w:spacing w:after="0"/>
              <w:rPr>
                <w:sz w:val="20"/>
                <w:szCs w:val="20"/>
                <w:color w:val="auto"/>
              </w:rPr>
            </w:pPr>
            <w:r>
              <w:rPr>
                <w:rFonts w:ascii="Arial" w:cs="Arial" w:eastAsia="Arial" w:hAnsi="Arial"/>
                <w:sz w:val="15"/>
                <w:szCs w:val="15"/>
                <w:color w:val="auto"/>
              </w:rPr>
              <w:t>= 386 trips/day</w:t>
            </w:r>
          </w:p>
        </w:tc>
      </w:tr>
      <w:tr>
        <w:trPr>
          <w:trHeight w:val="273"/>
        </w:trPr>
        <w:tc>
          <w:tcPr>
            <w:tcW w:w="2180" w:type="dxa"/>
            <w:vAlign w:val="bottom"/>
            <w:gridSpan w:val="2"/>
          </w:tcPr>
          <w:p>
            <w:pPr>
              <w:spacing w:after="0"/>
              <w:rPr>
                <w:sz w:val="20"/>
                <w:szCs w:val="20"/>
                <w:color w:val="auto"/>
              </w:rPr>
            </w:pPr>
            <w:r>
              <w:rPr>
                <w:rFonts w:ascii="Arial" w:cs="Arial" w:eastAsia="Arial" w:hAnsi="Arial"/>
                <w:sz w:val="15"/>
                <w:szCs w:val="15"/>
                <w:color w:val="auto"/>
              </w:rPr>
              <w:t>Total trips</w:t>
            </w:r>
          </w:p>
        </w:tc>
        <w:tc>
          <w:tcPr>
            <w:tcW w:w="9300" w:type="dxa"/>
            <w:vAlign w:val="bottom"/>
          </w:tcPr>
          <w:p>
            <w:pPr>
              <w:ind w:left="60"/>
              <w:spacing w:after="0"/>
              <w:rPr>
                <w:sz w:val="20"/>
                <w:szCs w:val="20"/>
                <w:color w:val="auto"/>
              </w:rPr>
            </w:pPr>
            <w:r>
              <w:rPr>
                <w:rFonts w:ascii="Arial" w:cs="Arial" w:eastAsia="Arial" w:hAnsi="Arial"/>
                <w:sz w:val="15"/>
                <w:szCs w:val="15"/>
                <w:color w:val="auto"/>
              </w:rPr>
              <w:t>= 3168 trips/day</w:t>
            </w:r>
          </w:p>
        </w:tc>
      </w:tr>
      <w:tr>
        <w:trPr>
          <w:trHeight w:val="273"/>
        </w:trPr>
        <w:tc>
          <w:tcPr>
            <w:tcW w:w="2180" w:type="dxa"/>
            <w:vAlign w:val="bottom"/>
            <w:gridSpan w:val="2"/>
          </w:tcPr>
          <w:p>
            <w:pPr>
              <w:spacing w:after="0"/>
              <w:rPr>
                <w:sz w:val="20"/>
                <w:szCs w:val="20"/>
                <w:color w:val="auto"/>
              </w:rPr>
            </w:pPr>
            <w:r>
              <w:rPr>
                <w:rFonts w:ascii="Arial" w:cs="Arial" w:eastAsia="Arial" w:hAnsi="Arial"/>
                <w:sz w:val="15"/>
                <w:szCs w:val="15"/>
                <w:color w:val="auto"/>
              </w:rPr>
              <w:t>3168 x 65.6</w:t>
            </w:r>
          </w:p>
        </w:tc>
        <w:tc>
          <w:tcPr>
            <w:tcW w:w="9300" w:type="dxa"/>
            <w:vAlign w:val="bottom"/>
          </w:tcPr>
          <w:p>
            <w:pPr>
              <w:ind w:left="60"/>
              <w:spacing w:after="0"/>
              <w:rPr>
                <w:sz w:val="20"/>
                <w:szCs w:val="20"/>
                <w:color w:val="auto"/>
              </w:rPr>
            </w:pPr>
            <w:r>
              <w:rPr>
                <w:rFonts w:ascii="Arial" w:cs="Arial" w:eastAsia="Arial" w:hAnsi="Arial"/>
                <w:sz w:val="15"/>
                <w:szCs w:val="15"/>
                <w:color w:val="auto"/>
              </w:rPr>
              <w:t>= 2078 trips/day</w:t>
            </w:r>
          </w:p>
        </w:tc>
      </w:tr>
      <w:tr>
        <w:trPr>
          <w:trHeight w:val="964"/>
        </w:trPr>
        <w:tc>
          <w:tcPr>
            <w:tcW w:w="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199390</wp:posOffset>
            </wp:positionV>
            <wp:extent cx="7312025" cy="49377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312025" cy="4937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rPr>
          <w:sz w:val="20"/>
          <w:szCs w:val="20"/>
          <w:color w:val="auto"/>
        </w:rPr>
      </w:pPr>
      <w:r>
        <w:rPr>
          <w:rFonts w:ascii="Arial" w:cs="Arial" w:eastAsia="Arial" w:hAnsi="Arial"/>
          <w:sz w:val="15"/>
          <w:szCs w:val="15"/>
          <w:u w:val="single" w:color="auto"/>
          <w:color w:val="auto"/>
        </w:rPr>
        <w:t>CHARLES RIVER TRANSPORTATION MANAGEMENT ASSOCIATION</w:t>
      </w:r>
    </w:p>
    <w:p>
      <w:pPr>
        <w:spacing w:after="0" w:line="178" w:lineRule="exact"/>
        <w:rPr>
          <w:sz w:val="20"/>
          <w:szCs w:val="20"/>
          <w:color w:val="auto"/>
        </w:rPr>
      </w:pPr>
    </w:p>
    <w:p>
      <w:pPr>
        <w:jc w:val="center"/>
        <w:ind w:right="2300"/>
        <w:spacing w:after="0"/>
        <w:rPr>
          <w:sz w:val="20"/>
          <w:szCs w:val="20"/>
          <w:color w:val="auto"/>
        </w:rPr>
      </w:pPr>
      <w:r>
        <w:rPr>
          <w:rFonts w:ascii="Arial" w:cs="Arial" w:eastAsia="Arial" w:hAnsi="Arial"/>
          <w:sz w:val="15"/>
          <w:szCs w:val="15"/>
          <w:color w:val="auto"/>
        </w:rPr>
        <w:t>c / o Cambridge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-102235</wp:posOffset>
            </wp:positionV>
            <wp:extent cx="645795" cy="5626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45795" cy="562610"/>
                    </a:xfrm>
                    <a:prstGeom prst="rect">
                      <a:avLst/>
                    </a:prstGeom>
                    <a:noFill/>
                  </pic:spPr>
                </pic:pic>
              </a:graphicData>
            </a:graphic>
          </wp:anchor>
        </w:drawing>
      </w:r>
    </w:p>
    <w:p>
      <w:pPr>
        <w:jc w:val="center"/>
        <w:ind w:right="2300"/>
        <w:spacing w:after="0"/>
        <w:rPr>
          <w:sz w:val="20"/>
          <w:szCs w:val="20"/>
          <w:color w:val="auto"/>
        </w:rPr>
      </w:pPr>
      <w:r>
        <w:rPr>
          <w:rFonts w:ascii="Arial" w:cs="Arial" w:eastAsia="Arial" w:hAnsi="Arial"/>
          <w:sz w:val="15"/>
          <w:szCs w:val="15"/>
          <w:color w:val="auto"/>
        </w:rPr>
        <w:t>Technology Partners</w:t>
      </w:r>
    </w:p>
    <w:p>
      <w:pPr>
        <w:spacing w:after="0" w:line="3" w:lineRule="exact"/>
        <w:rPr>
          <w:sz w:val="20"/>
          <w:szCs w:val="20"/>
          <w:color w:val="auto"/>
        </w:rPr>
      </w:pPr>
    </w:p>
    <w:p>
      <w:pPr>
        <w:jc w:val="center"/>
        <w:ind w:right="2300"/>
        <w:spacing w:after="0"/>
        <w:rPr>
          <w:sz w:val="20"/>
          <w:szCs w:val="20"/>
          <w:color w:val="auto"/>
        </w:rPr>
      </w:pPr>
      <w:r>
        <w:rPr>
          <w:rFonts w:ascii="Arial" w:cs="Arial" w:eastAsia="Arial" w:hAnsi="Arial"/>
          <w:sz w:val="15"/>
          <w:szCs w:val="15"/>
          <w:color w:val="auto"/>
        </w:rPr>
        <w:t>304 Vassar Street</w:t>
      </w:r>
    </w:p>
    <w:p>
      <w:pPr>
        <w:spacing w:after="0" w:line="3" w:lineRule="exact"/>
        <w:rPr>
          <w:sz w:val="20"/>
          <w:szCs w:val="20"/>
          <w:color w:val="auto"/>
        </w:rPr>
      </w:pPr>
    </w:p>
    <w:p>
      <w:pPr>
        <w:jc w:val="center"/>
        <w:ind w:right="2300"/>
        <w:spacing w:after="0"/>
        <w:rPr>
          <w:sz w:val="20"/>
          <w:szCs w:val="20"/>
          <w:color w:val="auto"/>
        </w:rPr>
      </w:pPr>
      <w:r>
        <w:rPr>
          <w:rFonts w:ascii="Arial" w:cs="Arial" w:eastAsia="Arial" w:hAnsi="Arial"/>
          <w:sz w:val="15"/>
          <w:szCs w:val="15"/>
          <w:color w:val="auto"/>
        </w:rPr>
        <w:t>Cambridge, MA 0 2139</w:t>
      </w:r>
    </w:p>
    <w:p>
      <w:pPr>
        <w:spacing w:after="0" w:line="3" w:lineRule="exact"/>
        <w:rPr>
          <w:sz w:val="20"/>
          <w:szCs w:val="20"/>
          <w:color w:val="auto"/>
        </w:rPr>
      </w:pPr>
    </w:p>
    <w:p>
      <w:pPr>
        <w:jc w:val="center"/>
        <w:ind w:right="2300"/>
        <w:spacing w:after="0"/>
        <w:rPr>
          <w:sz w:val="20"/>
          <w:szCs w:val="20"/>
          <w:color w:val="auto"/>
        </w:rPr>
      </w:pPr>
      <w:r>
        <w:rPr>
          <w:rFonts w:ascii="Arial" w:cs="Arial" w:eastAsia="Arial" w:hAnsi="Arial"/>
          <w:sz w:val="15"/>
          <w:szCs w:val="15"/>
          <w:color w:val="auto"/>
        </w:rPr>
        <w:t>Phone 617*679*5381 Fax 617*374*8300</w:t>
      </w:r>
    </w:p>
    <w:p>
      <w:pPr>
        <w:spacing w:after="0" w:line="3" w:lineRule="exact"/>
        <w:rPr>
          <w:sz w:val="20"/>
          <w:szCs w:val="20"/>
          <w:color w:val="auto"/>
        </w:rPr>
      </w:pPr>
    </w:p>
    <w:p>
      <w:pPr>
        <w:jc w:val="center"/>
        <w:ind w:right="230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coinl@mit.edu</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By Fax 5 Pages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April 21, 1999</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Joseph Barr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TDM Planner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City of Cambridge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Community Development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57 Inman St.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Cambridge, MA 02139</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Dear Joe: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Please find attached generic documentation for Charles River Transportation Management Association’s Guaranteed Ride Home program.</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In the past few weeks, we have worked with a number of businesses and developers who are in the process of preparing IPOP or PTDM plans. Many of these entities have indicated they will join CRTMA, and rely on us forGuaranteed Ride Home program.</w:t>
      </w:r>
    </w:p>
    <w:p>
      <w:pPr>
        <w:spacing w:after="0" w:line="148"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The attached policies and procedures will provide you with an overview of how our program will work. The policy and procedure will be reviewed, and may be modified based on the needs of different CRTMA members but I anticipate programs will be substantially the same.</w:t>
      </w:r>
    </w:p>
    <w:p>
      <w:pPr>
        <w:spacing w:after="0" w:line="148" w:lineRule="exact"/>
        <w:rPr>
          <w:sz w:val="20"/>
          <w:szCs w:val="20"/>
          <w:color w:val="auto"/>
        </w:rPr>
      </w:pPr>
    </w:p>
    <w:p>
      <w:pPr>
        <w:ind w:right="460"/>
        <w:spacing w:after="0" w:line="262" w:lineRule="auto"/>
        <w:rPr>
          <w:sz w:val="20"/>
          <w:szCs w:val="20"/>
          <w:color w:val="auto"/>
        </w:rPr>
      </w:pPr>
      <w:r>
        <w:rPr>
          <w:rFonts w:ascii="Arial" w:cs="Arial" w:eastAsia="Arial" w:hAnsi="Arial"/>
          <w:sz w:val="15"/>
          <w:szCs w:val="15"/>
          <w:color w:val="auto"/>
        </w:rPr>
        <w:t>Perhaps we should revisit City of Cambridge participation in CRTMA. We would be very interested in implementing a Guaranteed Ride Home program, and other TDM measures for city employees as well!</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I will call to answer any questions that you may have about Guaranteed Ride Home.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Jim Gascoigne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Executive Director</w:t>
      </w:r>
    </w:p>
    <w:p>
      <w:pPr>
        <w:spacing w:after="0" w:line="167" w:lineRule="exact"/>
        <w:rPr>
          <w:sz w:val="20"/>
          <w:szCs w:val="20"/>
          <w:color w:val="auto"/>
        </w:rPr>
      </w:pPr>
    </w:p>
    <w:p>
      <w:pPr>
        <w:ind w:left="560" w:right="9840" w:hanging="552"/>
        <w:spacing w:after="0" w:line="325" w:lineRule="auto"/>
        <w:tabs>
          <w:tab w:leader="none" w:pos="56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Tom Lucey Tom Ragno Debbie Black Joan Peyrebrune Bob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312025" cy="393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60"/>
          </w:cols>
          <w:pgMar w:left="220" w:top="303" w:right="31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20"/>
                <w:szCs w:val="20"/>
                <w:color w:val="auto"/>
              </w:rPr>
            </w:pPr>
            <w:r>
              <w:rPr>
                <w:rFonts w:ascii="Arial" w:cs="Arial" w:eastAsia="Arial" w:hAnsi="Arial"/>
                <w:sz w:val="15"/>
                <w:szCs w:val="15"/>
                <w:color w:val="auto"/>
              </w:rPr>
              <w:t>Set forth below is a chart summarizing existing TDM programs for the Garage and lots:</w:t>
            </w:r>
          </w:p>
        </w:tc>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9"/>
        </w:trPr>
        <w:tc>
          <w:tcPr>
            <w:tcW w:w="5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jc w:val="center"/>
              <w:ind w:left="227"/>
              <w:spacing w:after="0"/>
              <w:rPr>
                <w:sz w:val="20"/>
                <w:szCs w:val="20"/>
                <w:color w:val="auto"/>
              </w:rPr>
            </w:pPr>
            <w:r>
              <w:rPr>
                <w:rFonts w:ascii="Arial" w:cs="Arial" w:eastAsia="Arial" w:hAnsi="Arial"/>
                <w:sz w:val="15"/>
                <w:szCs w:val="15"/>
                <w:color w:val="auto"/>
                <w:w w:val="89"/>
              </w:rPr>
              <w:t>FWRTon</w:t>
            </w:r>
          </w:p>
        </w:tc>
      </w:tr>
      <w:tr>
        <w:trPr>
          <w:trHeight w:val="175"/>
        </w:trPr>
        <w:tc>
          <w:tcPr>
            <w:tcW w:w="5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jc w:val="center"/>
              <w:ind w:left="247"/>
              <w:spacing w:after="0"/>
              <w:rPr>
                <w:sz w:val="20"/>
                <w:szCs w:val="20"/>
                <w:color w:val="auto"/>
              </w:rPr>
            </w:pPr>
            <w:r>
              <w:rPr>
                <w:rFonts w:ascii="Arial" w:cs="Arial" w:eastAsia="Arial" w:hAnsi="Arial"/>
                <w:sz w:val="15"/>
                <w:szCs w:val="15"/>
                <w:color w:val="auto"/>
                <w:w w:val="90"/>
              </w:rPr>
              <w:t>behalf of</w:t>
            </w:r>
          </w:p>
        </w:tc>
      </w:tr>
      <w:tr>
        <w:trPr>
          <w:trHeight w:val="148"/>
        </w:trPr>
        <w:tc>
          <w:tcPr>
            <w:tcW w:w="5960" w:type="dxa"/>
            <w:vAlign w:val="bottom"/>
          </w:tcPr>
          <w:p>
            <w:pPr>
              <w:spacing w:after="0"/>
              <w:rPr>
                <w:sz w:val="12"/>
                <w:szCs w:val="12"/>
                <w:color w:val="auto"/>
              </w:rPr>
            </w:pPr>
          </w:p>
        </w:tc>
        <w:tc>
          <w:tcPr>
            <w:tcW w:w="1880" w:type="dxa"/>
            <w:vAlign w:val="bottom"/>
          </w:tcPr>
          <w:p>
            <w:pPr>
              <w:jc w:val="center"/>
              <w:ind w:left="367"/>
              <w:spacing w:after="0" w:line="148" w:lineRule="exact"/>
              <w:rPr>
                <w:sz w:val="20"/>
                <w:szCs w:val="20"/>
                <w:color w:val="auto"/>
              </w:rPr>
            </w:pPr>
            <w:r>
              <w:rPr>
                <w:rFonts w:ascii="Arial" w:cs="Arial" w:eastAsia="Arial" w:hAnsi="Arial"/>
                <w:sz w:val="15"/>
                <w:szCs w:val="15"/>
                <w:color w:val="auto"/>
                <w:w w:val="94"/>
              </w:rPr>
              <w:t>Millennium</w:t>
            </w:r>
          </w:p>
        </w:tc>
        <w:tc>
          <w:tcPr>
            <w:tcW w:w="1120" w:type="dxa"/>
            <w:vAlign w:val="bottom"/>
          </w:tcPr>
          <w:p>
            <w:pPr>
              <w:jc w:val="center"/>
              <w:spacing w:after="0" w:line="148" w:lineRule="exact"/>
              <w:rPr>
                <w:sz w:val="20"/>
                <w:szCs w:val="20"/>
                <w:color w:val="auto"/>
              </w:rPr>
            </w:pPr>
            <w:r>
              <w:rPr>
                <w:rFonts w:ascii="Arial" w:cs="Arial" w:eastAsia="Arial" w:hAnsi="Arial"/>
                <w:sz w:val="15"/>
                <w:szCs w:val="15"/>
                <w:color w:val="auto"/>
                <w:w w:val="87"/>
              </w:rPr>
              <w:t>Vertex</w:t>
            </w:r>
          </w:p>
        </w:tc>
        <w:tc>
          <w:tcPr>
            <w:tcW w:w="1300" w:type="dxa"/>
            <w:vAlign w:val="bottom"/>
          </w:tcPr>
          <w:p>
            <w:pPr>
              <w:ind w:left="360"/>
              <w:spacing w:after="0" w:line="148" w:lineRule="exact"/>
              <w:rPr>
                <w:sz w:val="20"/>
                <w:szCs w:val="20"/>
                <w:color w:val="auto"/>
              </w:rPr>
            </w:pPr>
            <w:r>
              <w:rPr>
                <w:rFonts w:ascii="Arial" w:cs="Arial" w:eastAsia="Arial" w:hAnsi="Arial"/>
                <w:sz w:val="15"/>
                <w:szCs w:val="15"/>
                <w:color w:val="auto"/>
              </w:rPr>
              <w:t>TVisions 4</w:t>
            </w:r>
          </w:p>
        </w:tc>
        <w:tc>
          <w:tcPr>
            <w:tcW w:w="960" w:type="dxa"/>
            <w:vAlign w:val="bottom"/>
          </w:tcPr>
          <w:p>
            <w:pPr>
              <w:jc w:val="center"/>
              <w:ind w:left="227"/>
              <w:spacing w:after="0" w:line="148" w:lineRule="exact"/>
              <w:rPr>
                <w:sz w:val="20"/>
                <w:szCs w:val="20"/>
                <w:color w:val="auto"/>
              </w:rPr>
            </w:pPr>
            <w:r>
              <w:rPr>
                <w:rFonts w:ascii="Arial" w:cs="Arial" w:eastAsia="Arial" w:hAnsi="Arial"/>
                <w:sz w:val="15"/>
                <w:szCs w:val="15"/>
                <w:color w:val="auto"/>
                <w:w w:val="87"/>
              </w:rPr>
              <w:t>200 Sidney</w:t>
            </w:r>
          </w:p>
        </w:tc>
      </w:tr>
      <w:tr>
        <w:trPr>
          <w:trHeight w:val="229"/>
        </w:trPr>
        <w:tc>
          <w:tcPr>
            <w:tcW w:w="5960" w:type="dxa"/>
            <w:vAlign w:val="bottom"/>
          </w:tcPr>
          <w:p>
            <w:pPr>
              <w:spacing w:after="0"/>
              <w:rPr>
                <w:sz w:val="20"/>
                <w:szCs w:val="20"/>
                <w:color w:val="auto"/>
              </w:rPr>
            </w:pPr>
            <w:r>
              <w:rPr>
                <w:rFonts w:ascii="Arial" w:cs="Arial" w:eastAsia="Arial" w:hAnsi="Arial"/>
                <w:sz w:val="15"/>
                <w:szCs w:val="15"/>
                <w:color w:val="auto"/>
              </w:rPr>
              <w:t>Shuttle Participation</w:t>
            </w:r>
          </w:p>
        </w:tc>
        <w:tc>
          <w:tcPr>
            <w:tcW w:w="1880" w:type="dxa"/>
            <w:vAlign w:val="bottom"/>
          </w:tcPr>
          <w:p>
            <w:pPr>
              <w:jc w:val="center"/>
              <w:ind w:left="367"/>
              <w:spacing w:after="0" w:line="151" w:lineRule="exact"/>
              <w:rPr>
                <w:sz w:val="20"/>
                <w:szCs w:val="20"/>
                <w:color w:val="auto"/>
              </w:rPr>
            </w:pPr>
            <w:r>
              <w:rPr>
                <w:rFonts w:ascii="MS PGothic" w:cs="MS PGothic" w:eastAsia="MS PGothic" w:hAnsi="MS PGothic"/>
                <w:sz w:val="15"/>
                <w:szCs w:val="15"/>
                <w:color w:val="auto"/>
                <w:w w:val="79"/>
              </w:rPr>
              <w:t>✓</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MBTA Pass Program</w:t>
            </w:r>
            <w:r>
              <w:rPr>
                <w:rFonts w:ascii="Arial" w:cs="Arial" w:eastAsia="Arial" w:hAnsi="Arial"/>
                <w:sz w:val="12"/>
                <w:szCs w:val="12"/>
                <w:color w:val="auto"/>
              </w:rPr>
              <w:t>1</w:t>
            </w:r>
          </w:p>
        </w:tc>
        <w:tc>
          <w:tcPr>
            <w:tcW w:w="1880" w:type="dxa"/>
            <w:vAlign w:val="bottom"/>
          </w:tcPr>
          <w:p>
            <w:pPr>
              <w:jc w:val="center"/>
              <w:ind w:left="367"/>
              <w:spacing w:after="0" w:line="151" w:lineRule="exact"/>
              <w:rPr>
                <w:sz w:val="20"/>
                <w:szCs w:val="20"/>
                <w:color w:val="auto"/>
              </w:rPr>
            </w:pPr>
            <w:r>
              <w:rPr>
                <w:rFonts w:ascii="MS PGothic" w:cs="MS PGothic" w:eastAsia="MS PGothic" w:hAnsi="MS PGothic"/>
                <w:sz w:val="15"/>
                <w:szCs w:val="15"/>
                <w:color w:val="auto"/>
                <w:w w:val="79"/>
              </w:rPr>
              <w:t>✓</w:t>
            </w: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jc w:val="center"/>
              <w:ind w:left="247"/>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Guaranteed Ride Home</w:t>
            </w:r>
            <w:r>
              <w:rPr>
                <w:rFonts w:ascii="Arial" w:cs="Arial" w:eastAsia="Arial" w:hAnsi="Arial"/>
                <w:sz w:val="12"/>
                <w:szCs w:val="12"/>
                <w:color w:val="auto"/>
              </w:rPr>
              <w:t>2</w:t>
            </w:r>
          </w:p>
        </w:tc>
        <w:tc>
          <w:tcPr>
            <w:tcW w:w="1880" w:type="dxa"/>
            <w:vAlign w:val="bottom"/>
          </w:tcPr>
          <w:p>
            <w:pPr>
              <w:jc w:val="center"/>
              <w:ind w:left="367"/>
              <w:spacing w:after="0" w:line="151" w:lineRule="exact"/>
              <w:rPr>
                <w:sz w:val="20"/>
                <w:szCs w:val="20"/>
                <w:color w:val="auto"/>
              </w:rPr>
            </w:pPr>
            <w:r>
              <w:rPr>
                <w:rFonts w:ascii="MS PGothic" w:cs="MS PGothic" w:eastAsia="MS PGothic" w:hAnsi="MS PGothic"/>
                <w:sz w:val="15"/>
                <w:szCs w:val="15"/>
                <w:color w:val="auto"/>
                <w:w w:val="79"/>
              </w:rPr>
              <w:t>✓</w:t>
            </w: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jc w:val="center"/>
              <w:ind w:left="247"/>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Carpooling and Caravan Ride matching</w:t>
            </w:r>
          </w:p>
        </w:tc>
        <w:tc>
          <w:tcPr>
            <w:tcW w:w="1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jc w:val="center"/>
              <w:ind w:left="247"/>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Flexible Work Schedules</w:t>
            </w:r>
          </w:p>
        </w:tc>
        <w:tc>
          <w:tcPr>
            <w:tcW w:w="1880" w:type="dxa"/>
            <w:vAlign w:val="bottom"/>
          </w:tcPr>
          <w:p>
            <w:pPr>
              <w:jc w:val="center"/>
              <w:ind w:left="367"/>
              <w:spacing w:after="0" w:line="151" w:lineRule="exact"/>
              <w:rPr>
                <w:sz w:val="20"/>
                <w:szCs w:val="20"/>
                <w:color w:val="auto"/>
              </w:rPr>
            </w:pPr>
            <w:r>
              <w:rPr>
                <w:rFonts w:ascii="MS PGothic" w:cs="MS PGothic" w:eastAsia="MS PGothic" w:hAnsi="MS PGothic"/>
                <w:sz w:val="15"/>
                <w:szCs w:val="15"/>
                <w:color w:val="auto"/>
                <w:w w:val="79"/>
              </w:rPr>
              <w:t>✓</w:t>
            </w:r>
          </w:p>
        </w:tc>
        <w:tc>
          <w:tcPr>
            <w:tcW w:w="112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Publicity and Marketing</w:t>
            </w:r>
          </w:p>
        </w:tc>
        <w:tc>
          <w:tcPr>
            <w:tcW w:w="1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jc w:val="center"/>
              <w:ind w:left="247"/>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Bicycles/Racks/Showers</w:t>
            </w:r>
          </w:p>
        </w:tc>
        <w:tc>
          <w:tcPr>
            <w:tcW w:w="1880" w:type="dxa"/>
            <w:vAlign w:val="bottom"/>
          </w:tcPr>
          <w:p>
            <w:pPr>
              <w:jc w:val="center"/>
              <w:ind w:left="367"/>
              <w:spacing w:after="0" w:line="151" w:lineRule="exact"/>
              <w:rPr>
                <w:sz w:val="20"/>
                <w:szCs w:val="20"/>
                <w:color w:val="auto"/>
              </w:rPr>
            </w:pPr>
            <w:r>
              <w:rPr>
                <w:rFonts w:ascii="MS PGothic" w:cs="MS PGothic" w:eastAsia="MS PGothic" w:hAnsi="MS PGothic"/>
                <w:sz w:val="15"/>
                <w:szCs w:val="15"/>
                <w:color w:val="auto"/>
                <w:w w:val="79"/>
              </w:rPr>
              <w:t>✓</w:t>
            </w:r>
          </w:p>
        </w:tc>
        <w:tc>
          <w:tcPr>
            <w:tcW w:w="112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300" w:type="dxa"/>
            <w:vAlign w:val="bottom"/>
          </w:tcPr>
          <w:p>
            <w:pPr>
              <w:spacing w:after="0"/>
              <w:rPr>
                <w:sz w:val="23"/>
                <w:szCs w:val="23"/>
                <w:color w:val="auto"/>
              </w:rPr>
            </w:pPr>
          </w:p>
        </w:tc>
        <w:tc>
          <w:tcPr>
            <w:tcW w:w="960" w:type="dxa"/>
            <w:vAlign w:val="bottom"/>
          </w:tcPr>
          <w:p>
            <w:pPr>
              <w:jc w:val="center"/>
              <w:ind w:left="247"/>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Discount and Preferential Parking for Vanpools and Carpools</w:t>
            </w:r>
          </w:p>
        </w:tc>
        <w:tc>
          <w:tcPr>
            <w:tcW w:w="1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jc w:val="center"/>
              <w:ind w:left="247"/>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5960" w:type="dxa"/>
            <w:vAlign w:val="bottom"/>
          </w:tcPr>
          <w:p>
            <w:pPr>
              <w:spacing w:after="0"/>
              <w:rPr>
                <w:sz w:val="20"/>
                <w:szCs w:val="20"/>
                <w:color w:val="auto"/>
              </w:rPr>
            </w:pPr>
            <w:r>
              <w:rPr>
                <w:rFonts w:ascii="Arial" w:cs="Arial" w:eastAsia="Arial" w:hAnsi="Arial"/>
                <w:sz w:val="15"/>
                <w:szCs w:val="15"/>
                <w:color w:val="auto"/>
              </w:rPr>
              <w:t>Financial Incentives</w:t>
            </w:r>
            <w:r>
              <w:rPr>
                <w:rFonts w:ascii="Arial" w:cs="Arial" w:eastAsia="Arial" w:hAnsi="Arial"/>
                <w:sz w:val="12"/>
                <w:szCs w:val="12"/>
                <w:color w:val="auto"/>
              </w:rPr>
              <w:t>3</w:t>
            </w:r>
          </w:p>
        </w:tc>
        <w:tc>
          <w:tcPr>
            <w:tcW w:w="1880" w:type="dxa"/>
            <w:vAlign w:val="bottom"/>
          </w:tcPr>
          <w:p>
            <w:pPr>
              <w:jc w:val="center"/>
              <w:ind w:left="367"/>
              <w:spacing w:after="0" w:line="151" w:lineRule="exact"/>
              <w:rPr>
                <w:sz w:val="20"/>
                <w:szCs w:val="20"/>
                <w:color w:val="auto"/>
              </w:rPr>
            </w:pPr>
            <w:r>
              <w:rPr>
                <w:rFonts w:ascii="MS PGothic" w:cs="MS PGothic" w:eastAsia="MS PGothic" w:hAnsi="MS PGothic"/>
                <w:sz w:val="15"/>
                <w:szCs w:val="15"/>
                <w:color w:val="auto"/>
                <w:w w:val="79"/>
              </w:rPr>
              <w:t>✓</w:t>
            </w: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In all cases the TDM measures described hereunder will be implemented by FWRT, individual building owners, or the tenants of the Buildings,</w:t>
      </w:r>
    </w:p>
    <w:p>
      <w:pPr>
        <w:spacing w:after="0" w:line="261" w:lineRule="exact"/>
        <w:rPr>
          <w:sz w:val="20"/>
          <w:szCs w:val="20"/>
          <w:color w:val="auto"/>
        </w:rPr>
      </w:pPr>
    </w:p>
    <w:p>
      <w:pPr>
        <w:ind w:left="520" w:hanging="512"/>
        <w:spacing w:after="0"/>
        <w:tabs>
          <w:tab w:leader="none" w:pos="520" w:val="left"/>
        </w:tabs>
        <w:numPr>
          <w:ilvl w:val="0"/>
          <w:numId w:val="231"/>
        </w:numPr>
        <w:rPr>
          <w:rFonts w:ascii="Arial" w:cs="Arial" w:eastAsia="Arial" w:hAnsi="Arial"/>
          <w:sz w:val="15"/>
          <w:szCs w:val="15"/>
          <w:b w:val="1"/>
          <w:bCs w:val="1"/>
          <w:color w:val="auto"/>
        </w:rPr>
      </w:pPr>
      <w:r>
        <w:rPr>
          <w:rFonts w:ascii="Arial" w:cs="Arial" w:eastAsia="Arial" w:hAnsi="Arial"/>
          <w:sz w:val="15"/>
          <w:szCs w:val="15"/>
          <w:b w:val="1"/>
          <w:bCs w:val="1"/>
          <w:color w:val="auto"/>
        </w:rPr>
        <w:t>Alternative Work Programs</w:t>
      </w:r>
    </w:p>
    <w:p>
      <w:pPr>
        <w:spacing w:after="0" w:line="94" w:lineRule="exact"/>
        <w:rPr>
          <w:sz w:val="20"/>
          <w:szCs w:val="20"/>
          <w:color w:val="auto"/>
        </w:rPr>
      </w:pPr>
    </w:p>
    <w:p>
      <w:pPr>
        <w:ind w:right="280"/>
        <w:spacing w:after="0" w:line="262" w:lineRule="auto"/>
        <w:rPr>
          <w:sz w:val="20"/>
          <w:szCs w:val="20"/>
          <w:color w:val="auto"/>
        </w:rPr>
      </w:pPr>
      <w:r>
        <w:rPr>
          <w:rFonts w:ascii="Arial" w:cs="Arial" w:eastAsia="Arial" w:hAnsi="Arial"/>
          <w:sz w:val="15"/>
          <w:szCs w:val="15"/>
          <w:color w:val="auto"/>
        </w:rPr>
        <w:t>FWRT will include provisions in all leases giving tenants information on the advantages and benefits of telecommuting, flexible time and compressed work week programs and encouraging tenants to work directly with the City of Cambridge on such programs.</w:t>
      </w:r>
    </w:p>
    <w:p>
      <w:pPr>
        <w:spacing w:after="0" w:line="136" w:lineRule="exact"/>
        <w:rPr>
          <w:sz w:val="20"/>
          <w:szCs w:val="20"/>
          <w:color w:val="auto"/>
        </w:rPr>
      </w:pPr>
    </w:p>
    <w:p>
      <w:pPr>
        <w:ind w:left="120" w:hanging="112"/>
        <w:spacing w:after="0"/>
        <w:tabs>
          <w:tab w:leader="none" w:pos="12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Millennium offers full payment up to $560 per "month, deducted form paychecks before taxes.</w:t>
      </w:r>
    </w:p>
    <w:p>
      <w:pPr>
        <w:ind w:left="120" w:hanging="112"/>
        <w:spacing w:after="0" w:line="209" w:lineRule="auto"/>
        <w:tabs>
          <w:tab w:leader="none" w:pos="12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Millennium also offers free taxi vouchers for meetings.</w:t>
      </w:r>
    </w:p>
    <w:p>
      <w:pPr>
        <w:ind w:left="120" w:hanging="112"/>
        <w:spacing w:after="0" w:line="209" w:lineRule="auto"/>
        <w:tabs>
          <w:tab w:leader="none" w:pos="12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Millennium offers 100 per quarter to employees who elect not to commute by public transit or car.</w:t>
      </w:r>
    </w:p>
    <w:p>
      <w:pPr>
        <w:ind w:left="120" w:hanging="112"/>
        <w:spacing w:after="0"/>
        <w:tabs>
          <w:tab w:leader="none" w:pos="12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21 Eric Street tenants of 35 or less employees excluded.</w:t>
      </w:r>
    </w:p>
    <w:p>
      <w:pPr>
        <w:spacing w:after="0" w:line="236"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5"/>
          <w:szCs w:val="15"/>
          <w:b w:val="1"/>
          <w:bCs w:val="1"/>
          <w:color w:val="auto"/>
        </w:rPr>
        <w:t>Parking Management and SOV Disinceutives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FWRT will control access to the Garage by issuance of access cards and control devices installed at entrances to the Garage.</w:t>
      </w:r>
    </w:p>
    <w:p>
      <w:pPr>
        <w:spacing w:after="0" w:line="261"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5"/>
          <w:szCs w:val="15"/>
          <w:b w:val="1"/>
          <w:bCs w:val="1"/>
          <w:color w:val="auto"/>
        </w:rPr>
        <w:t>Marketing Programs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 New Employees</w:t>
      </w:r>
    </w:p>
    <w:p>
      <w:pPr>
        <w:spacing w:after="0" w:line="94" w:lineRule="exact"/>
        <w:rPr>
          <w:sz w:val="20"/>
          <w:szCs w:val="20"/>
          <w:color w:val="auto"/>
        </w:rPr>
      </w:pPr>
    </w:p>
    <w:p>
      <w:pPr>
        <w:ind w:right="20"/>
        <w:spacing w:after="0" w:line="346" w:lineRule="auto"/>
        <w:rPr>
          <w:sz w:val="20"/>
          <w:szCs w:val="20"/>
          <w:color w:val="auto"/>
        </w:rPr>
      </w:pPr>
      <w:r>
        <w:rPr>
          <w:rFonts w:ascii="Arial" w:cs="Arial" w:eastAsia="Arial" w:hAnsi="Arial"/>
          <w:sz w:val="12"/>
          <w:szCs w:val="12"/>
          <w:color w:val="auto"/>
        </w:rPr>
        <w:t>FWRT will compile material and information on each of these measures and provide all of its tenants’ employees with a commute alternatives “packet.” In addition to information on each measure, the packet will include a set of guidelines explaining available options and how to establish an in-house TDM program and/or benefits of participating in the local transportation management association. The packet will also include public transportation schedules, bicycle path information, location of on-site bicycle parking and location of changing/showering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 Commuter Newsletter</w:t>
      </w:r>
    </w:p>
    <w:p>
      <w:pPr>
        <w:spacing w:after="0" w:line="94" w:lineRule="exact"/>
        <w:rPr>
          <w:sz w:val="20"/>
          <w:szCs w:val="20"/>
          <w:color w:val="auto"/>
        </w:rPr>
      </w:pPr>
    </w:p>
    <w:p>
      <w:pPr>
        <w:spacing w:after="0" w:line="346" w:lineRule="auto"/>
        <w:rPr>
          <w:sz w:val="20"/>
          <w:szCs w:val="20"/>
          <w:color w:val="auto"/>
        </w:rPr>
      </w:pPr>
      <w:r>
        <w:rPr>
          <w:rFonts w:ascii="Arial" w:cs="Arial" w:eastAsia="Arial" w:hAnsi="Arial"/>
          <w:sz w:val="12"/>
          <w:szCs w:val="12"/>
          <w:color w:val="auto"/>
        </w:rPr>
        <w:t>FWRT will distribute a quarterly newsletter focusing on alternative commuting. The newsletter will include information on existing the new TDM programs, discuss advantages of alternative modes, provide maps of transit and shuttle bus routes, provide a question and answer section, and provide phone numbers addresses and website addresses for alternative commute resources and programs. FWRT will designate an individual responsible for the production and distribution of the newsletter, or contract the task to a third party such as CRTMA.</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 Website</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FWRT or CRTMA will develop and maintain a website devoted to alternative commute programs and measures or containing a section devoted to alternative commuting. At a minimum, the website will describe the programs, resources and measures provided to</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00"/>
          </w:cols>
          <w:pgMar w:left="220" w:top="304" w:right="379"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color w:val="auto"/>
        </w:rPr>
        <w:t>FWRT tenants and contain links to other websites such as City of Cambridge, MBTA and CARAVAN for Commuters that provide alternative commuter services and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 Promotion of Transportation Fair/Events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FWRT will notify its tenants (via flyers or posting at kiosk, bulletin boards, etc.) of upcoming transportation fairs and events organized by others as the schedules for such events become available.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FWRT or CRTMA will organize an on-site transportation information fair at least once a year.</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 Commuter Information Centers</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Commuter Information Centers, including bus schedules and maps, ridesharing marketing forms and information about the guaranteed ride home program, will be created in a central location on site.</w:t>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b w:val="1"/>
          <w:bCs w:val="1"/>
          <w:color w:val="auto"/>
        </w:rPr>
        <w:t>Vll</w:t>
      </w:r>
      <w:r>
        <w:rPr>
          <w:sz w:val="20"/>
          <w:szCs w:val="20"/>
          <w:color w:val="auto"/>
        </w:rPr>
        <w:tab/>
      </w:r>
      <w:r>
        <w:rPr>
          <w:rFonts w:ascii="Arial" w:cs="Arial" w:eastAsia="Arial" w:hAnsi="Arial"/>
          <w:sz w:val="15"/>
          <w:szCs w:val="15"/>
          <w:b w:val="1"/>
          <w:bCs w:val="1"/>
          <w:color w:val="auto"/>
        </w:rPr>
        <w:t>Monitoring and Reporting Plan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monitoring and reporting plan will include the following:</w:t>
      </w:r>
    </w:p>
    <w:p>
      <w:pPr>
        <w:spacing w:after="0" w:line="232" w:lineRule="exact"/>
        <w:rPr>
          <w:sz w:val="20"/>
          <w:szCs w:val="20"/>
          <w:color w:val="auto"/>
        </w:rPr>
      </w:pPr>
    </w:p>
    <w:p>
      <w:pPr>
        <w:ind w:left="520" w:hanging="512"/>
        <w:spacing w:after="0"/>
        <w:tabs>
          <w:tab w:leader="none" w:pos="5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Yearly mode split surveys, including questions about attitudes and suggestions 4/26/99 for new programs.</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Bi-yearly driveway and parking occupancy counts (starting with the first year of occupancy).</w:t>
      </w:r>
    </w:p>
    <w:p>
      <w:pPr>
        <w:spacing w:after="0" w:line="89" w:lineRule="exact"/>
        <w:rPr>
          <w:rFonts w:ascii="Arial" w:cs="Arial" w:eastAsia="Arial" w:hAnsi="Arial"/>
          <w:sz w:val="16"/>
          <w:szCs w:val="16"/>
          <w:color w:val="auto"/>
        </w:rPr>
      </w:pPr>
    </w:p>
    <w:p>
      <w:pPr>
        <w:ind w:left="520" w:hanging="512"/>
        <w:spacing w:after="0"/>
        <w:tabs>
          <w:tab w:leader="none" w:pos="5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Commitment to report this information to the city on a yearly basis for use in determining whether the project is meeting its mode split commitment.</w:t>
      </w:r>
    </w:p>
    <w:p>
      <w:pPr>
        <w:spacing w:after="0" w:line="265"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b w:val="1"/>
          <w:bCs w:val="1"/>
          <w:color w:val="auto"/>
        </w:rPr>
        <w:t>IX.</w:t>
      </w:r>
      <w:r>
        <w:rPr>
          <w:sz w:val="20"/>
          <w:szCs w:val="20"/>
          <w:color w:val="auto"/>
        </w:rPr>
        <w:tab/>
      </w:r>
      <w:r>
        <w:rPr>
          <w:rFonts w:ascii="Arial" w:cs="Arial" w:eastAsia="Arial" w:hAnsi="Arial"/>
          <w:sz w:val="15"/>
          <w:szCs w:val="15"/>
          <w:b w:val="1"/>
          <w:bCs w:val="1"/>
          <w:color w:val="auto"/>
        </w:rPr>
        <w:t>Office of Workforce Development Commitment</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FWRT commits to work with the Cambridge Office of Workforce Development.</w:t>
      </w:r>
    </w:p>
    <w:p>
      <w:pPr>
        <w:spacing w:after="0" w:line="261" w:lineRule="exact"/>
        <w:rPr>
          <w:sz w:val="20"/>
          <w:szCs w:val="20"/>
          <w:color w:val="auto"/>
        </w:rPr>
      </w:pPr>
    </w:p>
    <w:p>
      <w:pPr>
        <w:ind w:left="520" w:hanging="512"/>
        <w:spacing w:after="0"/>
        <w:tabs>
          <w:tab w:leader="none" w:pos="520" w:val="left"/>
        </w:tabs>
        <w:numPr>
          <w:ilvl w:val="0"/>
          <w:numId w:val="234"/>
        </w:numPr>
        <w:rPr>
          <w:rFonts w:ascii="Arial" w:cs="Arial" w:eastAsia="Arial" w:hAnsi="Arial"/>
          <w:sz w:val="15"/>
          <w:szCs w:val="15"/>
          <w:b w:val="1"/>
          <w:bCs w:val="1"/>
          <w:color w:val="auto"/>
        </w:rPr>
      </w:pPr>
      <w:r>
        <w:rPr>
          <w:rFonts w:ascii="Arial" w:cs="Arial" w:eastAsia="Arial" w:hAnsi="Arial"/>
          <w:sz w:val="15"/>
          <w:szCs w:val="15"/>
          <w:b w:val="1"/>
          <w:bCs w:val="1"/>
          <w:color w:val="auto"/>
        </w:rPr>
        <w:t>Corporate Office 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Attached is the Corporate Office Certification concerning commercial parking (Attachment 2).</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91" w:right="239" w:bottom="1440" w:gutter="0" w:footer="0" w:header="0"/>
        </w:sectPr>
      </w:pPr>
    </w:p>
    <w:bookmarkStart w:id="374" w:name="page375"/>
    <w:bookmarkEnd w:id="374"/>
    <w:p>
      <w:pPr>
        <w:jc w:val="center"/>
        <w:ind w:right="-20"/>
        <w:spacing w:after="0"/>
        <w:rPr>
          <w:sz w:val="20"/>
          <w:szCs w:val="20"/>
          <w:color w:val="auto"/>
        </w:rPr>
      </w:pPr>
      <w:r>
        <w:rPr>
          <w:rFonts w:ascii="Arial" w:cs="Arial" w:eastAsia="Arial" w:hAnsi="Arial"/>
          <w:sz w:val="15"/>
          <w:szCs w:val="15"/>
          <w:b w:val="1"/>
          <w:bCs w:val="1"/>
          <w:color w:val="auto"/>
        </w:rPr>
        <w:t>EXHIBIT I</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TENANT’S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727710</wp:posOffset>
            </wp:positionV>
            <wp:extent cx="7312025"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52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rPr>
              <w:t>EXHIBIT J</w:t>
            </w:r>
          </w:p>
        </w:tc>
      </w:tr>
      <w:tr>
        <w:trPr>
          <w:trHeight w:val="229"/>
        </w:trPr>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8"/>
              </w:rPr>
              <w:t>FORM OF ESTOPPEL CERTIFICATE</w:t>
            </w:r>
          </w:p>
        </w:tc>
      </w:tr>
      <w:tr>
        <w:trPr>
          <w:trHeight w:val="276"/>
        </w:trPr>
        <w:tc>
          <w:tcPr>
            <w:tcW w:w="340" w:type="dxa"/>
            <w:vAlign w:val="bottom"/>
          </w:tcPr>
          <w:p>
            <w:pPr>
              <w:spacing w:after="0"/>
              <w:rPr>
                <w:sz w:val="20"/>
                <w:szCs w:val="20"/>
                <w:color w:val="auto"/>
              </w:rPr>
            </w:pPr>
            <w:r>
              <w:rPr>
                <w:rFonts w:ascii="Arial" w:cs="Arial" w:eastAsia="Arial" w:hAnsi="Arial"/>
                <w:sz w:val="15"/>
                <w:szCs w:val="15"/>
                <w:color w:val="auto"/>
              </w:rPr>
              <w:t>To:</w:t>
            </w: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BMR-Sidney Research Campus LLC</w:t>
            </w:r>
          </w:p>
        </w:tc>
      </w:tr>
      <w:tr>
        <w:trPr>
          <w:trHeight w:val="175"/>
        </w:trPr>
        <w:tc>
          <w:tcPr>
            <w:tcW w:w="340" w:type="dxa"/>
            <w:vAlign w:val="bottom"/>
          </w:tcPr>
          <w:p>
            <w:pPr>
              <w:spacing w:after="0"/>
              <w:rPr>
                <w:sz w:val="15"/>
                <w:szCs w:val="15"/>
                <w:color w:val="auto"/>
              </w:rPr>
            </w:pP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17190 Bernardo Center Drive</w:t>
            </w:r>
          </w:p>
        </w:tc>
      </w:tr>
      <w:tr>
        <w:trPr>
          <w:trHeight w:val="175"/>
        </w:trPr>
        <w:tc>
          <w:tcPr>
            <w:tcW w:w="340" w:type="dxa"/>
            <w:vAlign w:val="bottom"/>
          </w:tcPr>
          <w:p>
            <w:pPr>
              <w:spacing w:after="0"/>
              <w:rPr>
                <w:sz w:val="15"/>
                <w:szCs w:val="15"/>
                <w:color w:val="auto"/>
              </w:rPr>
            </w:pP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San Diego, California 92128</w:t>
            </w:r>
          </w:p>
        </w:tc>
      </w:tr>
      <w:tr>
        <w:trPr>
          <w:trHeight w:val="186"/>
        </w:trPr>
        <w:tc>
          <w:tcPr>
            <w:tcW w:w="340" w:type="dxa"/>
            <w:vAlign w:val="bottom"/>
          </w:tcPr>
          <w:p>
            <w:pPr>
              <w:spacing w:after="0"/>
              <w:rPr>
                <w:sz w:val="16"/>
                <w:szCs w:val="16"/>
                <w:color w:val="auto"/>
              </w:rPr>
            </w:pP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Attention: Vice President, Real Estate Legal</w:t>
            </w:r>
          </w:p>
        </w:tc>
      </w:tr>
      <w:tr>
        <w:trPr>
          <w:trHeight w:val="263"/>
        </w:trPr>
        <w:tc>
          <w:tcPr>
            <w:tcW w:w="340" w:type="dxa"/>
            <w:vAlign w:val="bottom"/>
          </w:tcPr>
          <w:p>
            <w:pPr>
              <w:spacing w:after="0"/>
              <w:rPr>
                <w:sz w:val="22"/>
                <w:szCs w:val="22"/>
                <w:color w:val="auto"/>
              </w:rPr>
            </w:pP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BioMed Realty, L.P.</w:t>
            </w:r>
          </w:p>
        </w:tc>
      </w:tr>
      <w:tr>
        <w:trPr>
          <w:trHeight w:val="175"/>
        </w:trPr>
        <w:tc>
          <w:tcPr>
            <w:tcW w:w="340" w:type="dxa"/>
            <w:vAlign w:val="bottom"/>
          </w:tcPr>
          <w:p>
            <w:pPr>
              <w:spacing w:after="0"/>
              <w:rPr>
                <w:sz w:val="15"/>
                <w:szCs w:val="15"/>
                <w:color w:val="auto"/>
              </w:rPr>
            </w:pP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17190 Bernardo Center Drive</w:t>
            </w:r>
          </w:p>
        </w:tc>
      </w:tr>
      <w:tr>
        <w:trPr>
          <w:trHeight w:val="186"/>
        </w:trPr>
        <w:tc>
          <w:tcPr>
            <w:tcW w:w="340" w:type="dxa"/>
            <w:vAlign w:val="bottom"/>
          </w:tcPr>
          <w:p>
            <w:pPr>
              <w:spacing w:after="0"/>
              <w:rPr>
                <w:sz w:val="16"/>
                <w:szCs w:val="16"/>
                <w:color w:val="auto"/>
              </w:rPr>
            </w:pPr>
          </w:p>
        </w:tc>
        <w:tc>
          <w:tcPr>
            <w:tcW w:w="6660" w:type="dxa"/>
            <w:vAlign w:val="bottom"/>
            <w:gridSpan w:val="6"/>
          </w:tcPr>
          <w:p>
            <w:pPr>
              <w:ind w:left="180"/>
              <w:spacing w:after="0"/>
              <w:rPr>
                <w:sz w:val="20"/>
                <w:szCs w:val="20"/>
                <w:color w:val="auto"/>
              </w:rPr>
            </w:pPr>
            <w:r>
              <w:rPr>
                <w:rFonts w:ascii="Arial" w:cs="Arial" w:eastAsia="Arial" w:hAnsi="Arial"/>
                <w:sz w:val="15"/>
                <w:szCs w:val="15"/>
                <w:color w:val="auto"/>
              </w:rPr>
              <w:t>San Diego, California 92128</w:t>
            </w:r>
          </w:p>
        </w:tc>
      </w:tr>
      <w:tr>
        <w:trPr>
          <w:trHeight w:val="273"/>
        </w:trPr>
        <w:tc>
          <w:tcPr>
            <w:tcW w:w="340" w:type="dxa"/>
            <w:vAlign w:val="bottom"/>
          </w:tcPr>
          <w:p>
            <w:pPr>
              <w:spacing w:after="0"/>
              <w:rPr>
                <w:sz w:val="20"/>
                <w:szCs w:val="20"/>
                <w:color w:val="auto"/>
              </w:rPr>
            </w:pPr>
            <w:r>
              <w:rPr>
                <w:rFonts w:ascii="Arial" w:cs="Arial" w:eastAsia="Arial" w:hAnsi="Arial"/>
                <w:sz w:val="15"/>
                <w:szCs w:val="15"/>
                <w:color w:val="auto"/>
              </w:rPr>
              <w:t>Re:</w:t>
            </w:r>
          </w:p>
        </w:tc>
        <w:tc>
          <w:tcPr>
            <w:tcW w:w="6660" w:type="dxa"/>
            <w:vAlign w:val="bottom"/>
            <w:gridSpan w:val="6"/>
          </w:tcPr>
          <w:p>
            <w:pPr>
              <w:ind w:left="140"/>
              <w:spacing w:after="0"/>
              <w:rPr>
                <w:sz w:val="20"/>
                <w:szCs w:val="20"/>
                <w:color w:val="auto"/>
              </w:rPr>
            </w:pPr>
            <w:r>
              <w:rPr>
                <w:rFonts w:ascii="Arial" w:cs="Arial" w:eastAsia="Arial" w:hAnsi="Arial"/>
                <w:sz w:val="15"/>
                <w:szCs w:val="15"/>
                <w:color w:val="auto"/>
                <w:w w:val="91"/>
              </w:rPr>
              <w:t>[PREMISES ADDRESS] (the “Premises”) at 200 Sidney Street, Cambridge, Massachusetts (the “Property”)</w:t>
            </w:r>
          </w:p>
        </w:tc>
      </w:tr>
      <w:tr>
        <w:trPr>
          <w:trHeight w:val="20"/>
        </w:trPr>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tenant (“</w:t>
      </w:r>
      <w:r>
        <w:rPr>
          <w:rFonts w:ascii="Arial" w:cs="Arial" w:eastAsia="Arial" w:hAnsi="Arial"/>
          <w:sz w:val="16"/>
          <w:szCs w:val="16"/>
          <w:u w:val="single" w:color="auto"/>
          <w:color w:val="auto"/>
        </w:rPr>
        <w:t>Tenant</w:t>
      </w:r>
      <w:r>
        <w:rPr>
          <w:rFonts w:ascii="Arial" w:cs="Arial" w:eastAsia="Arial" w:hAnsi="Arial"/>
          <w:sz w:val="16"/>
          <w:szCs w:val="16"/>
          <w:color w:val="auto"/>
        </w:rPr>
        <w:t>”) hereby certifies to you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jc w:val="right"/>
              <w:ind w:right="120"/>
              <w:spacing w:after="0"/>
              <w:rPr>
                <w:sz w:val="20"/>
                <w:szCs w:val="20"/>
                <w:color w:val="auto"/>
              </w:rPr>
            </w:pPr>
            <w:r>
              <w:rPr>
                <w:rFonts w:ascii="Arial" w:cs="Arial" w:eastAsia="Arial" w:hAnsi="Arial"/>
                <w:sz w:val="16"/>
                <w:szCs w:val="16"/>
                <w:color w:val="auto"/>
                <w:w w:val="74"/>
              </w:rPr>
              <w:t>1.</w:t>
            </w:r>
          </w:p>
        </w:tc>
        <w:tc>
          <w:tcPr>
            <w:tcW w:w="6020" w:type="dxa"/>
            <w:vAlign w:val="bottom"/>
            <w:gridSpan w:val="17"/>
          </w:tcPr>
          <w:p>
            <w:pPr>
              <w:ind w:left="200"/>
              <w:spacing w:after="0"/>
              <w:rPr>
                <w:sz w:val="20"/>
                <w:szCs w:val="20"/>
                <w:color w:val="auto"/>
              </w:rPr>
            </w:pPr>
            <w:r>
              <w:rPr>
                <w:rFonts w:ascii="Arial" w:cs="Arial" w:eastAsia="Arial" w:hAnsi="Arial"/>
                <w:sz w:val="16"/>
                <w:szCs w:val="16"/>
                <w:color w:val="auto"/>
                <w:w w:val="89"/>
              </w:rPr>
              <w:t>Tenant is a tenant at the Property under a lease (the “Lease”) for the Premises dated as of [</w:t>
            </w:r>
          </w:p>
        </w:tc>
        <w:tc>
          <w:tcPr>
            <w:tcW w:w="5100" w:type="dxa"/>
            <w:vAlign w:val="bottom"/>
            <w:gridSpan w:val="14"/>
          </w:tcPr>
          <w:p>
            <w:pPr>
              <w:ind w:left="180"/>
              <w:spacing w:after="0"/>
              <w:rPr>
                <w:sz w:val="20"/>
                <w:szCs w:val="20"/>
                <w:color w:val="auto"/>
              </w:rPr>
            </w:pPr>
            <w:r>
              <w:rPr>
                <w:rFonts w:ascii="Arial" w:cs="Arial" w:eastAsia="Arial" w:hAnsi="Arial"/>
                <w:sz w:val="16"/>
                <w:szCs w:val="16"/>
                <w:color w:val="auto"/>
                <w:w w:val="91"/>
              </w:rPr>
              <w:t>], 20[  ]. The Lease has not been cancelled, modified, assigned, extended or</w:t>
            </w: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6"/>
        </w:trPr>
        <w:tc>
          <w:tcPr>
            <w:tcW w:w="320" w:type="dxa"/>
            <w:vAlign w:val="bottom"/>
          </w:tcPr>
          <w:p>
            <w:pPr>
              <w:spacing w:after="0"/>
              <w:rPr>
                <w:sz w:val="14"/>
                <w:szCs w:val="14"/>
                <w:color w:val="auto"/>
              </w:rPr>
            </w:pPr>
          </w:p>
        </w:tc>
        <w:tc>
          <w:tcPr>
            <w:tcW w:w="11120" w:type="dxa"/>
            <w:vAlign w:val="bottom"/>
            <w:gridSpan w:val="31"/>
          </w:tcPr>
          <w:p>
            <w:pPr>
              <w:ind w:left="200"/>
              <w:spacing w:after="0" w:line="166" w:lineRule="exact"/>
              <w:rPr>
                <w:sz w:val="20"/>
                <w:szCs w:val="20"/>
                <w:color w:val="auto"/>
              </w:rPr>
            </w:pPr>
            <w:r>
              <w:rPr>
                <w:rFonts w:ascii="Arial" w:cs="Arial" w:eastAsia="Arial" w:hAnsi="Arial"/>
                <w:sz w:val="16"/>
                <w:szCs w:val="16"/>
                <w:color w:val="auto"/>
                <w:w w:val="93"/>
              </w:rPr>
              <w:t>amended [except as follows: [   ]], and there are no other agreements, written or oral, affecting or relating to Tenant’s lease of the Premises or any other space at the</w:t>
            </w: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6"/>
        </w:trPr>
        <w:tc>
          <w:tcPr>
            <w:tcW w:w="320" w:type="dxa"/>
            <w:vAlign w:val="bottom"/>
          </w:tcPr>
          <w:p>
            <w:pPr>
              <w:spacing w:after="0"/>
              <w:rPr>
                <w:sz w:val="14"/>
                <w:szCs w:val="14"/>
                <w:color w:val="auto"/>
              </w:rPr>
            </w:pPr>
          </w:p>
        </w:tc>
        <w:tc>
          <w:tcPr>
            <w:tcW w:w="6020" w:type="dxa"/>
            <w:vAlign w:val="bottom"/>
            <w:gridSpan w:val="17"/>
          </w:tcPr>
          <w:p>
            <w:pPr>
              <w:ind w:left="200"/>
              <w:spacing w:after="0" w:line="166" w:lineRule="exact"/>
              <w:rPr>
                <w:sz w:val="20"/>
                <w:szCs w:val="20"/>
                <w:color w:val="auto"/>
              </w:rPr>
            </w:pPr>
            <w:r>
              <w:rPr>
                <w:rFonts w:ascii="Arial" w:cs="Arial" w:eastAsia="Arial" w:hAnsi="Arial"/>
                <w:sz w:val="16"/>
                <w:szCs w:val="16"/>
                <w:color w:val="auto"/>
              </w:rPr>
              <w:t>Property. The lease term expires on [   ], 20[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3"/>
        </w:trPr>
        <w:tc>
          <w:tcPr>
            <w:tcW w:w="320" w:type="dxa"/>
            <w:vAlign w:val="bottom"/>
          </w:tcPr>
          <w:p>
            <w:pPr>
              <w:jc w:val="right"/>
              <w:ind w:right="120"/>
              <w:spacing w:after="0"/>
              <w:rPr>
                <w:sz w:val="20"/>
                <w:szCs w:val="20"/>
                <w:color w:val="auto"/>
              </w:rPr>
            </w:pPr>
            <w:r>
              <w:rPr>
                <w:rFonts w:ascii="Arial" w:cs="Arial" w:eastAsia="Arial" w:hAnsi="Arial"/>
                <w:sz w:val="16"/>
                <w:szCs w:val="16"/>
                <w:color w:val="auto"/>
                <w:w w:val="74"/>
              </w:rPr>
              <w:t>2.</w:t>
            </w:r>
          </w:p>
        </w:tc>
        <w:tc>
          <w:tcPr>
            <w:tcW w:w="9120" w:type="dxa"/>
            <w:vAlign w:val="bottom"/>
            <w:gridSpan w:val="26"/>
          </w:tcPr>
          <w:p>
            <w:pPr>
              <w:ind w:left="200"/>
              <w:spacing w:after="0"/>
              <w:rPr>
                <w:sz w:val="20"/>
                <w:szCs w:val="20"/>
                <w:color w:val="auto"/>
              </w:rPr>
            </w:pPr>
            <w:r>
              <w:rPr>
                <w:rFonts w:ascii="Arial" w:cs="Arial" w:eastAsia="Arial" w:hAnsi="Arial"/>
                <w:sz w:val="16"/>
                <w:szCs w:val="16"/>
                <w:color w:val="auto"/>
                <w:w w:val="94"/>
              </w:rPr>
              <w:t>Tenant took possession of the Premises, currently consisting of [   ] square feet, on [   ], 20[  ], and commenced to pay rent on [   ], 20[</w:t>
            </w:r>
          </w:p>
        </w:tc>
        <w:tc>
          <w:tcPr>
            <w:tcW w:w="2000" w:type="dxa"/>
            <w:vAlign w:val="bottom"/>
            <w:gridSpan w:val="5"/>
          </w:tcPr>
          <w:p>
            <w:pPr>
              <w:ind w:left="80"/>
              <w:spacing w:after="0"/>
              <w:rPr>
                <w:sz w:val="20"/>
                <w:szCs w:val="20"/>
                <w:color w:val="auto"/>
              </w:rPr>
            </w:pPr>
            <w:r>
              <w:rPr>
                <w:rFonts w:ascii="Arial" w:cs="Arial" w:eastAsia="Arial" w:hAnsi="Arial"/>
                <w:sz w:val="16"/>
                <w:szCs w:val="16"/>
                <w:color w:val="auto"/>
                <w:w w:val="93"/>
              </w:rPr>
              <w:t>]. Tenant has full possession</w:t>
            </w: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6"/>
        </w:trPr>
        <w:tc>
          <w:tcPr>
            <w:tcW w:w="320" w:type="dxa"/>
            <w:vAlign w:val="bottom"/>
          </w:tcPr>
          <w:p>
            <w:pPr>
              <w:spacing w:after="0"/>
              <w:rPr>
                <w:sz w:val="14"/>
                <w:szCs w:val="14"/>
                <w:color w:val="auto"/>
              </w:rPr>
            </w:pPr>
          </w:p>
        </w:tc>
        <w:tc>
          <w:tcPr>
            <w:tcW w:w="11120" w:type="dxa"/>
            <w:vAlign w:val="bottom"/>
            <w:gridSpan w:val="31"/>
          </w:tcPr>
          <w:p>
            <w:pPr>
              <w:ind w:left="200"/>
              <w:spacing w:after="0" w:line="166" w:lineRule="exact"/>
              <w:rPr>
                <w:sz w:val="20"/>
                <w:szCs w:val="20"/>
                <w:color w:val="auto"/>
              </w:rPr>
            </w:pPr>
            <w:r>
              <w:rPr>
                <w:rFonts w:ascii="Arial" w:cs="Arial" w:eastAsia="Arial" w:hAnsi="Arial"/>
                <w:sz w:val="16"/>
                <w:szCs w:val="16"/>
                <w:color w:val="auto"/>
                <w:w w:val="89"/>
              </w:rPr>
              <w:t>of the Premises, has not assigned the Lease or sublet any part of the Premises, and does not hold the Premises under an assignment or sublease [, except as follows: [   ]].</w:t>
            </w:r>
          </w:p>
        </w:tc>
      </w:tr>
      <w:tr>
        <w:trPr>
          <w:trHeight w:val="253"/>
        </w:trPr>
        <w:tc>
          <w:tcPr>
            <w:tcW w:w="320" w:type="dxa"/>
            <w:vAlign w:val="bottom"/>
          </w:tcPr>
          <w:p>
            <w:pPr>
              <w:jc w:val="right"/>
              <w:ind w:right="120"/>
              <w:spacing w:after="0"/>
              <w:rPr>
                <w:sz w:val="20"/>
                <w:szCs w:val="20"/>
                <w:color w:val="auto"/>
              </w:rPr>
            </w:pPr>
            <w:r>
              <w:rPr>
                <w:rFonts w:ascii="Arial" w:cs="Arial" w:eastAsia="Arial" w:hAnsi="Arial"/>
                <w:sz w:val="16"/>
                <w:szCs w:val="16"/>
                <w:color w:val="auto"/>
                <w:w w:val="74"/>
              </w:rPr>
              <w:t>3.</w:t>
            </w:r>
          </w:p>
        </w:tc>
        <w:tc>
          <w:tcPr>
            <w:tcW w:w="6020" w:type="dxa"/>
            <w:vAlign w:val="bottom"/>
            <w:gridSpan w:val="17"/>
          </w:tcPr>
          <w:p>
            <w:pPr>
              <w:ind w:left="200"/>
              <w:spacing w:after="0"/>
              <w:rPr>
                <w:sz w:val="20"/>
                <w:szCs w:val="20"/>
                <w:color w:val="auto"/>
              </w:rPr>
            </w:pPr>
            <w:r>
              <w:rPr>
                <w:rFonts w:ascii="Arial" w:cs="Arial" w:eastAsia="Arial" w:hAnsi="Arial"/>
                <w:sz w:val="16"/>
                <w:szCs w:val="16"/>
                <w:color w:val="auto"/>
                <w:w w:val="89"/>
              </w:rPr>
              <w:t>All base rent, rent escalations and additional rent under the Lease have been paid through [</w:t>
            </w:r>
          </w:p>
        </w:tc>
        <w:tc>
          <w:tcPr>
            <w:tcW w:w="180" w:type="dxa"/>
            <w:vAlign w:val="bottom"/>
          </w:tcPr>
          <w:p>
            <w:pPr>
              <w:spacing w:after="0"/>
              <w:rPr>
                <w:sz w:val="22"/>
                <w:szCs w:val="22"/>
                <w:color w:val="auto"/>
              </w:rPr>
            </w:pPr>
          </w:p>
        </w:tc>
        <w:tc>
          <w:tcPr>
            <w:tcW w:w="2920" w:type="dxa"/>
            <w:vAlign w:val="bottom"/>
            <w:gridSpan w:val="8"/>
          </w:tcPr>
          <w:p>
            <w:pPr>
              <w:ind w:left="20"/>
              <w:spacing w:after="0"/>
              <w:rPr>
                <w:sz w:val="20"/>
                <w:szCs w:val="20"/>
                <w:color w:val="auto"/>
              </w:rPr>
            </w:pPr>
            <w:r>
              <w:rPr>
                <w:rFonts w:ascii="Arial" w:cs="Arial" w:eastAsia="Arial" w:hAnsi="Arial"/>
                <w:sz w:val="16"/>
                <w:szCs w:val="16"/>
                <w:color w:val="auto"/>
                <w:w w:val="92"/>
              </w:rPr>
              <w:t>], 20[  ]. There is no prepaid rent [, except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0"/>
                <w:szCs w:val="20"/>
                <w:color w:val="auto"/>
              </w:rPr>
            </w:pPr>
            <w:r>
              <w:rPr>
                <w:rFonts w:ascii="Arial" w:cs="Arial" w:eastAsia="Arial" w:hAnsi="Arial"/>
                <w:sz w:val="16"/>
                <w:szCs w:val="16"/>
                <w:color w:val="auto"/>
                <w:w w:val="93"/>
              </w:rPr>
              <w:t>]][, and the amount of</w:t>
            </w:r>
          </w:p>
        </w:tc>
        <w:tc>
          <w:tcPr>
            <w:tcW w:w="2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166"/>
        </w:trPr>
        <w:tc>
          <w:tcPr>
            <w:tcW w:w="320" w:type="dxa"/>
            <w:vAlign w:val="bottom"/>
          </w:tcPr>
          <w:p>
            <w:pPr>
              <w:spacing w:after="0"/>
              <w:rPr>
                <w:sz w:val="14"/>
                <w:szCs w:val="14"/>
                <w:color w:val="auto"/>
              </w:rPr>
            </w:pPr>
          </w:p>
        </w:tc>
        <w:tc>
          <w:tcPr>
            <w:tcW w:w="11120" w:type="dxa"/>
            <w:vAlign w:val="bottom"/>
            <w:gridSpan w:val="31"/>
          </w:tcPr>
          <w:p>
            <w:pPr>
              <w:ind w:left="200"/>
              <w:spacing w:after="0" w:line="166" w:lineRule="exact"/>
              <w:rPr>
                <w:sz w:val="20"/>
                <w:szCs w:val="20"/>
                <w:color w:val="auto"/>
              </w:rPr>
            </w:pPr>
            <w:r>
              <w:rPr>
                <w:rFonts w:ascii="Arial" w:cs="Arial" w:eastAsia="Arial" w:hAnsi="Arial"/>
                <w:sz w:val="16"/>
                <w:szCs w:val="16"/>
                <w:color w:val="auto"/>
              </w:rPr>
              <w:t>security deposit is $[   ] [in cash][OR][in the form of a letter of credit]]. Tenant currently has no right to any future rent abatement under the Lease.</w:t>
            </w: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3"/>
        </w:trPr>
        <w:tc>
          <w:tcPr>
            <w:tcW w:w="320" w:type="dxa"/>
            <w:vAlign w:val="bottom"/>
          </w:tcPr>
          <w:p>
            <w:pPr>
              <w:jc w:val="right"/>
              <w:ind w:right="120"/>
              <w:spacing w:after="0"/>
              <w:rPr>
                <w:sz w:val="20"/>
                <w:szCs w:val="20"/>
                <w:color w:val="auto"/>
              </w:rPr>
            </w:pPr>
            <w:r>
              <w:rPr>
                <w:rFonts w:ascii="Arial" w:cs="Arial" w:eastAsia="Arial" w:hAnsi="Arial"/>
                <w:sz w:val="16"/>
                <w:szCs w:val="16"/>
                <w:color w:val="auto"/>
                <w:w w:val="74"/>
              </w:rPr>
              <w:t>4.</w:t>
            </w:r>
          </w:p>
        </w:tc>
        <w:tc>
          <w:tcPr>
            <w:tcW w:w="6020" w:type="dxa"/>
            <w:vAlign w:val="bottom"/>
            <w:gridSpan w:val="17"/>
          </w:tcPr>
          <w:p>
            <w:pPr>
              <w:ind w:left="200"/>
              <w:spacing w:after="0"/>
              <w:rPr>
                <w:sz w:val="20"/>
                <w:szCs w:val="20"/>
                <w:color w:val="auto"/>
              </w:rPr>
            </w:pPr>
            <w:r>
              <w:rPr>
                <w:rFonts w:ascii="Arial" w:cs="Arial" w:eastAsia="Arial" w:hAnsi="Arial"/>
                <w:sz w:val="16"/>
                <w:szCs w:val="16"/>
                <w:color w:val="auto"/>
              </w:rPr>
              <w:t>Base rent is currently payable in the amount of $[   ] per month.</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5" w:lineRule="exact"/>
        <w:rPr>
          <w:sz w:val="20"/>
          <w:szCs w:val="20"/>
          <w:color w:val="auto"/>
        </w:rPr>
      </w:pPr>
    </w:p>
    <w:p>
      <w:pPr>
        <w:ind w:left="520" w:right="380" w:hanging="512"/>
        <w:spacing w:after="0" w:line="269" w:lineRule="auto"/>
        <w:tabs>
          <w:tab w:leader="none" w:pos="5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Tenant is currently paying estimated payments of additional rent of $[ ] per month on account of real estate taxes, insurance, management fees and Common Area maintenance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-154940</wp:posOffset>
            </wp:positionV>
            <wp:extent cx="12700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0" cy="698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jc w:val="right"/>
              <w:ind w:right="120"/>
              <w:spacing w:after="0"/>
              <w:rPr>
                <w:sz w:val="20"/>
                <w:szCs w:val="20"/>
                <w:color w:val="auto"/>
              </w:rPr>
            </w:pPr>
            <w:r>
              <w:rPr>
                <w:rFonts w:ascii="Arial" w:cs="Arial" w:eastAsia="Arial" w:hAnsi="Arial"/>
                <w:sz w:val="16"/>
                <w:szCs w:val="16"/>
                <w:color w:val="auto"/>
                <w:w w:val="74"/>
              </w:rPr>
              <w:t>6.</w:t>
            </w:r>
          </w:p>
        </w:tc>
        <w:tc>
          <w:tcPr>
            <w:tcW w:w="11060" w:type="dxa"/>
            <w:vAlign w:val="bottom"/>
            <w:gridSpan w:val="3"/>
          </w:tcPr>
          <w:p>
            <w:pPr>
              <w:ind w:left="200"/>
              <w:spacing w:after="0"/>
              <w:rPr>
                <w:sz w:val="20"/>
                <w:szCs w:val="20"/>
                <w:color w:val="auto"/>
              </w:rPr>
            </w:pPr>
            <w:r>
              <w:rPr>
                <w:rFonts w:ascii="Arial" w:cs="Arial" w:eastAsia="Arial" w:hAnsi="Arial"/>
                <w:sz w:val="16"/>
                <w:szCs w:val="16"/>
                <w:color w:val="auto"/>
                <w:w w:val="90"/>
              </w:rPr>
              <w:t>All work to be performed for Tenant under the Lease has been performed as required under the Lease and has been accepted by Tenant[, except [   ]], and all allowances</w:t>
            </w:r>
          </w:p>
        </w:tc>
      </w:tr>
      <w:tr>
        <w:trPr>
          <w:trHeight w:val="203"/>
        </w:trPr>
        <w:tc>
          <w:tcPr>
            <w:tcW w:w="320" w:type="dxa"/>
            <w:vAlign w:val="bottom"/>
          </w:tcPr>
          <w:p>
            <w:pPr>
              <w:spacing w:after="0"/>
              <w:rPr>
                <w:sz w:val="17"/>
                <w:szCs w:val="17"/>
                <w:color w:val="auto"/>
              </w:rPr>
            </w:pPr>
          </w:p>
        </w:tc>
        <w:tc>
          <w:tcPr>
            <w:tcW w:w="9500" w:type="dxa"/>
            <w:vAlign w:val="bottom"/>
          </w:tcPr>
          <w:p>
            <w:pPr>
              <w:ind w:left="200"/>
              <w:spacing w:after="0"/>
              <w:rPr>
                <w:sz w:val="20"/>
                <w:szCs w:val="20"/>
                <w:color w:val="auto"/>
              </w:rPr>
            </w:pPr>
            <w:r>
              <w:rPr>
                <w:rFonts w:ascii="Arial" w:cs="Arial" w:eastAsia="Arial" w:hAnsi="Arial"/>
                <w:sz w:val="16"/>
                <w:szCs w:val="16"/>
                <w:color w:val="auto"/>
              </w:rPr>
              <w:t>to be paid to Tenant, including allowances for tenant improvements, moving expenses or other items, have been paid.</w:t>
            </w:r>
          </w:p>
        </w:tc>
        <w:tc>
          <w:tcPr>
            <w:tcW w:w="20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bl>
    <w:p>
      <w:pPr>
        <w:spacing w:after="0" w:line="69" w:lineRule="exact"/>
        <w:rPr>
          <w:sz w:val="20"/>
          <w:szCs w:val="20"/>
          <w:color w:val="auto"/>
        </w:rPr>
      </w:pPr>
    </w:p>
    <w:p>
      <w:pPr>
        <w:jc w:val="both"/>
        <w:ind w:left="520" w:hanging="512"/>
        <w:spacing w:after="0" w:line="287" w:lineRule="auto"/>
        <w:tabs>
          <w:tab w:leader="none" w:pos="5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The Lease is in full force and effect, free from default and free from any event that could become a default under the Lease, and Tenant has no claims against the landlord or offsets or defenses against rent, and there are no disputes with the landlord. Tenant has received no notice of prior sale, transfer, assignment, hypothecation or pledge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Pr>
          <w:p>
            <w:pPr>
              <w:spacing w:after="0"/>
              <w:rPr>
                <w:sz w:val="17"/>
                <w:szCs w:val="17"/>
                <w:color w:val="auto"/>
              </w:rPr>
            </w:pPr>
          </w:p>
        </w:tc>
        <w:tc>
          <w:tcPr>
            <w:tcW w:w="10940" w:type="dxa"/>
            <w:vAlign w:val="bottom"/>
          </w:tcPr>
          <w:p>
            <w:pPr>
              <w:ind w:left="200"/>
              <w:spacing w:after="0"/>
              <w:rPr>
                <w:sz w:val="20"/>
                <w:szCs w:val="20"/>
                <w:color w:val="auto"/>
              </w:rPr>
            </w:pPr>
            <w:r>
              <w:rPr>
                <w:rFonts w:ascii="Arial" w:cs="Arial" w:eastAsia="Arial" w:hAnsi="Arial"/>
                <w:sz w:val="16"/>
                <w:szCs w:val="16"/>
                <w:color w:val="auto"/>
              </w:rPr>
              <w:t>the Lease or of the rents payable thereunder[, except [   ]].</w:t>
            </w:r>
          </w:p>
        </w:tc>
      </w:tr>
      <w:tr>
        <w:trPr>
          <w:trHeight w:val="259"/>
        </w:trPr>
        <w:tc>
          <w:tcPr>
            <w:tcW w:w="320" w:type="dxa"/>
            <w:vAlign w:val="bottom"/>
          </w:tcPr>
          <w:p>
            <w:pPr>
              <w:jc w:val="right"/>
              <w:ind w:right="120"/>
              <w:spacing w:after="0"/>
              <w:rPr>
                <w:sz w:val="20"/>
                <w:szCs w:val="20"/>
                <w:color w:val="auto"/>
              </w:rPr>
            </w:pPr>
            <w:r>
              <w:rPr>
                <w:rFonts w:ascii="Arial" w:cs="Arial" w:eastAsia="Arial" w:hAnsi="Arial"/>
                <w:sz w:val="16"/>
                <w:szCs w:val="16"/>
                <w:color w:val="auto"/>
                <w:w w:val="74"/>
              </w:rPr>
              <w:t>8.</w:t>
            </w:r>
          </w:p>
        </w:tc>
        <w:tc>
          <w:tcPr>
            <w:tcW w:w="10940" w:type="dxa"/>
            <w:vAlign w:val="bottom"/>
          </w:tcPr>
          <w:p>
            <w:pPr>
              <w:ind w:left="200"/>
              <w:spacing w:after="0"/>
              <w:rPr>
                <w:sz w:val="20"/>
                <w:szCs w:val="20"/>
                <w:color w:val="auto"/>
              </w:rPr>
            </w:pPr>
            <w:r>
              <w:rPr>
                <w:rFonts w:ascii="Arial" w:cs="Arial" w:eastAsia="Arial" w:hAnsi="Arial"/>
                <w:sz w:val="16"/>
                <w:szCs w:val="16"/>
                <w:color w:val="auto"/>
                <w:w w:val="91"/>
              </w:rPr>
              <w:t>[Tenant has the following expansion rights or options for leasing additional space at the Property: [   ].][OR][Tenant has no rights or options to purchase the Property.]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2524760</wp:posOffset>
            </wp:positionH>
            <wp:positionV relativeFrom="paragraph">
              <wp:posOffset>-196850</wp:posOffset>
            </wp:positionV>
            <wp:extent cx="12700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0" cy="6985"/>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-22860</wp:posOffset>
            </wp:positionV>
            <wp:extent cx="12700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0" cy="6985"/>
                    </a:xfrm>
                    <a:prstGeom prst="rect">
                      <a:avLst/>
                    </a:prstGeom>
                    <a:noFill/>
                  </pic:spPr>
                </pic:pic>
              </a:graphicData>
            </a:graphic>
          </wp:anchor>
        </w:drawing>
      </w:r>
    </w:p>
    <w:p>
      <w:pPr>
        <w:spacing w:after="0" w:line="49" w:lineRule="exact"/>
        <w:rPr>
          <w:sz w:val="20"/>
          <w:szCs w:val="20"/>
          <w:color w:val="auto"/>
        </w:rPr>
      </w:pPr>
    </w:p>
    <w:p>
      <w:pPr>
        <w:ind w:left="520" w:right="100" w:hanging="512"/>
        <w:spacing w:after="0" w:line="269" w:lineRule="auto"/>
        <w:tabs>
          <w:tab w:leader="none" w:pos="5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To Tenant’s knowledge, no hazardous wastes have been generated, treated, stored or disposed of by or on behalf of Tenant in, on or around the Premises or the Project in violation of any environmental laws.</w:t>
      </w:r>
    </w:p>
    <w:p>
      <w:pPr>
        <w:spacing w:after="0" w:line="46" w:lineRule="exact"/>
        <w:rPr>
          <w:rFonts w:ascii="Arial" w:cs="Arial" w:eastAsia="Arial" w:hAnsi="Arial"/>
          <w:sz w:val="16"/>
          <w:szCs w:val="16"/>
          <w:color w:val="auto"/>
        </w:rPr>
      </w:pPr>
    </w:p>
    <w:p>
      <w:pPr>
        <w:ind w:left="520" w:right="20" w:hanging="512"/>
        <w:spacing w:after="0" w:line="299" w:lineRule="auto"/>
        <w:tabs>
          <w:tab w:leader="none" w:pos="5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The undersigned has executed this Estoppel Certificate with the knowledge and understanding that [INSERT NAME OF LANDLORD, PURCHASER OR LENDER, AS APPROPRIATE] or its assignee is [acquiring the Property/making a loan secured by the Property] in reliance on this certificate and that the undersigned shall be bound by this certificate. The statements contained herein may be relied upon by [INSERT NAME OF PURCHASER OR LENDER, AS APPROPRIATE], BMR-Sidney Research Campus LLC, BioMed Realty, L.P., BioMed Realty Trust, Inc., and any [other] mortgagee of the Property and their respective successors and assigns.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376" w:name="page377"/>
    <w:bookmarkEnd w:id="376"/>
    <w:p>
      <w:pPr>
        <w:spacing w:after="0"/>
        <w:rPr>
          <w:sz w:val="20"/>
          <w:szCs w:val="20"/>
          <w:color w:val="auto"/>
        </w:rPr>
      </w:pPr>
      <w:r>
        <w:rPr>
          <w:rFonts w:ascii="Arial" w:cs="Arial" w:eastAsia="Arial" w:hAnsi="Arial"/>
          <w:sz w:val="14"/>
          <w:szCs w:val="14"/>
          <w:color w:val="auto"/>
        </w:rPr>
        <w:t>Any capitalized terms not defined herein shall have the respective meanings given in the Lease.</w:t>
      </w:r>
    </w:p>
    <w:p>
      <w:pPr>
        <w:spacing w:after="0" w:line="102" w:lineRule="exact"/>
        <w:rPr>
          <w:sz w:val="20"/>
          <w:szCs w:val="20"/>
          <w:color w:val="auto"/>
        </w:rPr>
      </w:pPr>
    </w:p>
    <w:p>
      <w:pPr>
        <w:spacing w:after="0"/>
        <w:tabs>
          <w:tab w:leader="none" w:pos="840" w:val="left"/>
          <w:tab w:leader="none" w:pos="1580" w:val="left"/>
        </w:tabs>
        <w:rPr>
          <w:sz w:val="20"/>
          <w:szCs w:val="20"/>
          <w:color w:val="auto"/>
        </w:rPr>
      </w:pPr>
      <w:r>
        <w:rPr>
          <w:rFonts w:ascii="Arial" w:cs="Arial" w:eastAsia="Arial" w:hAnsi="Arial"/>
          <w:sz w:val="15"/>
          <w:szCs w:val="15"/>
          <w:color w:val="auto"/>
        </w:rPr>
        <w:t>Dated this [</w:t>
        <w:tab/>
        <w:t>] day of [</w:t>
      </w:r>
      <w:r>
        <w:rPr>
          <w:sz w:val="20"/>
          <w:szCs w:val="20"/>
          <w:color w:val="auto"/>
        </w:rPr>
        <w:tab/>
      </w: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-12065</wp:posOffset>
            </wp:positionV>
            <wp:extent cx="11557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15570" cy="698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-12065</wp:posOffset>
            </wp:positionV>
            <wp:extent cx="11557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15570" cy="698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-12065</wp:posOffset>
            </wp:positionV>
            <wp:extent cx="6921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215" cy="6985"/>
                    </a:xfrm>
                    <a:prstGeom prst="rect">
                      <a:avLst/>
                    </a:prstGeom>
                    <a:noFill/>
                  </pic:spPr>
                </pic:pic>
              </a:graphicData>
            </a:graphic>
          </wp:anchor>
        </w:drawing>
      </w:r>
    </w:p>
    <w:p>
      <w:pPr>
        <w:spacing w:after="0" w:line="70" w:lineRule="exact"/>
        <w:rPr>
          <w:sz w:val="20"/>
          <w:szCs w:val="20"/>
          <w:color w:val="auto"/>
        </w:rPr>
      </w:pPr>
    </w:p>
    <w:p>
      <w:pPr>
        <w:ind w:left="240" w:hanging="232"/>
        <w:spacing w:after="0"/>
        <w:tabs>
          <w:tab w:leader="none" w:pos="2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-12065</wp:posOffset>
            </wp:positionV>
            <wp:extent cx="11557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5570" cy="6985"/>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15"/>
          <w:szCs w:val="15"/>
          <w:color w:val="auto"/>
        </w:rPr>
        <w:t>a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wp:posOffset>
            </wp:positionV>
            <wp:extent cx="11557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5570"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8255</wp:posOffset>
            </wp:positionV>
            <wp:extent cx="240347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403475" cy="698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8255</wp:posOffset>
            </wp:positionV>
            <wp:extent cx="240347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403475" cy="698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8255</wp:posOffset>
            </wp:positionV>
            <wp:extent cx="240347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4034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259"/>
        <w:spacing w:after="0"/>
        <w:rPr>
          <w:sz w:val="20"/>
          <w:szCs w:val="20"/>
          <w:color w:val="auto"/>
        </w:rPr>
      </w:pPr>
      <w:r>
        <w:rPr>
          <w:rFonts w:ascii="Arial" w:cs="Arial" w:eastAsia="Arial" w:hAnsi="Arial"/>
          <w:sz w:val="15"/>
          <w:szCs w:val="15"/>
          <w:color w:val="auto"/>
        </w:rPr>
        <w:t>Page 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312025" cy="393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479" w:right="1440" w:bottom="1440" w:gutter="0" w:footer="0" w:header="0"/>
        </w:sectPr>
      </w:pPr>
    </w:p>
    <w:bookmarkStart w:id="377" w:name="page378"/>
    <w:bookmarkEnd w:id="377"/>
    <w:p>
      <w:pPr>
        <w:jc w:val="center"/>
        <w:spacing w:after="0"/>
        <w:rPr>
          <w:sz w:val="20"/>
          <w:szCs w:val="20"/>
          <w:color w:val="auto"/>
        </w:rPr>
      </w:pPr>
      <w:r>
        <w:rPr>
          <w:rFonts w:ascii="Arial" w:cs="Arial" w:eastAsia="Arial" w:hAnsi="Arial"/>
          <w:sz w:val="15"/>
          <w:szCs w:val="15"/>
          <w:b w:val="1"/>
          <w:bCs w:val="1"/>
          <w:color w:val="auto"/>
        </w:rPr>
        <w:t>EXHIBIT 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SURRENDER CONDITION OF MANUFACTURING AREA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607060</wp:posOffset>
            </wp:positionV>
            <wp:extent cx="7312025" cy="393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450215</wp:posOffset>
            </wp:positionH>
            <wp:positionV relativeFrom="page">
              <wp:posOffset>200025</wp:posOffset>
            </wp:positionV>
            <wp:extent cx="6668135" cy="43135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6668135" cy="4313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91" w:lineRule="exact"/>
        <w:rPr>
          <w:sz w:val="20"/>
          <w:szCs w:val="20"/>
          <w:color w:val="auto"/>
        </w:rPr>
      </w:pPr>
    </w:p>
    <w:p>
      <w:pPr>
        <w:ind w:right="280"/>
        <w:spacing w:after="0" w:line="262" w:lineRule="auto"/>
        <w:rPr>
          <w:sz w:val="20"/>
          <w:szCs w:val="20"/>
          <w:color w:val="auto"/>
        </w:rPr>
      </w:pPr>
      <w:r>
        <w:rPr>
          <w:rFonts w:ascii="Arial" w:cs="Arial" w:eastAsia="Arial" w:hAnsi="Arial"/>
          <w:sz w:val="15"/>
          <w:szCs w:val="15"/>
          <w:color w:val="auto"/>
        </w:rPr>
        <w:t>We hereby consent to the incorporation by reference in the Registration Statement on Form S-8 (No. 333-205253) of Seres Therapeutics, Inc. of our report dated March 14, 2016 relating to the financial statements, which appears in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March 14, 2016</w:t>
      </w:r>
    </w:p>
    <w:p>
      <w:pPr>
        <w:sectPr>
          <w:pgSz w:w="11900" w:h="16838" w:orient="portrait"/>
          <w:cols w:equalWidth="0" w:num="1">
            <w:col w:w="11460"/>
          </w:cols>
          <w:pgMar w:left="220" w:top="125" w:right="2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5"/>
          <w:szCs w:val="15"/>
          <w:b w:val="1"/>
          <w:bCs w:val="1"/>
          <w:color w:val="auto"/>
        </w:rPr>
        <w:t>Exhibit 31.1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 Roger J. Pomerantz, certify that:</w:t>
      </w:r>
    </w:p>
    <w:p>
      <w:pPr>
        <w:spacing w:after="0" w:line="90" w:lineRule="exact"/>
        <w:rPr>
          <w:sz w:val="20"/>
          <w:szCs w:val="20"/>
          <w:color w:val="auto"/>
        </w:rPr>
      </w:pPr>
    </w:p>
    <w:p>
      <w:pPr>
        <w:ind w:left="680" w:hanging="153"/>
        <w:spacing w:after="0"/>
        <w:tabs>
          <w:tab w:leader="none" w:pos="68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Seres Therapeutics, Inc.;</w:t>
      </w:r>
    </w:p>
    <w:p>
      <w:pPr>
        <w:spacing w:after="0" w:line="90" w:lineRule="exact"/>
        <w:rPr>
          <w:rFonts w:ascii="Arial" w:cs="Arial" w:eastAsia="Arial" w:hAnsi="Arial"/>
          <w:sz w:val="15"/>
          <w:szCs w:val="15"/>
          <w:color w:val="auto"/>
        </w:rPr>
      </w:pPr>
    </w:p>
    <w:p>
      <w:pPr>
        <w:ind w:right="440" w:firstLine="527"/>
        <w:spacing w:after="0" w:line="262" w:lineRule="auto"/>
        <w:tabs>
          <w:tab w:leader="none" w:pos="66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5"/>
          <w:szCs w:val="15"/>
          <w:color w:val="auto"/>
        </w:rPr>
      </w:pPr>
    </w:p>
    <w:p>
      <w:pPr>
        <w:ind w:right="540" w:firstLine="527"/>
        <w:spacing w:after="0" w:line="262" w:lineRule="auto"/>
        <w:tabs>
          <w:tab w:leader="none" w:pos="66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5"/>
          <w:szCs w:val="15"/>
          <w:color w:val="auto"/>
        </w:rPr>
      </w:pPr>
    </w:p>
    <w:p>
      <w:pPr>
        <w:ind w:right="80" w:firstLine="527"/>
        <w:spacing w:after="0" w:line="262" w:lineRule="auto"/>
        <w:tabs>
          <w:tab w:leader="none" w:pos="66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sz w:val="20"/>
          <w:szCs w:val="20"/>
          <w:color w:val="auto"/>
        </w:rPr>
      </w:pPr>
    </w:p>
    <w:p>
      <w:pPr>
        <w:ind w:right="60" w:firstLine="527"/>
        <w:spacing w:after="0" w:line="380" w:lineRule="auto"/>
        <w:tabs>
          <w:tab w:leader="none" w:pos="718" w:val="left"/>
        </w:tabs>
        <w:numPr>
          <w:ilvl w:val="0"/>
          <w:numId w:val="24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40" w:hanging="213"/>
        <w:spacing w:after="0"/>
        <w:tabs>
          <w:tab w:leader="none" w:pos="7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[OMITTED];</w:t>
      </w:r>
    </w:p>
    <w:p>
      <w:pPr>
        <w:spacing w:after="0" w:line="90" w:lineRule="exact"/>
        <w:rPr>
          <w:rFonts w:ascii="Arial" w:cs="Arial" w:eastAsia="Arial" w:hAnsi="Arial"/>
          <w:sz w:val="15"/>
          <w:szCs w:val="15"/>
          <w:color w:val="auto"/>
        </w:rPr>
      </w:pPr>
    </w:p>
    <w:p>
      <w:pPr>
        <w:ind w:right="320" w:firstLine="527"/>
        <w:spacing w:after="0" w:line="262" w:lineRule="auto"/>
        <w:tabs>
          <w:tab w:leader="none" w:pos="718" w:val="left"/>
        </w:tabs>
        <w:numPr>
          <w:ilvl w:val="0"/>
          <w:numId w:val="2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5"/>
          <w:szCs w:val="15"/>
          <w:color w:val="auto"/>
        </w:rPr>
      </w:pPr>
    </w:p>
    <w:p>
      <w:pPr>
        <w:ind w:right="300" w:firstLine="527"/>
        <w:spacing w:after="0" w:line="380" w:lineRule="auto"/>
        <w:tabs>
          <w:tab w:leader="none" w:pos="726" w:val="left"/>
        </w:tabs>
        <w:numPr>
          <w:ilvl w:val="0"/>
          <w:numId w:val="24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right="240" w:firstLine="527"/>
        <w:spacing w:after="0" w:line="262" w:lineRule="auto"/>
        <w:tabs>
          <w:tab w:leader="none" w:pos="666"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527"/>
        <w:spacing w:after="0" w:line="262" w:lineRule="auto"/>
        <w:tabs>
          <w:tab w:leader="none" w:pos="718"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5"/>
          <w:szCs w:val="15"/>
          <w:color w:val="auto"/>
        </w:rPr>
      </w:pPr>
    </w:p>
    <w:p>
      <w:pPr>
        <w:ind w:left="740" w:hanging="213"/>
        <w:spacing w:after="0"/>
        <w:tabs>
          <w:tab w:leader="none" w:pos="74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20"/>
                <w:szCs w:val="20"/>
                <w:color w:val="auto"/>
              </w:rPr>
            </w:pPr>
            <w:r>
              <w:rPr>
                <w:rFonts w:ascii="Arial" w:cs="Arial" w:eastAsia="Arial" w:hAnsi="Arial"/>
                <w:sz w:val="15"/>
                <w:szCs w:val="15"/>
                <w:color w:val="auto"/>
              </w:rPr>
              <w:t>Date: March 14, 2016</w:t>
            </w:r>
          </w:p>
        </w:tc>
        <w:tc>
          <w:tcPr>
            <w:tcW w:w="7600" w:type="dxa"/>
            <w:vAlign w:val="bottom"/>
            <w:gridSpan w:val="2"/>
          </w:tcPr>
          <w:p>
            <w:pPr>
              <w:ind w:left="2560"/>
              <w:spacing w:after="0"/>
              <w:rPr>
                <w:sz w:val="20"/>
                <w:szCs w:val="20"/>
                <w:color w:val="auto"/>
              </w:rPr>
            </w:pPr>
            <w:r>
              <w:rPr>
                <w:rFonts w:ascii="Arial" w:cs="Arial" w:eastAsia="Arial" w:hAnsi="Arial"/>
                <w:sz w:val="15"/>
                <w:szCs w:val="15"/>
                <w:color w:val="auto"/>
              </w:rPr>
              <w:t>By:  /s/ Roger J. Pomerantz</w:t>
            </w:r>
          </w:p>
        </w:tc>
      </w:tr>
      <w:tr>
        <w:trPr>
          <w:trHeight w:val="155"/>
        </w:trPr>
        <w:tc>
          <w:tcPr>
            <w:tcW w:w="3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7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Roger J. Pomerantz</w:t>
            </w:r>
          </w:p>
        </w:tc>
      </w:tr>
      <w:tr>
        <w:trPr>
          <w:trHeight w:val="175"/>
        </w:trPr>
        <w:tc>
          <w:tcPr>
            <w:tcW w:w="38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President, Chief Executive Officer and Chairman of the Board</w:t>
            </w:r>
          </w:p>
        </w:tc>
      </w:tr>
      <w:tr>
        <w:trPr>
          <w:trHeight w:val="186"/>
        </w:trPr>
        <w:tc>
          <w:tcPr>
            <w:tcW w:w="3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ectPr>
          <w:pgSz w:w="11900" w:h="16838" w:orient="portrait"/>
          <w:cols w:equalWidth="0" w:num="1">
            <w:col w:w="11460"/>
          </w:cols>
          <w:pgMar w:left="220" w:top="125" w:right="2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5"/>
          <w:szCs w:val="15"/>
          <w:b w:val="1"/>
          <w:bCs w:val="1"/>
          <w:color w:val="auto"/>
        </w:rPr>
        <w:t>Exhibit 31.2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 Eric D. Shaff, certify that:</w:t>
      </w:r>
    </w:p>
    <w:p>
      <w:pPr>
        <w:spacing w:after="0" w:line="90" w:lineRule="exact"/>
        <w:rPr>
          <w:sz w:val="20"/>
          <w:szCs w:val="20"/>
          <w:color w:val="auto"/>
        </w:rPr>
      </w:pPr>
    </w:p>
    <w:p>
      <w:pPr>
        <w:ind w:left="680" w:hanging="153"/>
        <w:spacing w:after="0"/>
        <w:tabs>
          <w:tab w:leader="none" w:pos="68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Seres Therapeutics, Inc.;</w:t>
      </w:r>
    </w:p>
    <w:p>
      <w:pPr>
        <w:spacing w:after="0" w:line="90" w:lineRule="exact"/>
        <w:rPr>
          <w:rFonts w:ascii="Arial" w:cs="Arial" w:eastAsia="Arial" w:hAnsi="Arial"/>
          <w:sz w:val="15"/>
          <w:szCs w:val="15"/>
          <w:color w:val="auto"/>
        </w:rPr>
      </w:pPr>
    </w:p>
    <w:p>
      <w:pPr>
        <w:ind w:right="440" w:firstLine="527"/>
        <w:spacing w:after="0" w:line="262" w:lineRule="auto"/>
        <w:tabs>
          <w:tab w:leader="none" w:pos="666" w:val="left"/>
        </w:tabs>
        <w:numPr>
          <w:ilvl w:val="0"/>
          <w:numId w:val="2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5"/>
          <w:szCs w:val="15"/>
          <w:color w:val="auto"/>
        </w:rPr>
      </w:pPr>
    </w:p>
    <w:p>
      <w:pPr>
        <w:ind w:right="540" w:firstLine="527"/>
        <w:spacing w:after="0" w:line="262" w:lineRule="auto"/>
        <w:tabs>
          <w:tab w:leader="none" w:pos="666" w:val="left"/>
        </w:tabs>
        <w:numPr>
          <w:ilvl w:val="0"/>
          <w:numId w:val="24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5"/>
          <w:szCs w:val="15"/>
          <w:color w:val="auto"/>
        </w:rPr>
      </w:pPr>
    </w:p>
    <w:p>
      <w:pPr>
        <w:ind w:right="80" w:firstLine="527"/>
        <w:spacing w:after="0" w:line="262" w:lineRule="auto"/>
        <w:tabs>
          <w:tab w:leader="none" w:pos="666"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sz w:val="20"/>
          <w:szCs w:val="20"/>
          <w:color w:val="auto"/>
        </w:rPr>
      </w:pPr>
    </w:p>
    <w:p>
      <w:pPr>
        <w:ind w:right="60" w:firstLine="527"/>
        <w:spacing w:after="0" w:line="380" w:lineRule="auto"/>
        <w:tabs>
          <w:tab w:leader="none" w:pos="718" w:val="left"/>
        </w:tabs>
        <w:numPr>
          <w:ilvl w:val="0"/>
          <w:numId w:val="24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40" w:hanging="213"/>
        <w:spacing w:after="0"/>
        <w:tabs>
          <w:tab w:leader="none" w:pos="74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[OMITTED];</w:t>
      </w:r>
    </w:p>
    <w:p>
      <w:pPr>
        <w:spacing w:after="0" w:line="90" w:lineRule="exact"/>
        <w:rPr>
          <w:rFonts w:ascii="Arial" w:cs="Arial" w:eastAsia="Arial" w:hAnsi="Arial"/>
          <w:sz w:val="15"/>
          <w:szCs w:val="15"/>
          <w:color w:val="auto"/>
        </w:rPr>
      </w:pPr>
    </w:p>
    <w:p>
      <w:pPr>
        <w:ind w:right="320" w:firstLine="527"/>
        <w:spacing w:after="0" w:line="262" w:lineRule="auto"/>
        <w:tabs>
          <w:tab w:leader="none" w:pos="718" w:val="left"/>
        </w:tabs>
        <w:numPr>
          <w:ilvl w:val="0"/>
          <w:numId w:val="2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5"/>
          <w:szCs w:val="15"/>
          <w:color w:val="auto"/>
        </w:rPr>
      </w:pPr>
    </w:p>
    <w:p>
      <w:pPr>
        <w:ind w:right="300" w:firstLine="527"/>
        <w:spacing w:after="0" w:line="380" w:lineRule="auto"/>
        <w:tabs>
          <w:tab w:leader="none" w:pos="726" w:val="left"/>
        </w:tabs>
        <w:numPr>
          <w:ilvl w:val="0"/>
          <w:numId w:val="24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right="240" w:firstLine="527"/>
        <w:spacing w:after="0" w:line="262" w:lineRule="auto"/>
        <w:tabs>
          <w:tab w:leader="none" w:pos="666"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527"/>
        <w:spacing w:after="0" w:line="262" w:lineRule="auto"/>
        <w:tabs>
          <w:tab w:leader="none" w:pos="718" w:val="left"/>
        </w:tabs>
        <w:numPr>
          <w:ilvl w:val="0"/>
          <w:numId w:val="24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5"/>
          <w:szCs w:val="15"/>
          <w:color w:val="auto"/>
        </w:rPr>
      </w:pPr>
    </w:p>
    <w:p>
      <w:pPr>
        <w:ind w:left="740" w:hanging="213"/>
        <w:spacing w:after="0"/>
        <w:tabs>
          <w:tab w:leader="none" w:pos="7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20"/>
                <w:szCs w:val="20"/>
                <w:color w:val="auto"/>
              </w:rPr>
            </w:pPr>
            <w:r>
              <w:rPr>
                <w:rFonts w:ascii="Arial" w:cs="Arial" w:eastAsia="Arial" w:hAnsi="Arial"/>
                <w:sz w:val="15"/>
                <w:szCs w:val="15"/>
                <w:color w:val="auto"/>
              </w:rPr>
              <w:t>Date: March 14, 2016</w:t>
            </w:r>
          </w:p>
        </w:tc>
        <w:tc>
          <w:tcPr>
            <w:tcW w:w="7600" w:type="dxa"/>
            <w:vAlign w:val="bottom"/>
            <w:gridSpan w:val="2"/>
          </w:tcPr>
          <w:p>
            <w:pPr>
              <w:ind w:left="2560"/>
              <w:spacing w:after="0"/>
              <w:rPr>
                <w:sz w:val="20"/>
                <w:szCs w:val="20"/>
                <w:color w:val="auto"/>
              </w:rPr>
            </w:pPr>
            <w:r>
              <w:rPr>
                <w:rFonts w:ascii="Arial" w:cs="Arial" w:eastAsia="Arial" w:hAnsi="Arial"/>
                <w:sz w:val="15"/>
                <w:szCs w:val="15"/>
                <w:color w:val="auto"/>
              </w:rPr>
              <w:t>By:  /s/ Eric D. Shaff</w:t>
            </w:r>
          </w:p>
        </w:tc>
      </w:tr>
      <w:tr>
        <w:trPr>
          <w:trHeight w:val="155"/>
        </w:trPr>
        <w:tc>
          <w:tcPr>
            <w:tcW w:w="3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7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Eric D. Shaff</w:t>
            </w:r>
          </w:p>
        </w:tc>
      </w:tr>
      <w:tr>
        <w:trPr>
          <w:trHeight w:val="175"/>
        </w:trPr>
        <w:tc>
          <w:tcPr>
            <w:tcW w:w="38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Executive Vice President and Chief Financial Officer</w:t>
            </w:r>
          </w:p>
        </w:tc>
      </w:tr>
      <w:tr>
        <w:trPr>
          <w:trHeight w:val="186"/>
        </w:trPr>
        <w:tc>
          <w:tcPr>
            <w:tcW w:w="3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ectPr>
          <w:pgSz w:w="11900" w:h="16838" w:orient="portrait"/>
          <w:cols w:equalWidth="0" w:num="1">
            <w:col w:w="11460"/>
          </w:cols>
          <w:pgMar w:left="220" w:top="125" w:right="2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5"/>
          <w:szCs w:val="15"/>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 Roger J. Pomerantz, President and Chief Executive Officer of Seres Therapeutics, Inc. (the “Company”), hereby certify, pursuant to 18 U.S.C. §1350, as adopted pursuant to §906 of the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Sarbanes-Oxley Act of 2002, that, to the best of my knowledge:</w:t>
      </w:r>
    </w:p>
    <w:p>
      <w:pPr>
        <w:spacing w:after="0" w:line="90" w:lineRule="exact"/>
        <w:rPr>
          <w:sz w:val="20"/>
          <w:szCs w:val="20"/>
          <w:color w:val="auto"/>
        </w:rPr>
      </w:pPr>
    </w:p>
    <w:p>
      <w:pPr>
        <w:ind w:left="900" w:right="280" w:hanging="444"/>
        <w:spacing w:after="0" w:line="262" w:lineRule="auto"/>
        <w:tabs>
          <w:tab w:leader="none" w:pos="90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period ended December 31, 2015 (the “Report”) fully complies with the requirements of Section 13(a) or 15(d) of the Securities Exchange Act of 1934, as amended; and</w:t>
      </w:r>
    </w:p>
    <w:p>
      <w:pPr>
        <w:spacing w:after="0" w:line="71" w:lineRule="exact"/>
        <w:rPr>
          <w:rFonts w:ascii="Arial" w:cs="Arial" w:eastAsia="Arial" w:hAnsi="Arial"/>
          <w:sz w:val="15"/>
          <w:szCs w:val="15"/>
          <w:color w:val="auto"/>
        </w:rPr>
      </w:pPr>
    </w:p>
    <w:p>
      <w:pPr>
        <w:ind w:left="900" w:hanging="444"/>
        <w:spacing w:after="0"/>
        <w:tabs>
          <w:tab w:leader="none" w:pos="90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7900" w:val="left"/>
        </w:tabs>
        <w:rPr>
          <w:sz w:val="20"/>
          <w:szCs w:val="20"/>
          <w:color w:val="auto"/>
        </w:rPr>
      </w:pPr>
      <w:r>
        <w:rPr>
          <w:rFonts w:ascii="Arial" w:cs="Arial" w:eastAsia="Arial" w:hAnsi="Arial"/>
          <w:sz w:val="15"/>
          <w:szCs w:val="15"/>
          <w:color w:val="auto"/>
        </w:rPr>
        <w:t>March 14, 2016</w:t>
      </w:r>
      <w:r>
        <w:rPr>
          <w:sz w:val="20"/>
          <w:szCs w:val="20"/>
          <w:color w:val="auto"/>
        </w:rPr>
        <w:tab/>
      </w:r>
      <w:r>
        <w:rPr>
          <w:rFonts w:ascii="Arial" w:cs="Arial" w:eastAsia="Arial" w:hAnsi="Arial"/>
          <w:sz w:val="12"/>
          <w:szCs w:val="12"/>
          <w:color w:val="auto"/>
        </w:rPr>
        <w:t>/s/ Roger J.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8255</wp:posOffset>
            </wp:positionV>
            <wp:extent cx="225044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250440" cy="6985"/>
                    </a:xfrm>
                    <a:prstGeom prst="rect">
                      <a:avLst/>
                    </a:prstGeom>
                    <a:noFill/>
                  </pic:spPr>
                </pic:pic>
              </a:graphicData>
            </a:graphic>
          </wp:anchor>
        </w:drawing>
      </w:r>
    </w:p>
    <w:p>
      <w:pPr>
        <w:spacing w:after="0" w:line="4" w:lineRule="exact"/>
        <w:rPr>
          <w:sz w:val="20"/>
          <w:szCs w:val="20"/>
          <w:color w:val="auto"/>
        </w:rPr>
      </w:pPr>
    </w:p>
    <w:p>
      <w:pPr>
        <w:ind w:left="7920"/>
        <w:spacing w:after="0"/>
        <w:rPr>
          <w:sz w:val="20"/>
          <w:szCs w:val="20"/>
          <w:color w:val="auto"/>
        </w:rPr>
      </w:pPr>
      <w:r>
        <w:rPr>
          <w:rFonts w:ascii="Arial" w:cs="Arial" w:eastAsia="Arial" w:hAnsi="Arial"/>
          <w:sz w:val="15"/>
          <w:szCs w:val="15"/>
          <w:color w:val="auto"/>
        </w:rPr>
        <w:t>Roger J. Pomerantz</w:t>
      </w:r>
    </w:p>
    <w:p>
      <w:pPr>
        <w:spacing w:after="0" w:line="13"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President, Chief Executive Officer and Chairman of the</w:t>
      </w:r>
    </w:p>
    <w:p>
      <w:pPr>
        <w:spacing w:after="0" w:line="14" w:lineRule="exact"/>
        <w:rPr>
          <w:sz w:val="20"/>
          <w:szCs w:val="20"/>
          <w:color w:val="auto"/>
        </w:rPr>
      </w:pPr>
    </w:p>
    <w:p>
      <w:pPr>
        <w:ind w:left="7920"/>
        <w:spacing w:after="0"/>
        <w:rPr>
          <w:sz w:val="20"/>
          <w:szCs w:val="20"/>
          <w:color w:val="auto"/>
        </w:rPr>
      </w:pPr>
      <w:r>
        <w:rPr>
          <w:rFonts w:ascii="Arial" w:cs="Arial" w:eastAsia="Arial" w:hAnsi="Arial"/>
          <w:sz w:val="15"/>
          <w:szCs w:val="15"/>
          <w:color w:val="auto"/>
        </w:rPr>
        <w:t>Board</w:t>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60"/>
          </w:cols>
          <w:pgMar w:left="220" w:top="475" w:right="2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5"/>
          <w:szCs w:val="15"/>
          <w:b w:val="1"/>
          <w:bCs w:val="1"/>
          <w:color w:val="auto"/>
        </w:rPr>
        <w:t>Exhibit 32.2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 Eric D. Shaff, Executive Vice President and Chief Financial Officer of Seres Therapeutics, Inc. (the “Company”), hereby certify, pursuant to 18 U.S.C. §1350, as adopted pursuant to §906 of the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Sarbanes-Oxley Act of 2002, that, to the best of my knowledge:</w:t>
      </w:r>
    </w:p>
    <w:p>
      <w:pPr>
        <w:spacing w:after="0" w:line="90" w:lineRule="exact"/>
        <w:rPr>
          <w:sz w:val="20"/>
          <w:szCs w:val="20"/>
          <w:color w:val="auto"/>
        </w:rPr>
      </w:pPr>
    </w:p>
    <w:p>
      <w:pPr>
        <w:ind w:left="900" w:right="280" w:hanging="444"/>
        <w:spacing w:after="0" w:line="262" w:lineRule="auto"/>
        <w:tabs>
          <w:tab w:leader="none" w:pos="90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period ended December 31, 2015 (the “Report”) fully complies with the requirements of Section 13(a) or 15(d) of the Securities Exchange Act of 1934, as amended; and</w:t>
      </w:r>
    </w:p>
    <w:p>
      <w:pPr>
        <w:spacing w:after="0" w:line="71" w:lineRule="exact"/>
        <w:rPr>
          <w:rFonts w:ascii="Arial" w:cs="Arial" w:eastAsia="Arial" w:hAnsi="Arial"/>
          <w:sz w:val="15"/>
          <w:szCs w:val="15"/>
          <w:color w:val="auto"/>
        </w:rPr>
      </w:pPr>
    </w:p>
    <w:p>
      <w:pPr>
        <w:ind w:left="900" w:hanging="444"/>
        <w:spacing w:after="0"/>
        <w:tabs>
          <w:tab w:leader="none" w:pos="90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spacing w:after="0"/>
        <w:tabs>
          <w:tab w:leader="none" w:pos="7480" w:val="left"/>
        </w:tabs>
        <w:rPr>
          <w:sz w:val="20"/>
          <w:szCs w:val="20"/>
          <w:color w:val="auto"/>
        </w:rPr>
      </w:pPr>
      <w:r>
        <w:rPr>
          <w:rFonts w:ascii="Arial" w:cs="Arial" w:eastAsia="Arial" w:hAnsi="Arial"/>
          <w:sz w:val="15"/>
          <w:szCs w:val="15"/>
          <w:color w:val="auto"/>
        </w:rPr>
        <w:t>March 14, 2016</w:t>
      </w:r>
      <w:r>
        <w:rPr>
          <w:sz w:val="20"/>
          <w:szCs w:val="20"/>
          <w:color w:val="auto"/>
        </w:rPr>
        <w:tab/>
      </w:r>
      <w:r>
        <w:rPr>
          <w:rFonts w:ascii="Arial" w:cs="Arial" w:eastAsia="Arial" w:hAnsi="Arial"/>
          <w:sz w:val="12"/>
          <w:szCs w:val="12"/>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8255</wp:posOffset>
            </wp:positionV>
            <wp:extent cx="251460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14600" cy="698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Eric D. Shaff</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Executive Vice President and Chief Financial Officer</w:t>
      </w:r>
    </w:p>
    <w:p>
      <w:pPr>
        <w:spacing w:after="0" w:line="3"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(Principal Financial Officer)</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4FD6B4F"/>
    <w:multiLevelType w:val="hybridMultilevel"/>
    <w:lvl w:ilvl="0">
      <w:lvlJc w:val="left"/>
      <w:lvlText w:val="☒"/>
      <w:numFmt w:val="bullet"/>
      <w:start w:val="1"/>
    </w:lvl>
  </w:abstractNum>
  <w:abstractNum w:abstractNumId="1">
    <w:nsid w:val="5915FF32"/>
    <w:multiLevelType w:val="hybridMultilevel"/>
    <w:lvl w:ilvl="0">
      <w:lvlJc w:val="left"/>
      <w:lvlText w:val="o"/>
      <w:numFmt w:val="bullet"/>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1."/>
      <w:numFmt w:val="decimal"/>
      <w:start w:val="109"/>
    </w:lvl>
  </w:abstractNum>
  <w:abstractNum w:abstractNumId="4">
    <w:nsid w:val="2C6E4AFD"/>
    <w:multiLevelType w:val="hybridMultilevel"/>
    <w:lvl w:ilvl="0">
      <w:lvlJc w:val="left"/>
      <w:lvlText w:val="·"/>
      <w:numFmt w:val="bullet"/>
      <w:start w:val="1"/>
    </w:lvl>
  </w:abstractNum>
  <w:abstractNum w:abstractNumId="5">
    <w:nsid w:val="17A1B582"/>
    <w:multiLevelType w:val="hybridMultilevel"/>
    <w:lvl w:ilvl="0">
      <w:lvlJc w:val="left"/>
      <w:lvlText w:val="·"/>
      <w:numFmt w:val="bullet"/>
      <w:start w:val="1"/>
    </w:lvl>
  </w:abstractNum>
  <w:abstractNum w:abstractNumId="6">
    <w:nsid w:val="4DF72E4E"/>
    <w:multiLevelType w:val="hybridMultilevel"/>
    <w:lvl w:ilvl="0">
      <w:lvlJc w:val="left"/>
      <w:lvlText w:val="·"/>
      <w:numFmt w:val="bullet"/>
      <w:start w:val="1"/>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
      <w:numFmt w:val="bullet"/>
      <w:start w:val="1"/>
    </w:lvl>
  </w:abstractNum>
  <w:abstractNum w:abstractNumId="9">
    <w:nsid w:val="2A082C70"/>
    <w:multiLevelType w:val="hybridMultilevel"/>
    <w:lvl w:ilvl="0">
      <w:lvlJc w:val="left"/>
      <w:lvlText w:val="·"/>
      <w:numFmt w:val="bullet"/>
      <w:start w:val="1"/>
    </w:lvl>
  </w:abstractNum>
  <w:abstractNum w:abstractNumId="10">
    <w:nsid w:val="5EC6AFD4"/>
    <w:multiLevelType w:val="hybridMultilevel"/>
    <w:lvl w:ilvl="0">
      <w:lvlJc w:val="left"/>
      <w:lvlText w:val="·"/>
      <w:numFmt w:val="bullet"/>
      <w:start w:val="1"/>
    </w:lvl>
  </w:abstractNum>
  <w:abstractNum w:abstractNumId="11">
    <w:nsid w:val="19E21BB2"/>
    <w:multiLevelType w:val="hybridMultilevel"/>
    <w:lvl w:ilvl="0">
      <w:lvlJc w:val="left"/>
      <w:lvlText w:val="·"/>
      <w:numFmt w:val="bullet"/>
      <w:start w:val="1"/>
    </w:lvl>
  </w:abstractNum>
  <w:abstractNum w:abstractNumId="12">
    <w:nsid w:val="75E0858A"/>
    <w:multiLevelType w:val="hybridMultilevel"/>
    <w:lvl w:ilvl="0">
      <w:lvlJc w:val="left"/>
      <w:lvlText w:val="·"/>
      <w:numFmt w:val="bullet"/>
      <w:start w:val="1"/>
    </w:lvl>
  </w:abstractNum>
  <w:abstractNum w:abstractNumId="13">
    <w:nsid w:val="57A61A29"/>
    <w:multiLevelType w:val="hybridMultilevel"/>
    <w:lvl w:ilvl="0">
      <w:lvlJc w:val="left"/>
      <w:lvlText w:val="·"/>
      <w:numFmt w:val="bullet"/>
      <w:start w:val="1"/>
    </w:lvl>
  </w:abstractNum>
  <w:abstractNum w:abstractNumId="14">
    <w:nsid w:val="5399C654"/>
    <w:multiLevelType w:val="hybridMultilevel"/>
    <w:lvl w:ilvl="0">
      <w:lvlJc w:val="left"/>
      <w:lvlText w:val="·"/>
      <w:numFmt w:val="bullet"/>
      <w:start w:val="1"/>
    </w:lvl>
  </w:abstractNum>
  <w:abstractNum w:abstractNumId="15">
    <w:nsid w:val="20EE1348"/>
    <w:multiLevelType w:val="hybridMultilevel"/>
    <w:lvl w:ilvl="0">
      <w:lvlJc w:val="left"/>
      <w:lvlText w:val="·"/>
      <w:numFmt w:val="bullet"/>
      <w:start w:val="1"/>
    </w:lvl>
  </w:abstractNum>
  <w:abstractNum w:abstractNumId="16">
    <w:nsid w:val="4427069A"/>
    <w:multiLevelType w:val="hybridMultilevel"/>
    <w:lvl w:ilvl="0">
      <w:lvlJc w:val="left"/>
      <w:lvlText w:val="·"/>
      <w:numFmt w:val="bullet"/>
      <w:start w:val="1"/>
    </w:lvl>
  </w:abstractNum>
  <w:abstractNum w:abstractNumId="17">
    <w:nsid w:val="B37E80A"/>
    <w:multiLevelType w:val="hybridMultilevel"/>
    <w:lvl w:ilvl="0">
      <w:lvlJc w:val="left"/>
      <w:lvlText w:val="·"/>
      <w:numFmt w:val="bullet"/>
      <w:start w:val="1"/>
    </w:lvl>
  </w:abstractNum>
  <w:abstractNum w:abstractNumId="18">
    <w:nsid w:val="2157F6BC"/>
    <w:multiLevelType w:val="hybridMultilevel"/>
    <w:lvl w:ilvl="0">
      <w:lvlJc w:val="left"/>
      <w:lvlText w:val="·"/>
      <w:numFmt w:val="bullet"/>
      <w:start w:val="1"/>
    </w:lvl>
  </w:abstractNum>
  <w:abstractNum w:abstractNumId="19">
    <w:nsid w:val="704E1DD5"/>
    <w:multiLevelType w:val="hybridMultilevel"/>
    <w:lvl w:ilvl="0">
      <w:lvlJc w:val="left"/>
      <w:lvlText w:val="·"/>
      <w:numFmt w:val="bullet"/>
      <w:start w:val="1"/>
    </w:lvl>
  </w:abstractNum>
  <w:abstractNum w:abstractNumId="20">
    <w:nsid w:val="57D2F10E"/>
    <w:multiLevelType w:val="hybridMultilevel"/>
    <w:lvl w:ilvl="0">
      <w:lvlJc w:val="left"/>
      <w:lvlText w:val="·"/>
      <w:numFmt w:val="bullet"/>
      <w:start w:val="1"/>
    </w:lvl>
  </w:abstractNum>
  <w:abstractNum w:abstractNumId="21">
    <w:nsid w:val="BFFAE18"/>
    <w:multiLevelType w:val="hybridMultilevel"/>
    <w:lvl w:ilvl="0">
      <w:lvlJc w:val="left"/>
      <w:lvlText w:val="(%1)"/>
      <w:numFmt w:val="decimal"/>
      <w:start w:val="1"/>
    </w:lvl>
  </w:abstractNum>
  <w:abstractNum w:abstractNumId="22">
    <w:nsid w:val="E3E47A8"/>
    <w:multiLevelType w:val="hybridMultilevel"/>
    <w:lvl w:ilvl="0">
      <w:lvlJc w:val="left"/>
      <w:lvlText w:val="·"/>
      <w:numFmt w:val="bullet"/>
      <w:start w:val="1"/>
    </w:lvl>
  </w:abstractNum>
  <w:abstractNum w:abstractNumId="23">
    <w:nsid w:val="2E48F044"/>
    <w:multiLevelType w:val="hybridMultilevel"/>
    <w:lvl w:ilvl="0">
      <w:lvlJc w:val="left"/>
      <w:lvlText w:val="·"/>
      <w:numFmt w:val="bullet"/>
      <w:start w:val="1"/>
    </w:lvl>
  </w:abstractNum>
  <w:abstractNum w:abstractNumId="24">
    <w:nsid w:val="49D0FEAC"/>
    <w:multiLevelType w:val="hybridMultilevel"/>
    <w:lvl w:ilvl="0">
      <w:lvlJc w:val="left"/>
      <w:lvlText w:val="·"/>
      <w:numFmt w:val="bullet"/>
      <w:start w:val="1"/>
    </w:lvl>
  </w:abstractNum>
  <w:abstractNum w:abstractNumId="25">
    <w:nsid w:val="4BEE5A5B"/>
    <w:multiLevelType w:val="hybridMultilevel"/>
    <w:lvl w:ilvl="0">
      <w:lvlJc w:val="left"/>
      <w:lvlText w:val="·"/>
      <w:numFmt w:val="bullet"/>
      <w:start w:val="1"/>
    </w:lvl>
  </w:abstractNum>
  <w:abstractNum w:abstractNumId="26">
    <w:nsid w:val="5551B9F3"/>
    <w:multiLevelType w:val="hybridMultilevel"/>
    <w:lvl w:ilvl="0">
      <w:lvlJc w:val="left"/>
      <w:lvlText w:val="·"/>
      <w:numFmt w:val="bullet"/>
      <w:start w:val="1"/>
    </w:lvl>
  </w:abstractNum>
  <w:abstractNum w:abstractNumId="27">
    <w:nsid w:val="24F6AB8E"/>
    <w:multiLevelType w:val="hybridMultilevel"/>
    <w:lvl w:ilvl="0">
      <w:lvlJc w:val="left"/>
      <w:lvlText w:val="·"/>
      <w:numFmt w:val="bullet"/>
      <w:start w:val="1"/>
    </w:lvl>
  </w:abstractNum>
  <w:abstractNum w:abstractNumId="28">
    <w:nsid w:val="634C574C"/>
    <w:multiLevelType w:val="hybridMultilevel"/>
    <w:lvl w:ilvl="0">
      <w:lvlJc w:val="left"/>
      <w:lvlText w:val="·"/>
      <w:numFmt w:val="bullet"/>
      <w:start w:val="1"/>
    </w:lvl>
  </w:abstractNum>
  <w:abstractNum w:abstractNumId="29">
    <w:nsid w:val="24E99DD7"/>
    <w:multiLevelType w:val="hybridMultilevel"/>
    <w:lvl w:ilvl="0">
      <w:lvlJc w:val="left"/>
      <w:lvlText w:val="·"/>
      <w:numFmt w:val="bullet"/>
      <w:start w:val="1"/>
    </w:lvl>
  </w:abstractNum>
  <w:abstractNum w:abstractNumId="30">
    <w:nsid w:val="2A31B62D"/>
    <w:multiLevelType w:val="hybridMultilevel"/>
    <w:lvl w:ilvl="0">
      <w:lvlJc w:val="left"/>
      <w:lvlText w:val="·"/>
      <w:numFmt w:val="bullet"/>
      <w:start w:val="1"/>
    </w:lvl>
  </w:abstractNum>
  <w:abstractNum w:abstractNumId="31">
    <w:nsid w:val="1849C29B"/>
    <w:multiLevelType w:val="hybridMultilevel"/>
    <w:lvl w:ilvl="0">
      <w:lvlJc w:val="left"/>
      <w:lvlText w:val="·"/>
      <w:numFmt w:val="bullet"/>
      <w:start w:val="1"/>
    </w:lvl>
  </w:abstractNum>
  <w:abstractNum w:abstractNumId="32">
    <w:nsid w:val="7DFF9D09"/>
    <w:multiLevelType w:val="hybridMultilevel"/>
    <w:lvl w:ilvl="0">
      <w:lvlJc w:val="left"/>
      <w:lvlText w:val="·"/>
      <w:numFmt w:val="bullet"/>
      <w:start w:val="1"/>
    </w:lvl>
  </w:abstractNum>
  <w:abstractNum w:abstractNumId="33">
    <w:nsid w:val="754342"/>
    <w:multiLevelType w:val="hybridMultilevel"/>
    <w:lvl w:ilvl="0">
      <w:lvlJc w:val="left"/>
      <w:lvlText w:val="·"/>
      <w:numFmt w:val="bullet"/>
      <w:start w:val="1"/>
    </w:lvl>
  </w:abstractNum>
  <w:abstractNum w:abstractNumId="34">
    <w:nsid w:val="69E7F3E5"/>
    <w:multiLevelType w:val="hybridMultilevel"/>
    <w:lvl w:ilvl="0">
      <w:lvlJc w:val="left"/>
      <w:lvlText w:val="·"/>
      <w:numFmt w:val="bullet"/>
      <w:start w:val="1"/>
    </w:lvl>
  </w:abstractNum>
  <w:abstractNum w:abstractNumId="35">
    <w:nsid w:val="2A6DE806"/>
    <w:multiLevelType w:val="hybridMultilevel"/>
    <w:lvl w:ilvl="0">
      <w:lvlJc w:val="left"/>
      <w:lvlText w:val="·"/>
      <w:numFmt w:val="bullet"/>
      <w:start w:val="1"/>
    </w:lvl>
  </w:abstractNum>
  <w:abstractNum w:abstractNumId="36">
    <w:nsid w:val="1816F8C4"/>
    <w:multiLevelType w:val="hybridMultilevel"/>
    <w:lvl w:ilvl="0">
      <w:lvlJc w:val="left"/>
      <w:lvlText w:val="·"/>
      <w:numFmt w:val="bullet"/>
      <w:start w:val="1"/>
    </w:lvl>
  </w:abstractNum>
  <w:abstractNum w:abstractNumId="37">
    <w:nsid w:val="37DF2233"/>
    <w:multiLevelType w:val="hybridMultilevel"/>
    <w:lvl w:ilvl="0">
      <w:lvlJc w:val="left"/>
      <w:lvlText w:val="·"/>
      <w:numFmt w:val="bullet"/>
      <w:start w:val="1"/>
    </w:lvl>
  </w:abstractNum>
  <w:abstractNum w:abstractNumId="38">
    <w:nsid w:val="7AB49DAF"/>
    <w:multiLevelType w:val="hybridMultilevel"/>
    <w:lvl w:ilvl="0">
      <w:lvlJc w:val="left"/>
      <w:lvlText w:val="·"/>
      <w:numFmt w:val="bullet"/>
      <w:start w:val="1"/>
    </w:lvl>
  </w:abstractNum>
  <w:abstractNum w:abstractNumId="39">
    <w:nsid w:val="759F82CD"/>
    <w:multiLevelType w:val="hybridMultilevel"/>
    <w:lvl w:ilvl="0">
      <w:lvlJc w:val="left"/>
      <w:lvlText w:val="·"/>
      <w:numFmt w:val="bullet"/>
      <w:start w:val="1"/>
    </w:lvl>
  </w:abstractNum>
  <w:abstractNum w:abstractNumId="40">
    <w:nsid w:val="61E74EA3"/>
    <w:multiLevelType w:val="hybridMultilevel"/>
    <w:lvl w:ilvl="0">
      <w:lvlJc w:val="left"/>
      <w:lvlText w:val="·"/>
      <w:numFmt w:val="bullet"/>
      <w:start w:val="1"/>
    </w:lvl>
  </w:abstractNum>
  <w:abstractNum w:abstractNumId="41">
    <w:nsid w:val="597B4D84"/>
    <w:multiLevelType w:val="hybridMultilevel"/>
    <w:lvl w:ilvl="0">
      <w:lvlJc w:val="left"/>
      <w:lvlText w:val="·"/>
      <w:numFmt w:val="bullet"/>
      <w:start w:val="1"/>
    </w:lvl>
  </w:abstractNum>
  <w:abstractNum w:abstractNumId="42">
    <w:nsid w:val="F819E7F"/>
    <w:multiLevelType w:val="hybridMultilevel"/>
    <w:lvl w:ilvl="0">
      <w:lvlJc w:val="left"/>
      <w:lvlText w:val="·"/>
      <w:numFmt w:val="bullet"/>
      <w:start w:val="1"/>
    </w:lvl>
  </w:abstractNum>
  <w:abstractNum w:abstractNumId="43">
    <w:nsid w:val="57C7D42D"/>
    <w:multiLevelType w:val="hybridMultilevel"/>
    <w:lvl w:ilvl="0">
      <w:lvlJc w:val="left"/>
      <w:lvlText w:val="·"/>
      <w:numFmt w:val="bullet"/>
      <w:start w:val="1"/>
    </w:lvl>
  </w:abstractNum>
  <w:abstractNum w:abstractNumId="44">
    <w:nsid w:val="312167AD"/>
    <w:multiLevelType w:val="hybridMultilevel"/>
    <w:lvl w:ilvl="0">
      <w:lvlJc w:val="left"/>
      <w:lvlText w:val="·"/>
      <w:numFmt w:val="bullet"/>
      <w:start w:val="1"/>
    </w:lvl>
  </w:abstractNum>
  <w:abstractNum w:abstractNumId="45">
    <w:nsid w:val="631B64D4"/>
    <w:multiLevelType w:val="hybridMultilevel"/>
    <w:lvl w:ilvl="0">
      <w:lvlJc w:val="left"/>
      <w:lvlText w:val="·"/>
      <w:numFmt w:val="bullet"/>
      <w:start w:val="1"/>
    </w:lvl>
  </w:abstractNum>
  <w:abstractNum w:abstractNumId="46">
    <w:nsid w:val="78B5E776"/>
    <w:multiLevelType w:val="hybridMultilevel"/>
    <w:lvl w:ilvl="0">
      <w:lvlJc w:val="left"/>
      <w:lvlText w:val="·"/>
      <w:numFmt w:val="bullet"/>
      <w:start w:val="1"/>
    </w:lvl>
  </w:abstractNum>
  <w:abstractNum w:abstractNumId="47">
    <w:nsid w:val="75486E47"/>
    <w:multiLevelType w:val="hybridMultilevel"/>
    <w:lvl w:ilvl="0">
      <w:lvlJc w:val="left"/>
      <w:lvlText w:val="·"/>
      <w:numFmt w:val="bullet"/>
      <w:start w:val="1"/>
    </w:lvl>
  </w:abstractNum>
  <w:abstractNum w:abstractNumId="48">
    <w:nsid w:val="6E534CDE"/>
    <w:multiLevelType w:val="hybridMultilevel"/>
    <w:lvl w:ilvl="0">
      <w:lvlJc w:val="left"/>
      <w:lvlText w:val="·"/>
      <w:numFmt w:val="bullet"/>
      <w:start w:val="1"/>
    </w:lvl>
  </w:abstractNum>
  <w:abstractNum w:abstractNumId="49">
    <w:nsid w:val="1A0DDE32"/>
    <w:multiLevelType w:val="hybridMultilevel"/>
    <w:lvl w:ilvl="0">
      <w:lvlJc w:val="left"/>
      <w:lvlText w:val="(%1)"/>
      <w:numFmt w:val="decimal"/>
      <w:start w:val="1"/>
    </w:lvl>
  </w:abstractNum>
  <w:abstractNum w:abstractNumId="50">
    <w:nsid w:val="65968C1C"/>
    <w:multiLevelType w:val="hybridMultilevel"/>
    <w:lvl w:ilvl="0">
      <w:lvlJc w:val="left"/>
      <w:lvlText w:val="(%1)"/>
      <w:numFmt w:val="decimal"/>
      <w:start w:val="1"/>
    </w:lvl>
  </w:abstractNum>
  <w:abstractNum w:abstractNumId="51">
    <w:nsid w:val="46263DEC"/>
    <w:multiLevelType w:val="hybridMultilevel"/>
    <w:lvl w:ilvl="0">
      <w:lvlJc w:val="left"/>
      <w:lvlText w:val="·"/>
      <w:numFmt w:val="bullet"/>
      <w:start w:val="1"/>
    </w:lvl>
  </w:abstractNum>
  <w:abstractNum w:abstractNumId="52">
    <w:nsid w:val="260D8C4A"/>
    <w:multiLevelType w:val="hybridMultilevel"/>
    <w:lvl w:ilvl="0">
      <w:lvlJc w:val="left"/>
      <w:lvlText w:val="·"/>
      <w:numFmt w:val="bullet"/>
      <w:start w:val="1"/>
    </w:lvl>
  </w:abstractNum>
  <w:abstractNum w:abstractNumId="53">
    <w:nsid w:val="73D4D3C4"/>
    <w:multiLevelType w:val="hybridMultilevel"/>
    <w:lvl w:ilvl="0">
      <w:lvlJc w:val="left"/>
      <w:lvlText w:val="·"/>
      <w:numFmt w:val="bullet"/>
      <w:start w:val="1"/>
    </w:lvl>
  </w:abstractNum>
  <w:abstractNum w:abstractNumId="54">
    <w:nsid w:val="746F2E30"/>
    <w:multiLevelType w:val="hybridMultilevel"/>
    <w:lvl w:ilvl="0">
      <w:lvlJc w:val="left"/>
      <w:lvlText w:val="·"/>
      <w:numFmt w:val="bullet"/>
      <w:start w:val="1"/>
    </w:lvl>
  </w:abstractNum>
  <w:abstractNum w:abstractNumId="55">
    <w:nsid w:val="6FDE8AF6"/>
    <w:multiLevelType w:val="hybridMultilevel"/>
    <w:lvl w:ilvl="0">
      <w:lvlJc w:val="left"/>
      <w:lvlText w:val="·"/>
      <w:numFmt w:val="bullet"/>
      <w:start w:val="1"/>
    </w:lvl>
  </w:abstractNum>
  <w:abstractNum w:abstractNumId="56">
    <w:nsid w:val="3FC32E20"/>
    <w:multiLevelType w:val="hybridMultilevel"/>
    <w:lvl w:ilvl="0">
      <w:lvlJc w:val="left"/>
      <w:lvlText w:val="·"/>
      <w:numFmt w:val="bullet"/>
      <w:start w:val="1"/>
    </w:lvl>
  </w:abstractNum>
  <w:abstractNum w:abstractNumId="57">
    <w:nsid w:val="49C0E823"/>
    <w:multiLevelType w:val="hybridMultilevel"/>
    <w:lvl w:ilvl="0">
      <w:lvlJc w:val="left"/>
      <w:lvlText w:val="·"/>
      <w:numFmt w:val="bullet"/>
      <w:start w:val="1"/>
    </w:lvl>
  </w:abstractNum>
  <w:abstractNum w:abstractNumId="58">
    <w:nsid w:val="14D53685"/>
    <w:multiLevelType w:val="hybridMultilevel"/>
    <w:lvl w:ilvl="0">
      <w:lvlJc w:val="left"/>
      <w:lvlText w:val="·"/>
      <w:numFmt w:val="bullet"/>
      <w:start w:val="1"/>
    </w:lvl>
  </w:abstractNum>
  <w:abstractNum w:abstractNumId="59">
    <w:nsid w:val="230F856C"/>
    <w:multiLevelType w:val="hybridMultilevel"/>
    <w:lvl w:ilvl="0">
      <w:lvlJc w:val="left"/>
      <w:lvlText w:val="·"/>
      <w:numFmt w:val="bullet"/>
      <w:start w:val="1"/>
    </w:lvl>
  </w:abstractNum>
  <w:abstractNum w:abstractNumId="60">
    <w:nsid w:val="6EAA85FB"/>
    <w:multiLevelType w:val="hybridMultilevel"/>
    <w:lvl w:ilvl="0">
      <w:lvlJc w:val="left"/>
      <w:lvlText w:val="%1."/>
      <w:numFmt w:val="decimal"/>
      <w:start w:val="1"/>
    </w:lvl>
  </w:abstractNum>
  <w:abstractNum w:abstractNumId="61">
    <w:nsid w:val="3F06ECB2"/>
    <w:multiLevelType w:val="hybridMultilevel"/>
    <w:lvl w:ilvl="0">
      <w:lvlJc w:val="left"/>
      <w:lvlText w:val="%1."/>
      <w:numFmt w:val="decimal"/>
      <w:start w:val="2"/>
    </w:lvl>
  </w:abstractNum>
  <w:abstractNum w:abstractNumId="62">
    <w:nsid w:val="3B594807"/>
    <w:multiLevelType w:val="hybridMultilevel"/>
    <w:lvl w:ilvl="0">
      <w:lvlJc w:val="left"/>
      <w:lvlText w:val="·"/>
      <w:numFmt w:val="bullet"/>
      <w:start w:val="1"/>
    </w:lvl>
  </w:abstractNum>
  <w:abstractNum w:abstractNumId="63">
    <w:nsid w:val="6CAA2304"/>
    <w:multiLevelType w:val="hybridMultilevel"/>
    <w:lvl w:ilvl="0">
      <w:lvlJc w:val="left"/>
      <w:lvlText w:val="%1."/>
      <w:numFmt w:val="decimal"/>
      <w:start w:val="3"/>
    </w:lvl>
  </w:abstractNum>
  <w:abstractNum w:abstractNumId="64">
    <w:nsid w:val="3F7C2FF4"/>
    <w:multiLevelType w:val="hybridMultilevel"/>
    <w:lvl w:ilvl="0">
      <w:lvlJc w:val="left"/>
      <w:lvlText w:val="%1."/>
      <w:numFmt w:val="decimal"/>
      <w:start w:val="4"/>
    </w:lvl>
  </w:abstractNum>
  <w:abstractNum w:abstractNumId="65">
    <w:nsid w:val="25413BEC"/>
    <w:multiLevelType w:val="hybridMultilevel"/>
    <w:lvl w:ilvl="0">
      <w:lvlJc w:val="left"/>
      <w:lvlText w:val="%1."/>
      <w:numFmt w:val="decimal"/>
      <w:start w:val="6"/>
    </w:lvl>
  </w:abstractNum>
  <w:abstractNum w:abstractNumId="66">
    <w:nsid w:val="17180B0B"/>
    <w:multiLevelType w:val="hybridMultilevel"/>
    <w:lvl w:ilvl="0">
      <w:lvlJc w:val="left"/>
      <w:lvlText w:val="%1."/>
      <w:numFmt w:val="decimal"/>
      <w:start w:val="7"/>
    </w:lvl>
  </w:abstractNum>
  <w:abstractNum w:abstractNumId="67">
    <w:nsid w:val="579328B9"/>
    <w:multiLevelType w:val="hybridMultilevel"/>
    <w:lvl w:ilvl="0">
      <w:lvlJc w:val="left"/>
      <w:lvlText w:val="%1."/>
      <w:numFmt w:val="decimal"/>
      <w:start w:val="8"/>
    </w:lvl>
  </w:abstractNum>
  <w:abstractNum w:abstractNumId="68">
    <w:nsid w:val="5D205E20"/>
    <w:multiLevelType w:val="hybridMultilevel"/>
    <w:lvl w:ilvl="0">
      <w:lvlJc w:val="left"/>
      <w:lvlText w:val="%1."/>
      <w:numFmt w:val="decimal"/>
      <w:start w:val="9"/>
    </w:lvl>
  </w:abstractNum>
  <w:abstractNum w:abstractNumId="69">
    <w:nsid w:val="11CCA8BA"/>
    <w:multiLevelType w:val="hybridMultilevel"/>
    <w:lvl w:ilvl="0">
      <w:lvlJc w:val="left"/>
      <w:lvlText w:val="%1."/>
      <w:numFmt w:val="decimal"/>
      <w:start w:val="10"/>
    </w:lvl>
  </w:abstractNum>
  <w:abstractNum w:abstractNumId="70">
    <w:nsid w:val="4D32AB86"/>
    <w:multiLevelType w:val="hybridMultilevel"/>
    <w:lvl w:ilvl="0">
      <w:lvlJc w:val="left"/>
      <w:lvlText w:val="%1."/>
      <w:numFmt w:val="decimal"/>
      <w:start w:val="11"/>
    </w:lvl>
  </w:abstractNum>
  <w:abstractNum w:abstractNumId="71">
    <w:nsid w:val="3F07ACC3"/>
    <w:multiLevelType w:val="hybridMultilevel"/>
    <w:lvl w:ilvl="0">
      <w:lvlJc w:val="left"/>
      <w:lvlText w:val="%1."/>
      <w:numFmt w:val="decimal"/>
      <w:start w:val="12"/>
    </w:lvl>
  </w:abstractNum>
  <w:abstractNum w:abstractNumId="72">
    <w:nsid w:val="6B47F63E"/>
    <w:multiLevelType w:val="hybridMultilevel"/>
    <w:lvl w:ilvl="0">
      <w:lvlJc w:val="left"/>
      <w:lvlText w:val="%1."/>
      <w:numFmt w:val="decimal"/>
      <w:start w:val="13"/>
    </w:lvl>
  </w:abstractNum>
  <w:abstractNum w:abstractNumId="73">
    <w:nsid w:val="5CB44A05"/>
    <w:multiLevelType w:val="hybridMultilevel"/>
    <w:lvl w:ilvl="0">
      <w:lvlJc w:val="left"/>
      <w:lvlText w:val="%1."/>
      <w:numFmt w:val="decimal"/>
      <w:start w:val="14"/>
    </w:lvl>
  </w:abstractNum>
  <w:abstractNum w:abstractNumId="74">
    <w:nsid w:val="16CF80F1"/>
    <w:multiLevelType w:val="hybridMultilevel"/>
    <w:lvl w:ilvl="0">
      <w:lvlJc w:val="left"/>
      <w:lvlText w:val="%1."/>
      <w:numFmt w:val="decimal"/>
      <w:start w:val="15"/>
    </w:lvl>
  </w:abstractNum>
  <w:abstractNum w:abstractNumId="75">
    <w:nsid w:val="1C695DEC"/>
    <w:multiLevelType w:val="hybridMultilevel"/>
    <w:lvl w:ilvl="0">
      <w:lvlJc w:val="left"/>
      <w:lvlText w:val="%1."/>
      <w:numFmt w:val="decimal"/>
      <w:start w:val="16"/>
    </w:lvl>
  </w:abstractNum>
  <w:abstractNum w:abstractNumId="76">
    <w:nsid w:val="3FCFAED9"/>
    <w:multiLevelType w:val="hybridMultilevel"/>
    <w:lvl w:ilvl="0">
      <w:lvlJc w:val="left"/>
      <w:lvlText w:val="%1."/>
      <w:numFmt w:val="decimal"/>
      <w:start w:val="17"/>
    </w:lvl>
  </w:abstractNum>
  <w:abstractNum w:abstractNumId="77">
    <w:nsid w:val="F856867"/>
    <w:multiLevelType w:val="hybridMultilevel"/>
    <w:lvl w:ilvl="0">
      <w:lvlJc w:val="left"/>
      <w:lvlText w:val="*"/>
      <w:numFmt w:val="bullet"/>
      <w:start w:val="1"/>
    </w:lvl>
  </w:abstractNum>
  <w:abstractNum w:abstractNumId="78">
    <w:nsid w:val="11B1CC33"/>
    <w:multiLevelType w:val="hybridMultilevel"/>
    <w:lvl w:ilvl="0">
      <w:lvlJc w:val="left"/>
      <w:lvlText w:val="**"/>
      <w:numFmt w:val="bullet"/>
      <w:start w:val="1"/>
    </w:lvl>
  </w:abstractNum>
  <w:abstractNum w:abstractNumId="79">
    <w:nsid w:val="2E22FBB7"/>
    <w:multiLevelType w:val="hybridMultilevel"/>
    <w:lvl w:ilvl="0">
      <w:lvlJc w:val="left"/>
      <w:lvlText w:val="#"/>
      <w:numFmt w:val="bullet"/>
      <w:start w:val="1"/>
    </w:lvl>
  </w:abstractNum>
  <w:abstractNum w:abstractNumId="80">
    <w:nsid w:val="29934699"/>
    <w:multiLevelType w:val="hybridMultilevel"/>
    <w:lvl w:ilvl="0">
      <w:lvlJc w:val="left"/>
      <w:lvlText w:val="%1."/>
      <w:numFmt w:val="decimal"/>
      <w:start w:val="1"/>
    </w:lvl>
  </w:abstractNum>
  <w:abstractNum w:abstractNumId="81">
    <w:nsid w:val="77485850"/>
    <w:multiLevelType w:val="hybridMultilevel"/>
    <w:lvl w:ilvl="0">
      <w:lvlJc w:val="left"/>
      <w:lvlText w:val="%1."/>
      <w:numFmt w:val="decimal"/>
      <w:start w:val="2"/>
    </w:lvl>
  </w:abstractNum>
  <w:abstractNum w:abstractNumId="82">
    <w:nsid w:val="744939A3"/>
    <w:multiLevelType w:val="hybridMultilevel"/>
    <w:lvl w:ilvl="0">
      <w:lvlJc w:val="left"/>
      <w:lvlText w:val="%1."/>
      <w:numFmt w:val="decimal"/>
      <w:start w:val="3"/>
    </w:lvl>
  </w:abstractNum>
  <w:abstractNum w:abstractNumId="83">
    <w:nsid w:val="4FA0D2E3"/>
    <w:multiLevelType w:val="hybridMultilevel"/>
    <w:lvl w:ilvl="0">
      <w:lvlJc w:val="left"/>
      <w:lvlText w:val="(%1)"/>
      <w:numFmt w:val="lowerRoman"/>
      <w:start w:val="1"/>
    </w:lvl>
  </w:abstractNum>
  <w:abstractNum w:abstractNumId="84">
    <w:nsid w:val="6B1D2C14"/>
    <w:multiLevelType w:val="hybridMultilevel"/>
    <w:lvl w:ilvl="0">
      <w:lvlJc w:val="left"/>
      <w:lvlText w:val="(%1)"/>
      <w:numFmt w:val="lowerRoman"/>
      <w:start w:val="2"/>
    </w:lvl>
  </w:abstractNum>
  <w:abstractNum w:abstractNumId="85">
    <w:nsid w:val="68B867D3"/>
    <w:multiLevelType w:val="hybridMultilevel"/>
    <w:lvl w:ilvl="0">
      <w:lvlJc w:val="left"/>
      <w:lvlText w:val="(%1)"/>
      <w:numFmt w:val="lowerLetter"/>
      <w:start w:val="1"/>
    </w:lvl>
  </w:abstractNum>
  <w:abstractNum w:abstractNumId="86">
    <w:nsid w:val="3F7F5DD9"/>
    <w:multiLevelType w:val="hybridMultilevel"/>
    <w:lvl w:ilvl="0">
      <w:lvlJc w:val="left"/>
      <w:lvlText w:val="(%1)"/>
      <w:numFmt w:val="lowerLetter"/>
      <w:start w:val="3"/>
    </w:lvl>
  </w:abstractNum>
  <w:abstractNum w:abstractNumId="87">
    <w:nsid w:val="2AE05A34"/>
    <w:multiLevelType w:val="hybridMultilevel"/>
    <w:lvl w:ilvl="0">
      <w:lvlJc w:val="left"/>
      <w:lvlText w:val="(%1)"/>
      <w:numFmt w:val="lowerLetter"/>
      <w:start w:val="6"/>
    </w:lvl>
  </w:abstractNum>
  <w:abstractNum w:abstractNumId="88">
    <w:nsid w:val="32794FF7"/>
    <w:multiLevelType w:val="hybridMultilevel"/>
    <w:lvl w:ilvl="0">
      <w:lvlJc w:val="left"/>
      <w:lvlText w:val="%1."/>
      <w:numFmt w:val="decimal"/>
      <w:start w:val="5"/>
    </w:lvl>
  </w:abstractNum>
  <w:abstractNum w:abstractNumId="89">
    <w:nsid w:val="5454945E"/>
    <w:multiLevelType w:val="hybridMultilevel"/>
    <w:lvl w:ilvl="0">
      <w:lvlJc w:val="left"/>
      <w:lvlText w:val="%1."/>
      <w:numFmt w:val="decimal"/>
      <w:start w:val="6"/>
    </w:lvl>
  </w:abstractNum>
  <w:abstractNum w:abstractNumId="90">
    <w:nsid w:val="4DEFDFA0"/>
    <w:multiLevelType w:val="hybridMultilevel"/>
    <w:lvl w:ilvl="0">
      <w:lvlJc w:val="left"/>
      <w:lvlText w:val="%1."/>
      <w:numFmt w:val="decimal"/>
      <w:start w:val="7"/>
    </w:lvl>
  </w:abstractNum>
  <w:abstractNum w:abstractNumId="91">
    <w:nsid w:val="2123D5F2"/>
    <w:multiLevelType w:val="hybridMultilevel"/>
    <w:lvl w:ilvl="0">
      <w:lvlJc w:val="left"/>
      <w:lvlText w:val="%1."/>
      <w:numFmt w:val="decimal"/>
      <w:start w:val="8"/>
    </w:lvl>
  </w:abstractNum>
  <w:abstractNum w:abstractNumId="92">
    <w:nsid w:val="135B8110"/>
    <w:multiLevelType w:val="hybridMultilevel"/>
    <w:lvl w:ilvl="0">
      <w:lvlJc w:val="left"/>
      <w:lvlText w:val="(%1)"/>
      <w:numFmt w:val="lowerLetter"/>
      <w:start w:val="1"/>
    </w:lvl>
  </w:abstractNum>
  <w:abstractNum w:abstractNumId="93">
    <w:nsid w:val="94927A8"/>
    <w:multiLevelType w:val="hybridMultilevel"/>
    <w:lvl w:ilvl="0">
      <w:lvlJc w:val="left"/>
      <w:lvlText w:val="(%1)"/>
      <w:numFmt w:val="lowerLetter"/>
      <w:start w:val="3"/>
    </w:lvl>
  </w:abstractNum>
  <w:abstractNum w:abstractNumId="94">
    <w:nsid w:val="DCDF8F6"/>
    <w:multiLevelType w:val="hybridMultilevel"/>
    <w:lvl w:ilvl="0">
      <w:lvlJc w:val="left"/>
      <w:lvlText w:val="(%1)"/>
      <w:numFmt w:val="lowerLetter"/>
      <w:start w:val="24"/>
    </w:lvl>
  </w:abstractNum>
  <w:abstractNum w:abstractNumId="95">
    <w:nsid w:val="52D7B105"/>
    <w:multiLevelType w:val="hybridMultilevel"/>
    <w:lvl w:ilvl="0">
      <w:lvlJc w:val="left"/>
      <w:lvlText w:val="(%1)"/>
      <w:numFmt w:val="lowerLetter"/>
      <w:start w:val="26"/>
    </w:lvl>
  </w:abstractNum>
  <w:abstractNum w:abstractNumId="96">
    <w:nsid w:val="2E8A6394"/>
    <w:multiLevelType w:val="hybridMultilevel"/>
    <w:lvl w:ilvl="0">
      <w:lvlJc w:val="left"/>
      <w:lvlText w:val="(%1)"/>
      <w:numFmt w:val="decimal"/>
      <w:start w:val="10"/>
    </w:lvl>
  </w:abstractNum>
  <w:abstractNum w:abstractNumId="97">
    <w:nsid w:val="24E60401"/>
    <w:multiLevelType w:val="hybridMultilevel"/>
    <w:lvl w:ilvl="0">
      <w:lvlJc w:val="left"/>
      <w:lvlText w:val="%1."/>
      <w:numFmt w:val="decimal"/>
      <w:start w:val="10"/>
    </w:lvl>
  </w:abstractNum>
  <w:abstractNum w:abstractNumId="98">
    <w:nsid w:val="2A6AD9BE"/>
    <w:multiLevelType w:val="hybridMultilevel"/>
    <w:lvl w:ilvl="0">
      <w:lvlJc w:val="left"/>
      <w:lvlText w:val="%1."/>
      <w:numFmt w:val="decimal"/>
      <w:start w:val="11"/>
    </w:lvl>
  </w:abstractNum>
  <w:abstractNum w:abstractNumId="99">
    <w:nsid w:val="BAAC1B4"/>
    <w:multiLevelType w:val="hybridMultilevel"/>
    <w:lvl w:ilvl="0">
      <w:lvlJc w:val="left"/>
      <w:lvlText w:val="(%1)"/>
      <w:numFmt w:val="lowerLetter"/>
      <w:start w:val="1"/>
    </w:lvl>
  </w:abstractNum>
  <w:abstractNum w:abstractNumId="100">
    <w:nsid w:val="36B2ACBC"/>
    <w:multiLevelType w:val="hybridMultilevel"/>
    <w:lvl w:ilvl="0">
      <w:lvlJc w:val="left"/>
      <w:lvlText w:val="%1"/>
      <w:numFmt w:val="lowerLetter"/>
      <w:start w:val="1"/>
    </w:lvl>
    <w:lvl w:ilvl="1">
      <w:lvlJc w:val="left"/>
      <w:lvlText w:val="(%2)"/>
      <w:numFmt w:val="lowerLetter"/>
      <w:start w:val="4"/>
    </w:lvl>
  </w:abstractNum>
  <w:abstractNum w:abstractNumId="101">
    <w:nsid w:val="779D8544"/>
    <w:multiLevelType w:val="hybridMultilevel"/>
    <w:lvl w:ilvl="0">
      <w:lvlJc w:val="left"/>
      <w:lvlText w:val="(%1)"/>
      <w:numFmt w:val="lowerLetter"/>
      <w:start w:val="1"/>
    </w:lvl>
    <w:lvl w:ilvl="1">
      <w:lvlJc w:val="left"/>
      <w:lvlText w:val="(%2)"/>
      <w:numFmt w:val="lowerLetter"/>
      <w:start w:val="5"/>
    </w:lvl>
  </w:abstractNum>
  <w:abstractNum w:abstractNumId="102">
    <w:nsid w:val="4AB26E78"/>
    <w:multiLevelType w:val="hybridMultilevel"/>
    <w:lvl w:ilvl="0">
      <w:lvlJc w:val="left"/>
      <w:lvlText w:val="%1."/>
      <w:numFmt w:val="decimal"/>
      <w:start w:val="12"/>
    </w:lvl>
  </w:abstractNum>
  <w:abstractNum w:abstractNumId="103">
    <w:nsid w:val="21FAA2FA"/>
    <w:multiLevelType w:val="hybridMultilevel"/>
    <w:lvl w:ilvl="0">
      <w:lvlJc w:val="left"/>
      <w:lvlText w:val="%1."/>
      <w:numFmt w:val="decimal"/>
      <w:start w:val="13"/>
    </w:lvl>
  </w:abstractNum>
  <w:abstractNum w:abstractNumId="104">
    <w:nsid w:val="5451CF49"/>
    <w:multiLevelType w:val="hybridMultilevel"/>
    <w:lvl w:ilvl="0">
      <w:lvlJc w:val="left"/>
      <w:lvlText w:val="%1."/>
      <w:numFmt w:val="decimal"/>
      <w:start w:val="14"/>
    </w:lvl>
  </w:abstractNum>
  <w:abstractNum w:abstractNumId="105">
    <w:nsid w:val="6181EF69"/>
    <w:multiLevelType w:val="hybridMultilevel"/>
    <w:lvl w:ilvl="0">
      <w:lvlJc w:val="left"/>
      <w:lvlText w:val="%1."/>
      <w:numFmt w:val="decimal"/>
      <w:start w:val="15"/>
    </w:lvl>
  </w:abstractNum>
  <w:abstractNum w:abstractNumId="106">
    <w:nsid w:val="3E6400E6"/>
    <w:multiLevelType w:val="hybridMultilevel"/>
    <w:lvl w:ilvl="0">
      <w:lvlJc w:val="left"/>
      <w:lvlText w:val="%1."/>
      <w:numFmt w:val="decimal"/>
      <w:start w:val="17"/>
    </w:lvl>
  </w:abstractNum>
  <w:abstractNum w:abstractNumId="107">
    <w:nsid w:val="14217E23"/>
    <w:multiLevelType w:val="hybridMultilevel"/>
    <w:lvl w:ilvl="0">
      <w:lvlJc w:val="left"/>
      <w:lvlText w:val="(%1)"/>
      <w:numFmt w:val="lowerLetter"/>
      <w:start w:val="2"/>
    </w:lvl>
  </w:abstractNum>
  <w:abstractNum w:abstractNumId="108">
    <w:nsid w:val="710757D0"/>
    <w:multiLevelType w:val="hybridMultilevel"/>
    <w:lvl w:ilvl="0">
      <w:lvlJc w:val="left"/>
      <w:lvlText w:val="(%1)"/>
      <w:numFmt w:val="lowerLetter"/>
      <w:start w:val="9"/>
    </w:lvl>
  </w:abstractNum>
  <w:abstractNum w:abstractNumId="109">
    <w:nsid w:val="5015CD1A"/>
    <w:multiLevelType w:val="hybridMultilevel"/>
    <w:lvl w:ilvl="0">
      <w:lvlJc w:val="left"/>
      <w:lvlText w:val="%1."/>
      <w:numFmt w:val="decimal"/>
      <w:start w:val="18"/>
    </w:lvl>
  </w:abstractNum>
  <w:abstractNum w:abstractNumId="110">
    <w:nsid w:val="424479DA"/>
    <w:multiLevelType w:val="hybridMultilevel"/>
    <w:lvl w:ilvl="0">
      <w:lvlJc w:val="left"/>
      <w:lvlText w:val="%1."/>
      <w:numFmt w:val="decimal"/>
      <w:start w:val="19"/>
    </w:lvl>
  </w:abstractNum>
  <w:abstractNum w:abstractNumId="111">
    <w:nsid w:val="1A9A9E69"/>
    <w:multiLevelType w:val="hybridMultilevel"/>
    <w:lvl w:ilvl="0">
      <w:lvlJc w:val="left"/>
      <w:lvlText w:val="%1."/>
      <w:numFmt w:val="decimal"/>
      <w:start w:val="20"/>
    </w:lvl>
  </w:abstractNum>
  <w:abstractNum w:abstractNumId="112">
    <w:nsid w:val="475E256A"/>
    <w:multiLevelType w:val="hybridMultilevel"/>
    <w:lvl w:ilvl="0">
      <w:lvlJc w:val="left"/>
      <w:lvlText w:val="(%1)"/>
      <w:numFmt w:val="lowerLetter"/>
      <w:start w:val="14"/>
    </w:lvl>
  </w:abstractNum>
  <w:abstractNum w:abstractNumId="113">
    <w:nsid w:val="368DB37E"/>
    <w:multiLevelType w:val="hybridMultilevel"/>
    <w:lvl w:ilvl="0">
      <w:lvlJc w:val="left"/>
      <w:lvlText w:val="%1."/>
      <w:numFmt w:val="decimal"/>
      <w:start w:val="22"/>
    </w:lvl>
  </w:abstractNum>
  <w:abstractNum w:abstractNumId="114">
    <w:nsid w:val="6A3B714C"/>
    <w:multiLevelType w:val="hybridMultilevel"/>
    <w:lvl w:ilvl="0">
      <w:lvlJc w:val="left"/>
      <w:lvlText w:val="%1."/>
      <w:numFmt w:val="decimal"/>
      <w:start w:val="23"/>
    </w:lvl>
  </w:abstractNum>
  <w:abstractNum w:abstractNumId="115">
    <w:nsid w:val="327B517E"/>
    <w:multiLevelType w:val="hybridMultilevel"/>
    <w:lvl w:ilvl="0">
      <w:lvlJc w:val="left"/>
      <w:lvlText w:val="(%1)"/>
      <w:numFmt w:val="lowerLetter"/>
      <w:start w:val="1"/>
    </w:lvl>
  </w:abstractNum>
  <w:abstractNum w:abstractNumId="116">
    <w:nsid w:val="1F461B51"/>
    <w:multiLevelType w:val="hybridMultilevel"/>
    <w:lvl w:ilvl="0">
      <w:lvlJc w:val="left"/>
      <w:lvlText w:val="(%1)"/>
      <w:numFmt w:val="lowerLetter"/>
      <w:start w:val="4"/>
    </w:lvl>
  </w:abstractNum>
  <w:abstractNum w:abstractNumId="117">
    <w:nsid w:val="29BACF25"/>
    <w:multiLevelType w:val="hybridMultilevel"/>
    <w:lvl w:ilvl="0">
      <w:lvlJc w:val="left"/>
      <w:lvlText w:val="%1."/>
      <w:numFmt w:val="decimal"/>
      <w:start w:val="24"/>
    </w:lvl>
  </w:abstractNum>
  <w:abstractNum w:abstractNumId="118">
    <w:nsid w:val="5D5BABB3"/>
    <w:multiLevelType w:val="hybridMultilevel"/>
    <w:lvl w:ilvl="0">
      <w:lvlJc w:val="left"/>
      <w:lvlText w:val="%1."/>
      <w:numFmt w:val="decimal"/>
      <w:start w:val="25"/>
    </w:lvl>
  </w:abstractNum>
  <w:abstractNum w:abstractNumId="119">
    <w:nsid w:val="51BF6B48"/>
    <w:multiLevelType w:val="hybridMultilevel"/>
    <w:lvl w:ilvl="0">
      <w:lvlJc w:val="left"/>
      <w:lvlText w:val="%1."/>
      <w:numFmt w:val="decimal"/>
      <w:start w:val="26"/>
    </w:lvl>
  </w:abstractNum>
  <w:abstractNum w:abstractNumId="120">
    <w:nsid w:val="7E0F6384"/>
    <w:multiLevelType w:val="hybridMultilevel"/>
    <w:lvl w:ilvl="0">
      <w:lvlJc w:val="left"/>
      <w:lvlText w:val="%1."/>
      <w:numFmt w:val="decimal"/>
      <w:start w:val="27"/>
    </w:lvl>
  </w:abstractNum>
  <w:abstractNum w:abstractNumId="121">
    <w:nsid w:val="2B4B8B53"/>
    <w:multiLevelType w:val="hybridMultilevel"/>
    <w:lvl w:ilvl="0">
      <w:lvlJc w:val="left"/>
      <w:lvlText w:val="(%1)"/>
      <w:numFmt w:val="decimal"/>
      <w:start w:val="30"/>
    </w:lvl>
  </w:abstractNum>
  <w:abstractNum w:abstractNumId="122">
    <w:nsid w:val="72E3413A"/>
    <w:multiLevelType w:val="hybridMultilevel"/>
    <w:lvl w:ilvl="0">
      <w:lvlJc w:val="left"/>
      <w:lvlText w:val="%1."/>
      <w:numFmt w:val="decimal"/>
      <w:start w:val="28"/>
    </w:lvl>
  </w:abstractNum>
  <w:abstractNum w:abstractNumId="123">
    <w:nsid w:val="116AE494"/>
    <w:multiLevelType w:val="hybridMultilevel"/>
    <w:lvl w:ilvl="0">
      <w:lvlJc w:val="left"/>
      <w:lvlText w:val="%1."/>
      <w:numFmt w:val="decimal"/>
      <w:start w:val="29"/>
    </w:lvl>
  </w:abstractNum>
  <w:abstractNum w:abstractNumId="124">
    <w:nsid w:val="3494B2FB"/>
    <w:multiLevelType w:val="hybridMultilevel"/>
    <w:lvl w:ilvl="0">
      <w:lvlJc w:val="left"/>
      <w:lvlText w:val="(%1)"/>
      <w:numFmt w:val="lowerLetter"/>
      <w:start w:val="1"/>
    </w:lvl>
  </w:abstractNum>
  <w:abstractNum w:abstractNumId="125">
    <w:nsid w:val="B13A31"/>
    <w:multiLevelType w:val="hybridMultilevel"/>
    <w:lvl w:ilvl="0">
      <w:lvlJc w:val="left"/>
      <w:lvlText w:val="(%1)"/>
      <w:numFmt w:val="lowerLetter"/>
      <w:start w:val="2"/>
    </w:lvl>
  </w:abstractNum>
  <w:abstractNum w:abstractNumId="126">
    <w:nsid w:val="64429599"/>
    <w:multiLevelType w:val="hybridMultilevel"/>
    <w:lvl w:ilvl="0">
      <w:lvlJc w:val="left"/>
      <w:lvlText w:val="(%1)"/>
      <w:numFmt w:val="lowerLetter"/>
      <w:start w:val="14"/>
    </w:lvl>
  </w:abstractNum>
  <w:abstractNum w:abstractNumId="127">
    <w:nsid w:val="631F1690"/>
    <w:multiLevelType w:val="hybridMultilevel"/>
    <w:lvl w:ilvl="0">
      <w:lvlJc w:val="left"/>
      <w:lvlText w:val="%1."/>
      <w:numFmt w:val="decimal"/>
      <w:start w:val="30"/>
    </w:lvl>
  </w:abstractNum>
  <w:abstractNum w:abstractNumId="128">
    <w:nsid w:val="25973E32"/>
    <w:multiLevelType w:val="hybridMultilevel"/>
    <w:lvl w:ilvl="0">
      <w:lvlJc w:val="left"/>
      <w:lvlText w:val="%1."/>
      <w:numFmt w:val="decimal"/>
      <w:start w:val="31"/>
    </w:lvl>
  </w:abstractNum>
  <w:abstractNum w:abstractNumId="129">
    <w:nsid w:val="EAD6F57"/>
    <w:multiLevelType w:val="hybridMultilevel"/>
    <w:lvl w:ilvl="0">
      <w:lvlJc w:val="left"/>
      <w:lvlText w:val="%1"/>
      <w:numFmt w:val="decimal"/>
      <w:start w:val="1"/>
    </w:lvl>
    <w:lvl w:ilvl="1">
      <w:lvlJc w:val="left"/>
      <w:lvlText w:val="(%2)"/>
      <w:numFmt w:val="lowerLetter"/>
      <w:start w:val="1"/>
    </w:lvl>
  </w:abstractNum>
  <w:abstractNum w:abstractNumId="130">
    <w:nsid w:val="6EC9D844"/>
    <w:multiLevelType w:val="hybridMultilevel"/>
    <w:lvl w:ilvl="0">
      <w:lvlJc w:val="left"/>
      <w:lvlText w:val="(%1)"/>
      <w:numFmt w:val="decimal"/>
      <w:start w:val="120"/>
    </w:lvl>
    <w:lvl w:ilvl="1">
      <w:lvlJc w:val="left"/>
      <w:lvlText w:val="(%2)"/>
      <w:numFmt w:val="lowerLetter"/>
      <w:start w:val="8"/>
    </w:lvl>
  </w:abstractNum>
  <w:abstractNum w:abstractNumId="131">
    <w:nsid w:val="5C49EA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64AF49B"/>
    <w:multiLevelType w:val="hybridMultilevel"/>
    <w:lvl w:ilvl="0">
      <w:lvlJc w:val="left"/>
      <w:lvlText w:val="(%1)"/>
      <w:numFmt w:val="lowerLetter"/>
      <w:start w:val="1"/>
    </w:lvl>
  </w:abstractNum>
  <w:abstractNum w:abstractNumId="133">
    <w:nsid w:val="397C46BC"/>
    <w:multiLevelType w:val="hybridMultilevel"/>
    <w:lvl w:ilvl="0">
      <w:lvlJc w:val="left"/>
      <w:lvlText w:val="(%1)"/>
      <w:numFmt w:val="lowerLetter"/>
      <w:start w:val="1"/>
    </w:lvl>
  </w:abstractNum>
  <w:abstractNum w:abstractNumId="134">
    <w:nsid w:val="7E448DE9"/>
    <w:multiLevelType w:val="hybridMultilevel"/>
    <w:lvl w:ilvl="0">
      <w:lvlJc w:val="left"/>
      <w:lvlText w:val="%1."/>
      <w:numFmt w:val="decimal"/>
      <w:start w:val="32"/>
    </w:lvl>
  </w:abstractNum>
  <w:abstractNum w:abstractNumId="135">
    <w:nsid w:val="5A9CC3E5"/>
    <w:multiLevelType w:val="hybridMultilevel"/>
    <w:lvl w:ilvl="0">
      <w:lvlJc w:val="left"/>
      <w:lvlText w:val="%1."/>
      <w:numFmt w:val="decimal"/>
      <w:start w:val="33"/>
    </w:lvl>
  </w:abstractNum>
  <w:abstractNum w:abstractNumId="136">
    <w:nsid w:val="1AFE3625"/>
    <w:multiLevelType w:val="hybridMultilevel"/>
    <w:lvl w:ilvl="0">
      <w:lvlJc w:val="left"/>
      <w:lvlText w:val="%1."/>
      <w:numFmt w:val="decimal"/>
      <w:start w:val="34"/>
    </w:lvl>
  </w:abstractNum>
  <w:abstractNum w:abstractNumId="137">
    <w:nsid w:val="3CA88ECF"/>
    <w:multiLevelType w:val="hybridMultilevel"/>
    <w:lvl w:ilvl="0">
      <w:lvlJc w:val="left"/>
      <w:lvlText w:val="%1."/>
      <w:numFmt w:val="decimal"/>
      <w:start w:val="37"/>
    </w:lvl>
  </w:abstractNum>
  <w:abstractNum w:abstractNumId="138">
    <w:nsid w:val="6EBE4208"/>
    <w:multiLevelType w:val="hybridMultilevel"/>
    <w:lvl w:ilvl="0">
      <w:lvlJc w:val="left"/>
      <w:lvlText w:val="%1."/>
      <w:numFmt w:val="decimal"/>
      <w:start w:val="39"/>
    </w:lvl>
  </w:abstractNum>
  <w:abstractNum w:abstractNumId="139">
    <w:nsid w:val="C058DF5"/>
    <w:multiLevelType w:val="hybridMultilevel"/>
    <w:lvl w:ilvl="0">
      <w:lvlJc w:val="left"/>
      <w:lvlText w:val="%1."/>
      <w:numFmt w:val="decimal"/>
      <w:start w:val="41"/>
    </w:lvl>
  </w:abstractNum>
  <w:abstractNum w:abstractNumId="140">
    <w:nsid w:val="CBE5BE9"/>
    <w:multiLevelType w:val="hybridMultilevel"/>
    <w:lvl w:ilvl="0">
      <w:lvlJc w:val="left"/>
      <w:lvlText w:val="(%1)"/>
      <w:numFmt w:val="lowerLetter"/>
      <w:start w:val="3"/>
    </w:lvl>
  </w:abstractNum>
  <w:abstractNum w:abstractNumId="141">
    <w:nsid w:val="3102BBE2"/>
    <w:multiLevelType w:val="hybridMultilevel"/>
    <w:lvl w:ilvl="0">
      <w:lvlJc w:val="left"/>
      <w:lvlText w:val="%1."/>
      <w:numFmt w:val="decimal"/>
      <w:start w:val="42"/>
    </w:lvl>
  </w:abstractNum>
  <w:abstractNum w:abstractNumId="142">
    <w:nsid w:val="26A02C5E"/>
    <w:multiLevelType w:val="hybridMultilevel"/>
    <w:lvl w:ilvl="0">
      <w:lvlJc w:val="left"/>
      <w:lvlText w:val="(%1)"/>
      <w:numFmt w:val="lowerLetter"/>
      <w:start w:val="1"/>
    </w:lvl>
  </w:abstractNum>
  <w:abstractNum w:abstractNumId="143">
    <w:nsid w:val="541C8153"/>
    <w:multiLevelType w:val="hybridMultilevel"/>
    <w:lvl w:ilvl="0">
      <w:lvlJc w:val="left"/>
      <w:lvlText w:val="%1."/>
      <w:numFmt w:val="decimal"/>
      <w:start w:val="43"/>
    </w:lvl>
  </w:abstractNum>
  <w:abstractNum w:abstractNumId="144">
    <w:nsid w:val="67906F60"/>
    <w:multiLevelType w:val="hybridMultilevel"/>
    <w:lvl w:ilvl="0">
      <w:lvlJc w:val="left"/>
      <w:lvlText w:val="(%1)"/>
      <w:numFmt w:val="lowerLetter"/>
      <w:start w:val="1"/>
    </w:lvl>
  </w:abstractNum>
  <w:abstractNum w:abstractNumId="145">
    <w:nsid w:val="10DB9DAA"/>
    <w:multiLevelType w:val="hybridMultilevel"/>
    <w:lvl w:ilvl="0">
      <w:lvlJc w:val="left"/>
      <w:lvlText w:val="%1."/>
      <w:numFmt w:val="decimal"/>
      <w:start w:val="44"/>
    </w:lvl>
  </w:abstractNum>
  <w:abstractNum w:abstractNumId="146">
    <w:nsid w:val="697D2D2"/>
    <w:multiLevelType w:val="hybridMultilevel"/>
    <w:lvl w:ilvl="0">
      <w:lvlJc w:val="left"/>
      <w:lvlText w:val="%1."/>
      <w:numFmt w:val="decimal"/>
      <w:start w:val="1"/>
    </w:lvl>
  </w:abstractNum>
  <w:abstractNum w:abstractNumId="147">
    <w:nsid w:val="6D68AB2"/>
    <w:multiLevelType w:val="hybridMultilevel"/>
    <w:lvl w:ilvl="0">
      <w:lvlJc w:val="left"/>
      <w:lvlText w:val="(%1)"/>
      <w:numFmt w:val="lowerLetter"/>
      <w:start w:val="1"/>
    </w:lvl>
  </w:abstractNum>
  <w:abstractNum w:abstractNumId="148">
    <w:nsid w:val="3A966CD0"/>
    <w:multiLevelType w:val="hybridMultilevel"/>
    <w:lvl w:ilvl="0">
      <w:lvlJc w:val="left"/>
      <w:lvlText w:val="%1."/>
      <w:numFmt w:val="decimal"/>
      <w:start w:val="2"/>
    </w:lvl>
  </w:abstractNum>
  <w:abstractNum w:abstractNumId="149">
    <w:nsid w:val="63F37E85"/>
    <w:multiLevelType w:val="hybridMultilevel"/>
    <w:lvl w:ilvl="0">
      <w:lvlJc w:val="left"/>
      <w:lvlText w:val="(%1)"/>
      <w:numFmt w:val="lowerLetter"/>
      <w:start w:val="1"/>
    </w:lvl>
  </w:abstractNum>
  <w:abstractNum w:abstractNumId="150">
    <w:nsid w:val="5895F5FA"/>
    <w:multiLevelType w:val="hybridMultilevel"/>
    <w:lvl w:ilvl="0">
      <w:lvlJc w:val="left"/>
      <w:lvlText w:val="%1"/>
      <w:numFmt w:val="decimal"/>
      <w:start w:val="1"/>
    </w:lvl>
    <w:lvl w:ilvl="1">
      <w:lvlJc w:val="left"/>
      <w:lvlText w:val="(%2)"/>
      <w:numFmt w:val="lowerLetter"/>
      <w:start w:val="1"/>
    </w:lvl>
  </w:abstractNum>
  <w:abstractNum w:abstractNumId="151">
    <w:nsid w:val="38A5D054"/>
    <w:multiLevelType w:val="hybridMultilevel"/>
    <w:lvl w:ilvl="0">
      <w:lvlJc w:val="left"/>
      <w:lvlText w:val="%1."/>
      <w:numFmt w:val="decimal"/>
      <w:start w:val="3"/>
    </w:lvl>
    <w:lvl w:ilvl="1">
      <w:lvlJc w:val="left"/>
      <w:lvlText w:val="%2"/>
      <w:numFmt w:val="lowerLetter"/>
      <w:start w:val="1"/>
    </w:lvl>
  </w:abstractNum>
  <w:abstractNum w:abstractNumId="152">
    <w:nsid w:val="F3F09D8"/>
    <w:multiLevelType w:val="hybridMultilevel"/>
    <w:lvl w:ilvl="0">
      <w:lvlJc w:val="left"/>
      <w:lvlText w:val="%1."/>
      <w:numFmt w:val="decimal"/>
      <w:start w:val="4"/>
    </w:lvl>
  </w:abstractNum>
  <w:abstractNum w:abstractNumId="153">
    <w:nsid w:val="4B793735"/>
    <w:multiLevelType w:val="hybridMultilevel"/>
    <w:lvl w:ilvl="0">
      <w:lvlJc w:val="left"/>
      <w:lvlText w:val="%1."/>
      <w:numFmt w:val="decimal"/>
      <w:start w:val="5"/>
    </w:lvl>
  </w:abstractNum>
  <w:abstractNum w:abstractNumId="154">
    <w:nsid w:val="4A10B4E8"/>
    <w:multiLevelType w:val="hybridMultilevel"/>
    <w:lvl w:ilvl="0">
      <w:lvlJc w:val="left"/>
      <w:lvlText w:val="%1."/>
      <w:numFmt w:val="decimal"/>
      <w:start w:val="6"/>
    </w:lvl>
  </w:abstractNum>
  <w:abstractNum w:abstractNumId="155">
    <w:nsid w:val="43D3BCD4"/>
    <w:multiLevelType w:val="hybridMultilevel"/>
    <w:lvl w:ilvl="0">
      <w:lvlJc w:val="left"/>
      <w:lvlText w:val="·"/>
      <w:numFmt w:val="bullet"/>
      <w:start w:val="1"/>
    </w:lvl>
  </w:abstractNum>
  <w:abstractNum w:abstractNumId="156">
    <w:nsid w:val="4C2A7166"/>
    <w:multiLevelType w:val="hybridMultilevel"/>
    <w:lvl w:ilvl="0">
      <w:lvlJc w:val="left"/>
      <w:lvlText w:val="·"/>
      <w:numFmt w:val="bullet"/>
      <w:start w:val="1"/>
    </w:lvl>
  </w:abstractNum>
  <w:abstractNum w:abstractNumId="157">
    <w:nsid w:val="2E534A82"/>
    <w:multiLevelType w:val="hybridMultilevel"/>
    <w:lvl w:ilvl="0">
      <w:lvlJc w:val="left"/>
      <w:lvlText w:val="·"/>
      <w:numFmt w:val="bullet"/>
      <w:start w:val="1"/>
    </w:lvl>
  </w:abstractNum>
  <w:abstractNum w:abstractNumId="158">
    <w:nsid w:val="26F2D364"/>
    <w:multiLevelType w:val="hybridMultilevel"/>
    <w:lvl w:ilvl="0">
      <w:lvlJc w:val="left"/>
      <w:lvlText w:val="·"/>
      <w:numFmt w:val="bullet"/>
      <w:start w:val="1"/>
    </w:lvl>
  </w:abstractNum>
  <w:abstractNum w:abstractNumId="159">
    <w:nsid w:val="71C1AF98"/>
    <w:multiLevelType w:val="hybridMultilevel"/>
    <w:lvl w:ilvl="0">
      <w:lvlJc w:val="left"/>
      <w:lvlText w:val="·"/>
      <w:numFmt w:val="bullet"/>
      <w:start w:val="1"/>
    </w:lvl>
  </w:abstractNum>
  <w:abstractNum w:abstractNumId="160">
    <w:nsid w:val="3D00B9D9"/>
    <w:multiLevelType w:val="hybridMultilevel"/>
    <w:lvl w:ilvl="0">
      <w:lvlJc w:val="left"/>
      <w:lvlText w:val="·"/>
      <w:numFmt w:val="bullet"/>
      <w:start w:val="1"/>
    </w:lvl>
  </w:abstractNum>
  <w:abstractNum w:abstractNumId="161">
    <w:nsid w:val="15BCABA8"/>
    <w:multiLevelType w:val="hybridMultilevel"/>
    <w:lvl w:ilvl="0">
      <w:lvlJc w:val="left"/>
      <w:lvlText w:val="·"/>
      <w:numFmt w:val="bullet"/>
      <w:start w:val="1"/>
    </w:lvl>
  </w:abstractNum>
  <w:abstractNum w:abstractNumId="162">
    <w:nsid w:val="4E0B9A87"/>
    <w:multiLevelType w:val="hybridMultilevel"/>
    <w:lvl w:ilvl="0">
      <w:lvlJc w:val="left"/>
      <w:lvlText w:val="·"/>
      <w:numFmt w:val="bullet"/>
      <w:start w:val="1"/>
    </w:lvl>
  </w:abstractNum>
  <w:abstractNum w:abstractNumId="163">
    <w:nsid w:val="434BAE75"/>
    <w:multiLevelType w:val="hybridMultilevel"/>
    <w:lvl w:ilvl="0">
      <w:lvlJc w:val="left"/>
      <w:lvlText w:val="·"/>
      <w:numFmt w:val="bullet"/>
      <w:start w:val="1"/>
    </w:lvl>
  </w:abstractNum>
  <w:abstractNum w:abstractNumId="164">
    <w:nsid w:val="4F38F265"/>
    <w:multiLevelType w:val="hybridMultilevel"/>
    <w:lvl w:ilvl="0">
      <w:lvlJc w:val="left"/>
      <w:lvlText w:val="·"/>
      <w:numFmt w:val="bullet"/>
      <w:start w:val="1"/>
    </w:lvl>
  </w:abstractNum>
  <w:abstractNum w:abstractNumId="165">
    <w:nsid w:val="4C502870"/>
    <w:multiLevelType w:val="hybridMultilevel"/>
    <w:lvl w:ilvl="0">
      <w:lvlJc w:val="left"/>
      <w:lvlText w:val="·"/>
      <w:numFmt w:val="bullet"/>
      <w:start w:val="1"/>
    </w:lvl>
    <w:lvl w:ilvl="1">
      <w:lvlJc w:val="left"/>
      <w:lvlText w:val="o"/>
      <w:numFmt w:val="bullet"/>
      <w:start w:val="1"/>
    </w:lvl>
  </w:abstractNum>
  <w:abstractNum w:abstractNumId="166">
    <w:nsid w:val="1DE8725A"/>
    <w:multiLevelType w:val="hybridMultilevel"/>
    <w:lvl w:ilvl="0">
      <w:lvlJc w:val="left"/>
      <w:lvlText w:val="·"/>
      <w:numFmt w:val="bullet"/>
      <w:start w:val="1"/>
    </w:lvl>
  </w:abstractNum>
  <w:abstractNum w:abstractNumId="167">
    <w:nsid w:val="6A37288A"/>
    <w:multiLevelType w:val="hybridMultilevel"/>
    <w:lvl w:ilvl="0">
      <w:lvlJc w:val="left"/>
      <w:lvlText w:val="·"/>
      <w:numFmt w:val="bullet"/>
      <w:start w:val="1"/>
    </w:lvl>
  </w:abstractNum>
  <w:abstractNum w:abstractNumId="168">
    <w:nsid w:val="8F8B73F"/>
    <w:multiLevelType w:val="hybridMultilevel"/>
    <w:lvl w:ilvl="0">
      <w:lvlJc w:val="left"/>
      <w:lvlText w:val="·"/>
      <w:numFmt w:val="bullet"/>
      <w:start w:val="1"/>
    </w:lvl>
  </w:abstractNum>
  <w:abstractNum w:abstractNumId="169">
    <w:nsid w:val="CA6B462"/>
    <w:multiLevelType w:val="hybridMultilevel"/>
    <w:lvl w:ilvl="0">
      <w:lvlJc w:val="left"/>
      <w:lvlText w:val="·"/>
      <w:numFmt w:val="bullet"/>
      <w:start w:val="1"/>
    </w:lvl>
  </w:abstractNum>
  <w:abstractNum w:abstractNumId="170">
    <w:nsid w:val="763CB680"/>
    <w:multiLevelType w:val="hybridMultilevel"/>
    <w:lvl w:ilvl="0">
      <w:lvlJc w:val="left"/>
      <w:lvlText w:val="·"/>
      <w:numFmt w:val="bullet"/>
      <w:start w:val="1"/>
    </w:lvl>
  </w:abstractNum>
  <w:abstractNum w:abstractNumId="171">
    <w:nsid w:val="15B71329"/>
    <w:multiLevelType w:val="hybridMultilevel"/>
    <w:lvl w:ilvl="0">
      <w:lvlJc w:val="left"/>
      <w:lvlText w:val="·"/>
      <w:numFmt w:val="bullet"/>
      <w:start w:val="1"/>
    </w:lvl>
  </w:abstractNum>
  <w:abstractNum w:abstractNumId="172">
    <w:nsid w:val="3DA97044"/>
    <w:multiLevelType w:val="hybridMultilevel"/>
    <w:lvl w:ilvl="0">
      <w:lvlJc w:val="left"/>
      <w:lvlText w:val="·"/>
      <w:numFmt w:val="bullet"/>
      <w:start w:val="1"/>
    </w:lvl>
  </w:abstractNum>
  <w:abstractNum w:abstractNumId="173">
    <w:nsid w:val="1CDCE2DE"/>
    <w:multiLevelType w:val="hybridMultilevel"/>
    <w:lvl w:ilvl="0">
      <w:lvlJc w:val="left"/>
      <w:lvlText w:val="·"/>
      <w:numFmt w:val="bullet"/>
      <w:start w:val="1"/>
    </w:lvl>
  </w:abstractNum>
  <w:abstractNum w:abstractNumId="174">
    <w:nsid w:val="69D3947C"/>
    <w:multiLevelType w:val="hybridMultilevel"/>
    <w:lvl w:ilvl="0">
      <w:lvlJc w:val="left"/>
      <w:lvlText w:val="·"/>
      <w:numFmt w:val="bullet"/>
      <w:start w:val="1"/>
    </w:lvl>
  </w:abstractNum>
  <w:abstractNum w:abstractNumId="175">
    <w:nsid w:val="2539DFA5"/>
    <w:multiLevelType w:val="hybridMultilevel"/>
    <w:lvl w:ilvl="0">
      <w:lvlJc w:val="left"/>
      <w:lvlText w:val="·"/>
      <w:numFmt w:val="bullet"/>
      <w:start w:val="1"/>
    </w:lvl>
  </w:abstractNum>
  <w:abstractNum w:abstractNumId="176">
    <w:nsid w:val="2DB88089"/>
    <w:multiLevelType w:val="hybridMultilevel"/>
    <w:lvl w:ilvl="0">
      <w:lvlJc w:val="left"/>
      <w:lvlText w:val="·"/>
      <w:numFmt w:val="bullet"/>
      <w:start w:val="1"/>
    </w:lvl>
  </w:abstractNum>
  <w:abstractNum w:abstractNumId="177">
    <w:nsid w:val="706B674E"/>
    <w:multiLevelType w:val="hybridMultilevel"/>
    <w:lvl w:ilvl="0">
      <w:lvlJc w:val="left"/>
      <w:lvlText w:val="·"/>
      <w:numFmt w:val="bullet"/>
      <w:start w:val="1"/>
    </w:lvl>
  </w:abstractNum>
  <w:abstractNum w:abstractNumId="178">
    <w:nsid w:val="2C106A57"/>
    <w:multiLevelType w:val="hybridMultilevel"/>
    <w:lvl w:ilvl="0">
      <w:lvlJc w:val="left"/>
      <w:lvlText w:val="·"/>
      <w:numFmt w:val="bullet"/>
      <w:start w:val="1"/>
    </w:lvl>
  </w:abstractNum>
  <w:abstractNum w:abstractNumId="179">
    <w:nsid w:val="684EED59"/>
    <w:multiLevelType w:val="hybridMultilevel"/>
    <w:lvl w:ilvl="0">
      <w:lvlJc w:val="left"/>
      <w:lvlText w:val="·"/>
      <w:numFmt w:val="bullet"/>
      <w:start w:val="1"/>
    </w:lvl>
  </w:abstractNum>
  <w:abstractNum w:abstractNumId="180">
    <w:nsid w:val="545EE5D3"/>
    <w:multiLevelType w:val="hybridMultilevel"/>
    <w:lvl w:ilvl="0">
      <w:lvlJc w:val="left"/>
      <w:lvlText w:val="·"/>
      <w:numFmt w:val="bullet"/>
      <w:start w:val="1"/>
    </w:lvl>
  </w:abstractNum>
  <w:abstractNum w:abstractNumId="181">
    <w:nsid w:val="4A66051"/>
    <w:multiLevelType w:val="hybridMultilevel"/>
    <w:lvl w:ilvl="0">
      <w:lvlJc w:val="left"/>
      <w:lvlText w:val="·"/>
      <w:numFmt w:val="bullet"/>
      <w:start w:val="1"/>
    </w:lvl>
  </w:abstractNum>
  <w:abstractNum w:abstractNumId="182">
    <w:nsid w:val="20F4BDAD"/>
    <w:multiLevelType w:val="hybridMultilevel"/>
    <w:lvl w:ilvl="0">
      <w:lvlJc w:val="left"/>
      <w:lvlText w:val="·"/>
      <w:numFmt w:val="bullet"/>
      <w:start w:val="1"/>
    </w:lvl>
  </w:abstractNum>
  <w:abstractNum w:abstractNumId="183">
    <w:nsid w:val="639DEFAC"/>
    <w:multiLevelType w:val="hybridMultilevel"/>
    <w:lvl w:ilvl="0">
      <w:lvlJc w:val="left"/>
      <w:lvlText w:val="·"/>
      <w:numFmt w:val="bullet"/>
      <w:start w:val="1"/>
    </w:lvl>
  </w:abstractNum>
  <w:abstractNum w:abstractNumId="184">
    <w:nsid w:val="501F9786"/>
    <w:multiLevelType w:val="hybridMultilevel"/>
    <w:lvl w:ilvl="0">
      <w:lvlJc w:val="left"/>
      <w:lvlText w:val="·"/>
      <w:numFmt w:val="bullet"/>
      <w:start w:val="1"/>
    </w:lvl>
  </w:abstractNum>
  <w:abstractNum w:abstractNumId="185">
    <w:nsid w:val="6B057295"/>
    <w:multiLevelType w:val="hybridMultilevel"/>
    <w:lvl w:ilvl="0">
      <w:lvlJc w:val="left"/>
      <w:lvlText w:val="·"/>
      <w:numFmt w:val="bullet"/>
      <w:start w:val="1"/>
    </w:lvl>
    <w:lvl w:ilvl="1">
      <w:lvlJc w:val="left"/>
      <w:lvlText w:val="o"/>
      <w:numFmt w:val="bullet"/>
      <w:start w:val="1"/>
    </w:lvl>
  </w:abstractNum>
  <w:abstractNum w:abstractNumId="186">
    <w:nsid w:val="2771AC80"/>
    <w:multiLevelType w:val="hybridMultilevel"/>
    <w:lvl w:ilvl="0">
      <w:lvlJc w:val="left"/>
      <w:lvlText w:val="·"/>
      <w:numFmt w:val="bullet"/>
      <w:start w:val="1"/>
    </w:lvl>
  </w:abstractNum>
  <w:abstractNum w:abstractNumId="187">
    <w:nsid w:val="1C4A08EC"/>
    <w:multiLevelType w:val="hybridMultilevel"/>
    <w:lvl w:ilvl="0">
      <w:lvlJc w:val="left"/>
      <w:lvlText w:val="·"/>
      <w:numFmt w:val="bullet"/>
      <w:start w:val="1"/>
    </w:lvl>
  </w:abstractNum>
  <w:abstractNum w:abstractNumId="188">
    <w:nsid w:val="1958BD17"/>
    <w:multiLevelType w:val="hybridMultilevel"/>
    <w:lvl w:ilvl="0">
      <w:lvlJc w:val="left"/>
      <w:lvlText w:val="%1."/>
      <w:numFmt w:val="decimal"/>
      <w:start w:val="1"/>
    </w:lvl>
  </w:abstractNum>
  <w:abstractNum w:abstractNumId="189">
    <w:nsid w:val="4E647FE4"/>
    <w:multiLevelType w:val="hybridMultilevel"/>
    <w:lvl w:ilvl="0">
      <w:lvlJc w:val="left"/>
      <w:lvlText w:val="·"/>
      <w:numFmt w:val="bullet"/>
      <w:start w:val="1"/>
    </w:lvl>
  </w:abstractNum>
  <w:abstractNum w:abstractNumId="190">
    <w:nsid w:val="E0BB885"/>
    <w:multiLevelType w:val="hybridMultilevel"/>
    <w:lvl w:ilvl="0">
      <w:lvlJc w:val="left"/>
      <w:lvlText w:val="*"/>
      <w:numFmt w:val="bullet"/>
      <w:start w:val="1"/>
    </w:lvl>
  </w:abstractNum>
  <w:abstractNum w:abstractNumId="191">
    <w:nsid w:val="565976F1"/>
    <w:multiLevelType w:val="hybridMultilevel"/>
    <w:lvl w:ilvl="0">
      <w:lvlJc w:val="left"/>
      <w:lvlText w:val="%1)"/>
      <w:numFmt w:val="decimal"/>
      <w:start w:val="1"/>
    </w:lvl>
  </w:abstractNum>
  <w:abstractNum w:abstractNumId="192">
    <w:nsid w:val="64212B8C"/>
    <w:multiLevelType w:val="hybridMultilevel"/>
    <w:lvl w:ilvl="0">
      <w:lvlJc w:val="left"/>
      <w:lvlText w:val="%1)"/>
      <w:numFmt w:val="decimal"/>
      <w:start w:val="3"/>
    </w:lvl>
  </w:abstractNum>
  <w:abstractNum w:abstractNumId="193">
    <w:nsid w:val="5C17530C"/>
    <w:multiLevelType w:val="hybridMultilevel"/>
    <w:lvl w:ilvl="0">
      <w:lvlJc w:val="left"/>
      <w:lvlText w:val="%1"/>
      <w:numFmt w:val="upperLetter"/>
      <w:start w:val="45"/>
    </w:lvl>
  </w:abstractNum>
  <w:abstractNum w:abstractNumId="194">
    <w:nsid w:val="19A52566"/>
    <w:multiLevelType w:val="hybridMultilevel"/>
    <w:lvl w:ilvl="0">
      <w:lvlJc w:val="left"/>
      <w:lvlText w:val="%1"/>
      <w:numFmt w:val="upperLetter"/>
      <w:start w:val="45"/>
    </w:lvl>
  </w:abstractNum>
  <w:abstractNum w:abstractNumId="195">
    <w:nsid w:val="335A1DF1"/>
    <w:multiLevelType w:val="hybridMultilevel"/>
    <w:lvl w:ilvl="0">
      <w:lvlJc w:val="left"/>
      <w:lvlText w:val="*"/>
      <w:numFmt w:val="bullet"/>
      <w:start w:val="1"/>
    </w:lvl>
  </w:abstractNum>
  <w:abstractNum w:abstractNumId="196">
    <w:nsid w:val="28677B7C"/>
    <w:multiLevelType w:val="hybridMultilevel"/>
    <w:lvl w:ilvl="0">
      <w:lvlJc w:val="left"/>
      <w:lvlText w:val="*"/>
      <w:numFmt w:val="bullet"/>
      <w:start w:val="1"/>
    </w:lvl>
  </w:abstractNum>
  <w:abstractNum w:abstractNumId="197">
    <w:nsid w:val="378D97C0"/>
    <w:multiLevelType w:val="hybridMultilevel"/>
    <w:lvl w:ilvl="0">
      <w:lvlJc w:val="left"/>
      <w:lvlText w:val="%1"/>
      <w:numFmt w:val="decimal"/>
      <w:start w:val="125"/>
    </w:lvl>
  </w:abstractNum>
  <w:abstractNum w:abstractNumId="198">
    <w:nsid w:val="1D91467C"/>
    <w:multiLevelType w:val="hybridMultilevel"/>
    <w:lvl w:ilvl="0">
      <w:lvlJc w:val="left"/>
      <w:lvlText w:val="%1"/>
      <w:numFmt w:val="decimal"/>
      <w:start w:val="275"/>
    </w:lvl>
  </w:abstractNum>
  <w:abstractNum w:abstractNumId="199">
    <w:nsid w:val="316032BB"/>
    <w:multiLevelType w:val="hybridMultilevel"/>
    <w:lvl w:ilvl="0">
      <w:lvlJc w:val="left"/>
      <w:lvlText w:val="%1"/>
      <w:numFmt w:val="decimal"/>
      <w:start w:val="200"/>
    </w:lvl>
  </w:abstractNum>
  <w:abstractNum w:abstractNumId="200">
    <w:nsid w:val="44344C22"/>
    <w:multiLevelType w:val="hybridMultilevel"/>
    <w:lvl w:ilvl="0">
      <w:lvlJc w:val="left"/>
      <w:lvlText w:val="%1"/>
      <w:numFmt w:val="decimal"/>
      <w:start w:val="950"/>
    </w:lvl>
  </w:abstractNum>
  <w:abstractNum w:abstractNumId="201">
    <w:nsid w:val="13CDFCFC"/>
    <w:multiLevelType w:val="hybridMultilevel"/>
    <w:lvl w:ilvl="0">
      <w:lvlJc w:val="left"/>
      <w:lvlText w:val="%1"/>
      <w:numFmt w:val="decimal"/>
      <w:start w:val="385"/>
    </w:lvl>
  </w:abstractNum>
  <w:abstractNum w:abstractNumId="202">
    <w:nsid w:val="471745E4"/>
    <w:multiLevelType w:val="hybridMultilevel"/>
    <w:lvl w:ilvl="0">
      <w:lvlJc w:val="left"/>
      <w:lvlText w:val="%1"/>
      <w:numFmt w:val="decimal"/>
      <w:start w:val="960"/>
    </w:lvl>
  </w:abstractNum>
  <w:abstractNum w:abstractNumId="203">
    <w:nsid w:val="1DDBC66"/>
    <w:multiLevelType w:val="hybridMultilevel"/>
    <w:lvl w:ilvl="0">
      <w:lvlJc w:val="left"/>
      <w:lvlText w:val="%1"/>
      <w:numFmt w:val="decimal"/>
      <w:start w:val="480"/>
    </w:lvl>
  </w:abstractNum>
  <w:abstractNum w:abstractNumId="204">
    <w:nsid w:val="30AADFDA"/>
    <w:multiLevelType w:val="hybridMultilevel"/>
    <w:lvl w:ilvl="0">
      <w:lvlJc w:val="left"/>
      <w:lvlText w:val="%1"/>
      <w:numFmt w:val="decimal"/>
      <w:start w:val="600"/>
    </w:lvl>
  </w:abstractNum>
  <w:abstractNum w:abstractNumId="205">
    <w:nsid w:val="30EADA61"/>
    <w:multiLevelType w:val="hybridMultilevel"/>
    <w:lvl w:ilvl="0">
      <w:lvlJc w:val="left"/>
      <w:lvlText w:val="%1."/>
      <w:numFmt w:val="decimal"/>
      <w:start w:val="1"/>
    </w:lvl>
  </w:abstractNum>
  <w:abstractNum w:abstractNumId="206">
    <w:nsid w:val="27179C0B"/>
    <w:multiLevelType w:val="hybridMultilevel"/>
    <w:lvl w:ilvl="0">
      <w:lvlJc w:val="left"/>
      <w:lvlText w:val="%1."/>
      <w:numFmt w:val="decimal"/>
      <w:start w:val="1"/>
    </w:lvl>
  </w:abstractNum>
  <w:abstractNum w:abstractNumId="207">
    <w:nsid w:val="5E636063"/>
    <w:multiLevelType w:val="hybridMultilevel"/>
    <w:lvl w:ilvl="0">
      <w:lvlJc w:val="left"/>
      <w:lvlText w:val="%1."/>
      <w:numFmt w:val="decimal"/>
      <w:start w:val="9"/>
    </w:lvl>
  </w:abstractNum>
  <w:abstractNum w:abstractNumId="208">
    <w:nsid w:val="215641AF"/>
    <w:multiLevelType w:val="hybridMultilevel"/>
    <w:lvl w:ilvl="0">
      <w:lvlJc w:val="left"/>
      <w:lvlText w:val="%1."/>
      <w:numFmt w:val="decimal"/>
      <w:start w:val="1"/>
    </w:lvl>
  </w:abstractNum>
  <w:abstractNum w:abstractNumId="209">
    <w:nsid w:val="53280662"/>
    <w:multiLevelType w:val="hybridMultilevel"/>
    <w:lvl w:ilvl="0">
      <w:lvlJc w:val="left"/>
      <w:lvlText w:val="%1."/>
      <w:numFmt w:val="decimal"/>
      <w:start w:val="8"/>
    </w:lvl>
  </w:abstractNum>
  <w:abstractNum w:abstractNumId="210">
    <w:nsid w:val="46B24DBC"/>
    <w:multiLevelType w:val="hybridMultilevel"/>
    <w:lvl w:ilvl="0">
      <w:lvlJc w:val="left"/>
      <w:lvlText w:val="%1."/>
      <w:numFmt w:val="decimal"/>
      <w:start w:val="1"/>
    </w:lvl>
  </w:abstractNum>
  <w:abstractNum w:abstractNumId="211">
    <w:nsid w:val="75B52783"/>
    <w:multiLevelType w:val="hybridMultilevel"/>
    <w:lvl w:ilvl="0">
      <w:lvlJc w:val="left"/>
      <w:lvlText w:val="%1."/>
      <w:numFmt w:val="decimal"/>
      <w:start w:val="11"/>
    </w:lvl>
  </w:abstractNum>
  <w:abstractNum w:abstractNumId="212">
    <w:nsid w:val="57CE66B4"/>
    <w:multiLevelType w:val="hybridMultilevel"/>
    <w:lvl w:ilvl="0">
      <w:lvlJc w:val="left"/>
      <w:lvlText w:val="%1."/>
      <w:numFmt w:val="decimal"/>
      <w:start w:val="1"/>
    </w:lvl>
  </w:abstractNum>
  <w:abstractNum w:abstractNumId="213">
    <w:nsid w:val="67A70B69"/>
    <w:multiLevelType w:val="hybridMultilevel"/>
    <w:lvl w:ilvl="0">
      <w:lvlJc w:val="left"/>
      <w:lvlText w:val="%1."/>
      <w:numFmt w:val="decimal"/>
      <w:start w:val="12"/>
    </w:lvl>
  </w:abstractNum>
  <w:abstractNum w:abstractNumId="214">
    <w:nsid w:val="5953172F"/>
    <w:multiLevelType w:val="hybridMultilevel"/>
    <w:lvl w:ilvl="0">
      <w:lvlJc w:val="left"/>
      <w:lvlText w:val="·"/>
      <w:numFmt w:val="bullet"/>
      <w:start w:val="1"/>
    </w:lvl>
  </w:abstractNum>
  <w:abstractNum w:abstractNumId="215">
    <w:nsid w:val="27EDFE3A"/>
    <w:multiLevelType w:val="hybridMultilevel"/>
    <w:lvl w:ilvl="0">
      <w:lvlJc w:val="left"/>
      <w:lvlText w:val="·"/>
      <w:numFmt w:val="bullet"/>
      <w:start w:val="1"/>
    </w:lvl>
  </w:abstractNum>
  <w:abstractNum w:abstractNumId="216">
    <w:nsid w:val="52AC7DFF"/>
    <w:multiLevelType w:val="hybridMultilevel"/>
    <w:lvl w:ilvl="0">
      <w:lvlJc w:val="left"/>
      <w:lvlText w:val="%1."/>
      <w:numFmt w:val="upperLetter"/>
      <w:start w:val="9"/>
    </w:lvl>
  </w:abstractNum>
  <w:abstractNum w:abstractNumId="217">
    <w:nsid w:val="C4C3AF"/>
    <w:multiLevelType w:val="hybridMultilevel"/>
    <w:lvl w:ilvl="0">
      <w:lvlJc w:val="left"/>
      <w:lvlText w:val="%1."/>
      <w:numFmt w:val="upperLetter"/>
      <w:start w:val="35"/>
    </w:lvl>
  </w:abstractNum>
  <w:abstractNum w:abstractNumId="218">
    <w:nsid w:val="44380727"/>
    <w:multiLevelType w:val="hybridMultilevel"/>
    <w:lvl w:ilvl="0">
      <w:lvlJc w:val="left"/>
      <w:lvlText w:val="%1."/>
      <w:numFmt w:val="upperLetter"/>
      <w:start w:val="61"/>
    </w:lvl>
  </w:abstractNum>
  <w:abstractNum w:abstractNumId="219">
    <w:nsid w:val="6C053B16"/>
    <w:multiLevelType w:val="hybridMultilevel"/>
    <w:lvl w:ilvl="0">
      <w:lvlJc w:val="left"/>
      <w:lvlText w:val="%1."/>
      <w:numFmt w:val="upperLetter"/>
      <w:start w:val="22"/>
    </w:lvl>
  </w:abstractNum>
  <w:abstractNum w:abstractNumId="220">
    <w:nsid w:val="4F294393"/>
    <w:multiLevelType w:val="hybridMultilevel"/>
    <w:lvl w:ilvl="0">
      <w:lvlJc w:val="left"/>
      <w:lvlText w:val="%1."/>
      <w:numFmt w:val="upperLetter"/>
      <w:start w:val="24"/>
    </w:lvl>
  </w:abstractNum>
  <w:abstractNum w:abstractNumId="221">
    <w:nsid w:val="5243BFAC"/>
    <w:multiLevelType w:val="hybridMultilevel"/>
    <w:lvl w:ilvl="0">
      <w:lvlJc w:val="left"/>
      <w:lvlText w:val="%1."/>
      <w:numFmt w:val="decimal"/>
      <w:start w:val="1"/>
    </w:lvl>
  </w:abstractNum>
  <w:abstractNum w:abstractNumId="222">
    <w:nsid w:val="425EB207"/>
    <w:multiLevelType w:val="hybridMultilevel"/>
    <w:lvl w:ilvl="0">
      <w:lvlJc w:val="left"/>
      <w:lvlText w:val="%1."/>
      <w:numFmt w:val="upperLetter"/>
      <w:start w:val="9"/>
    </w:lvl>
  </w:abstractNum>
  <w:abstractNum w:abstractNumId="223">
    <w:nsid w:val="334A6F1F"/>
    <w:multiLevelType w:val="hybridMultilevel"/>
    <w:lvl w:ilvl="0">
      <w:lvlJc w:val="left"/>
      <w:lvlText w:val="·"/>
      <w:numFmt w:val="bullet"/>
      <w:start w:val="1"/>
    </w:lvl>
    <w:lvl w:ilvl="1">
      <w:lvlJc w:val="left"/>
      <w:lvlText w:val="·"/>
      <w:numFmt w:val="bullet"/>
      <w:start w:val="1"/>
    </w:lvl>
  </w:abstractNum>
  <w:abstractNum w:abstractNumId="224">
    <w:nsid w:val="2E5B12B8"/>
    <w:multiLevelType w:val="hybridMultilevel"/>
    <w:lvl w:ilvl="0">
      <w:lvlJc w:val="left"/>
      <w:lvlText w:val="%1."/>
      <w:numFmt w:val="upperLetter"/>
      <w:start w:val="35"/>
    </w:lvl>
  </w:abstractNum>
  <w:abstractNum w:abstractNumId="225">
    <w:nsid w:val="5C03D76D"/>
    <w:multiLevelType w:val="hybridMultilevel"/>
    <w:lvl w:ilvl="0">
      <w:lvlJc w:val="left"/>
      <w:lvlText w:val="%1."/>
      <w:numFmt w:val="upperLetter"/>
      <w:start w:val="61"/>
    </w:lvl>
  </w:abstractNum>
  <w:abstractNum w:abstractNumId="226">
    <w:nsid w:val="66A48D11"/>
    <w:multiLevelType w:val="hybridMultilevel"/>
    <w:lvl w:ilvl="0">
      <w:lvlJc w:val="left"/>
      <w:lvlText w:val="·"/>
      <w:numFmt w:val="bullet"/>
      <w:start w:val="1"/>
    </w:lvl>
  </w:abstractNum>
  <w:abstractNum w:abstractNumId="227">
    <w:nsid w:val="56C28E34"/>
    <w:multiLevelType w:val="hybridMultilevel"/>
    <w:lvl w:ilvl="0">
      <w:lvlJc w:val="left"/>
      <w:lvlText w:val="%1."/>
      <w:numFmt w:val="upperLetter"/>
      <w:start w:val="22"/>
    </w:lvl>
  </w:abstractNum>
  <w:abstractNum w:abstractNumId="228">
    <w:nsid w:val="13916F2D"/>
    <w:multiLevelType w:val="hybridMultilevel"/>
    <w:lvl w:ilvl="0">
      <w:lvlJc w:val="left"/>
      <w:lvlText w:val="%1."/>
      <w:numFmt w:val="decimal"/>
      <w:start w:val="1"/>
    </w:lvl>
  </w:abstractNum>
  <w:abstractNum w:abstractNumId="229">
    <w:nsid w:val="435D38D"/>
    <w:multiLevelType w:val="hybridMultilevel"/>
    <w:lvl w:ilvl="0">
      <w:lvlJc w:val="left"/>
      <w:lvlText w:val="%1"/>
      <w:numFmt w:val="lowerLetter"/>
      <w:start w:val="29"/>
    </w:lvl>
  </w:abstractNum>
  <w:abstractNum w:abstractNumId="230">
    <w:nsid w:val="822C0EF"/>
    <w:multiLevelType w:val="hybridMultilevel"/>
    <w:lvl w:ilvl="0">
      <w:lvlJc w:val="left"/>
      <w:lvlText w:val="%1."/>
      <w:numFmt w:val="upperLetter"/>
      <w:start w:val="22"/>
    </w:lvl>
  </w:abstractNum>
  <w:abstractNum w:abstractNumId="231">
    <w:nsid w:val="57C5BB4F"/>
    <w:multiLevelType w:val="hybridMultilevel"/>
    <w:lvl w:ilvl="0">
      <w:lvlJc w:val="left"/>
      <w:lvlText w:val="%1."/>
      <w:numFmt w:val="decimal"/>
      <w:start w:val="1"/>
    </w:lvl>
  </w:abstractNum>
  <w:abstractNum w:abstractNumId="232">
    <w:nsid w:val="1803D089"/>
    <w:multiLevelType w:val="hybridMultilevel"/>
    <w:lvl w:ilvl="0">
      <w:lvlJc w:val="left"/>
      <w:lvlText w:val="·"/>
      <w:numFmt w:val="bullet"/>
      <w:start w:val="1"/>
    </w:lvl>
  </w:abstractNum>
  <w:abstractNum w:abstractNumId="233">
    <w:nsid w:val="4F3A06D4"/>
    <w:multiLevelType w:val="hybridMultilevel"/>
    <w:lvl w:ilvl="0">
      <w:lvlJc w:val="left"/>
      <w:lvlText w:val="%1."/>
      <w:numFmt w:val="upperLetter"/>
      <w:start w:val="24"/>
    </w:lvl>
  </w:abstractNum>
  <w:abstractNum w:abstractNumId="234">
    <w:nsid w:val="59A377B6"/>
    <w:multiLevelType w:val="hybridMultilevel"/>
    <w:lvl w:ilvl="0">
      <w:lvlJc w:val="left"/>
      <w:lvlText w:val="%1."/>
      <w:numFmt w:val="decimal"/>
      <w:start w:val="5"/>
    </w:lvl>
  </w:abstractNum>
  <w:abstractNum w:abstractNumId="235">
    <w:nsid w:val="48AEB063"/>
    <w:multiLevelType w:val="hybridMultilevel"/>
    <w:lvl w:ilvl="0">
      <w:lvlJc w:val="left"/>
      <w:lvlText w:val="%1."/>
      <w:numFmt w:val="decimal"/>
      <w:start w:val="7"/>
    </w:lvl>
  </w:abstractNum>
  <w:abstractNum w:abstractNumId="236">
    <w:nsid w:val="24E135"/>
    <w:multiLevelType w:val="hybridMultilevel"/>
    <w:lvl w:ilvl="0">
      <w:lvlJc w:val="left"/>
      <w:lvlText w:val="%1."/>
      <w:numFmt w:val="decimal"/>
      <w:start w:val="9"/>
    </w:lvl>
  </w:abstractNum>
  <w:abstractNum w:abstractNumId="237">
    <w:nsid w:val="BB13C1"/>
    <w:multiLevelType w:val="hybridMultilevel"/>
    <w:lvl w:ilvl="0">
      <w:lvlJc w:val="left"/>
      <w:lvlText w:val="["/>
      <w:numFmt w:val="bullet"/>
      <w:start w:val="1"/>
    </w:lvl>
  </w:abstractNum>
  <w:abstractNum w:abstractNumId="238">
    <w:nsid w:val="271210C7"/>
    <w:multiLevelType w:val="hybridMultilevel"/>
    <w:lvl w:ilvl="0">
      <w:lvlJc w:val="left"/>
      <w:lvlText w:val="%1."/>
      <w:numFmt w:val="decimal"/>
      <w:start w:val="1"/>
    </w:lvl>
  </w:abstractNum>
  <w:abstractNum w:abstractNumId="239">
    <w:nsid w:val="217B22E4"/>
    <w:multiLevelType w:val="hybridMultilevel"/>
    <w:lvl w:ilvl="0">
      <w:lvlJc w:val="left"/>
      <w:lvlText w:val="(%1)"/>
      <w:numFmt w:val="lowerLetter"/>
      <w:start w:val="1"/>
    </w:lvl>
  </w:abstractNum>
  <w:abstractNum w:abstractNumId="240">
    <w:nsid w:val="53E31A24"/>
    <w:multiLevelType w:val="hybridMultilevel"/>
    <w:lvl w:ilvl="0">
      <w:lvlJc w:val="left"/>
      <w:lvlText w:val="%1."/>
      <w:numFmt w:val="decimal"/>
      <w:start w:val="5"/>
    </w:lvl>
  </w:abstractNum>
  <w:abstractNum w:abstractNumId="241">
    <w:nsid w:val="6DC45E83"/>
    <w:multiLevelType w:val="hybridMultilevel"/>
    <w:lvl w:ilvl="0">
      <w:lvlJc w:val="left"/>
      <w:lvlText w:val="(%1)"/>
      <w:numFmt w:val="lowerLetter"/>
      <w:start w:val="1"/>
    </w:lvl>
  </w:abstractNum>
  <w:abstractNum w:abstractNumId="242">
    <w:nsid w:val="17304A67"/>
    <w:multiLevelType w:val="hybridMultilevel"/>
    <w:lvl w:ilvl="0">
      <w:lvlJc w:val="left"/>
      <w:lvlText w:val="%1."/>
      <w:numFmt w:val="decimal"/>
      <w:start w:val="1"/>
    </w:lvl>
  </w:abstractNum>
  <w:abstractNum w:abstractNumId="243">
    <w:nsid w:val="2BB180D8"/>
    <w:multiLevelType w:val="hybridMultilevel"/>
    <w:lvl w:ilvl="0">
      <w:lvlJc w:val="left"/>
      <w:lvlText w:val="(%1)"/>
      <w:numFmt w:val="lowerLetter"/>
      <w:start w:val="1"/>
    </w:lvl>
  </w:abstractNum>
  <w:abstractNum w:abstractNumId="244">
    <w:nsid w:val="556B69ED"/>
    <w:multiLevelType w:val="hybridMultilevel"/>
    <w:lvl w:ilvl="0">
      <w:lvlJc w:val="left"/>
      <w:lvlText w:val="%1."/>
      <w:numFmt w:val="decimal"/>
      <w:start w:val="5"/>
    </w:lvl>
  </w:abstractNum>
  <w:abstractNum w:abstractNumId="245">
    <w:nsid w:val="70836196"/>
    <w:multiLevelType w:val="hybridMultilevel"/>
    <w:lvl w:ilvl="0">
      <w:lvlJc w:val="left"/>
      <w:lvlText w:val="(%1)"/>
      <w:numFmt w:val="lowerLetter"/>
      <w:start w:val="1"/>
    </w:lvl>
  </w:abstractNum>
  <w:abstractNum w:abstractNumId="246">
    <w:nsid w:val="539F7F12"/>
    <w:multiLevelType w:val="hybridMultilevel"/>
    <w:lvl w:ilvl="0">
      <w:lvlJc w:val="left"/>
      <w:lvlText w:val="(%1)"/>
      <w:numFmt w:val="decimal"/>
      <w:start w:val="1"/>
    </w:lvl>
  </w:abstractNum>
  <w:abstractNum w:abstractNumId="247">
    <w:nsid w:val="2817E7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2019-12-29T11:58:43Z</dcterms:created>
  <dcterms:modified xsi:type="dcterms:W3CDTF">2019-12-29T11:58:43Z</dcterms:modified>
</cp:coreProperties>
</file>