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DesRosier Thomas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SERES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 CAMBRIDGE PARK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Seres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MCRB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9.13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7,500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will vest as to 25% of the shares on March 2, 2027. The remainder of the shares will vest in 12 equal quarterly installments thereafter.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EVP and Chief Legal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J. DesRosier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35744" TargetMode="External"/><Relationship Id="rId5" Type="http://schemas.openxmlformats.org/officeDocument/2006/relationships/hyperlink" Target="http://www.sec.gov/cgi-bin/browse-edgar?action=getcompany&amp;CIK=00016098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604</Words>
  <Characters>3255</Characters>
  <CharactersWithSpaces>3794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