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2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3920" w:type="dxa"/>
            <w:vAlign w:val="bottom"/>
            <w:gridSpan w:val="7"/>
          </w:tcPr>
          <w:p>
            <w:pPr>
              <w:jc w:val="center"/>
              <w:ind w:left="227"/>
              <w:spacing w:after="0"/>
              <w:rPr>
                <w:sz w:val="20"/>
                <w:szCs w:val="20"/>
                <w:color w:val="auto"/>
              </w:rPr>
            </w:pPr>
            <w:r>
              <w:rPr>
                <w:rFonts w:ascii="Times New Roman" w:cs="Times New Roman" w:eastAsia="Times New Roman" w:hAnsi="Times New Roman"/>
                <w:sz w:val="16"/>
                <w:szCs w:val="16"/>
                <w:b w:val="1"/>
                <w:bCs w:val="1"/>
                <w:color w:val="auto"/>
              </w:rPr>
              <w:t>Commission File Number: 001-37465</w:t>
            </w:r>
          </w:p>
        </w:tc>
        <w:tc>
          <w:tcPr>
            <w:tcW w:w="5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41"/>
                <w:szCs w:val="41"/>
                <w:b w:val="1"/>
                <w:bCs w:val="1"/>
                <w:color w:val="auto"/>
              </w:rPr>
              <w:t>Seres</w:t>
            </w:r>
          </w:p>
        </w:tc>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rPr>
              <w:t>le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41"/>
                <w:szCs w:val="41"/>
                <w:b w:val="1"/>
                <w:bCs w:val="1"/>
                <w:color w:val="auto"/>
              </w:rPr>
              <w:t>Inc.</w:t>
            </w: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350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41"/>
                <w:szCs w:val="41"/>
                <w:b w:val="1"/>
                <w:bCs w:val="1"/>
                <w:color w:val="auto"/>
                <w:w w:val="91"/>
              </w:rPr>
              <w:t>Therapeutics,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4480" w:type="dxa"/>
            <w:vAlign w:val="bottom"/>
            <w:gridSpan w:val="8"/>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60" w:type="dxa"/>
            <w:vAlign w:val="bottom"/>
          </w:tcPr>
          <w:p>
            <w:pPr>
              <w:jc w:val="right"/>
              <w:ind w:right="1766"/>
              <w:spacing w:after="0"/>
              <w:rPr>
                <w:sz w:val="20"/>
                <w:szCs w:val="20"/>
                <w:color w:val="auto"/>
              </w:rPr>
            </w:pPr>
            <w:r>
              <w:rPr>
                <w:rFonts w:ascii="Times New Roman" w:cs="Times New Roman" w:eastAsia="Times New Roman" w:hAnsi="Times New Roman"/>
                <w:sz w:val="16"/>
                <w:szCs w:val="16"/>
                <w:b w:val="1"/>
                <w:bCs w:val="1"/>
                <w:color w:val="231F20"/>
              </w:rPr>
              <w:t>27-4326290</w:t>
            </w:r>
          </w:p>
        </w:tc>
        <w:tc>
          <w:tcPr>
            <w:tcW w:w="0" w:type="dxa"/>
            <w:vAlign w:val="bottom"/>
          </w:tcPr>
          <w:p>
            <w:pPr>
              <w:spacing w:after="0"/>
              <w:rPr>
                <w:sz w:val="1"/>
                <w:szCs w:val="1"/>
                <w:color w:val="auto"/>
              </w:rPr>
            </w:pPr>
          </w:p>
        </w:tc>
      </w:tr>
      <w:tr>
        <w:trPr>
          <w:trHeight w:val="148"/>
        </w:trPr>
        <w:tc>
          <w:tcPr>
            <w:tcW w:w="350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60" w:type="dxa"/>
            <w:vAlign w:val="bottom"/>
          </w:tcPr>
          <w:p>
            <w:pPr>
              <w:jc w:val="center"/>
              <w:ind w:right="114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101 Cambridgepark Drive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right"/>
              <w:ind w:right="1966"/>
              <w:spacing w:after="0"/>
              <w:rPr>
                <w:sz w:val="20"/>
                <w:szCs w:val="20"/>
                <w:color w:val="auto"/>
              </w:rPr>
            </w:pPr>
            <w:r>
              <w:rPr>
                <w:rFonts w:ascii="Times New Roman" w:cs="Times New Roman" w:eastAsia="Times New Roman" w:hAnsi="Times New Roman"/>
                <w:sz w:val="16"/>
                <w:szCs w:val="16"/>
                <w:b w:val="1"/>
                <w:bCs w:val="1"/>
                <w:color w:val="auto"/>
              </w:rPr>
              <w:t>02140</w:t>
            </w:r>
          </w:p>
        </w:tc>
        <w:tc>
          <w:tcPr>
            <w:tcW w:w="0" w:type="dxa"/>
            <w:vAlign w:val="bottom"/>
          </w:tcPr>
          <w:p>
            <w:pPr>
              <w:spacing w:after="0"/>
              <w:rPr>
                <w:sz w:val="1"/>
                <w:szCs w:val="1"/>
                <w:color w:val="auto"/>
              </w:rPr>
            </w:pPr>
          </w:p>
        </w:tc>
      </w:tr>
      <w:tr>
        <w:trPr>
          <w:trHeight w:val="190"/>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p>
        </w:tc>
        <w:tc>
          <w:tcPr>
            <w:tcW w:w="3240" w:type="dxa"/>
            <w:vAlign w:val="bottom"/>
            <w:gridSpan w:val="4"/>
          </w:tcPr>
          <w:p>
            <w:pPr>
              <w:jc w:val="center"/>
              <w:ind w:left="927"/>
              <w:spacing w:after="0"/>
              <w:rPr>
                <w:sz w:val="20"/>
                <w:szCs w:val="20"/>
                <w:color w:val="auto"/>
              </w:rPr>
            </w:pPr>
            <w:r>
              <w:rPr>
                <w:rFonts w:ascii="Times New Roman" w:cs="Times New Roman" w:eastAsia="Times New Roman" w:hAnsi="Times New Roman"/>
                <w:sz w:val="16"/>
                <w:szCs w:val="16"/>
                <w:b w:val="1"/>
                <w:bCs w:val="1"/>
                <w:color w:val="auto"/>
              </w:rPr>
              <w:t>(617) 945-9626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3920" w:type="dxa"/>
            <w:vAlign w:val="bottom"/>
            <w:gridSpan w:val="7"/>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920" w:type="dxa"/>
            <w:vAlign w:val="bottom"/>
            <w:gridSpan w:val="7"/>
          </w:tcPr>
          <w:p>
            <w:pPr>
              <w:jc w:val="center"/>
              <w:ind w:left="227"/>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tcBorders>
              <w:bottom w:val="single" w:sz="8" w:color="auto"/>
            </w:tcBorders>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50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MCRB</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61"/>
        </w:trPr>
        <w:tc>
          <w:tcPr>
            <w:tcW w:w="3500" w:type="dxa"/>
            <w:vAlign w:val="bottom"/>
          </w:tcPr>
          <w:p>
            <w:pPr>
              <w:spacing w:after="0"/>
              <w:rPr>
                <w:sz w:val="22"/>
                <w:szCs w:val="22"/>
                <w:color w:val="auto"/>
              </w:rPr>
            </w:pPr>
          </w:p>
        </w:tc>
        <w:tc>
          <w:tcPr>
            <w:tcW w:w="4480" w:type="dxa"/>
            <w:vAlign w:val="bottom"/>
            <w:gridSpan w:val="8"/>
          </w:tcPr>
          <w:p>
            <w:pPr>
              <w:jc w:val="center"/>
              <w:ind w:right="16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
        </w:trPr>
        <w:tc>
          <w:tcPr>
            <w:tcW w:w="4500" w:type="dxa"/>
            <w:vAlign w:val="bottom"/>
            <w:gridSpan w:val="3"/>
          </w:tcPr>
          <w:p>
            <w:pPr>
              <w:spacing w:after="0"/>
              <w:rPr>
                <w:sz w:val="6"/>
                <w:szCs w:val="6"/>
                <w:color w:val="auto"/>
              </w:rPr>
            </w:pPr>
          </w:p>
        </w:tc>
        <w:tc>
          <w:tcPr>
            <w:tcW w:w="2240" w:type="dxa"/>
            <w:vAlign w:val="bottom"/>
            <w:tcBorders>
              <w:bottom w:val="single" w:sz="8" w:color="auto"/>
            </w:tcBorders>
            <w:gridSpan w:val="2"/>
          </w:tcPr>
          <w:p>
            <w:pPr>
              <w:spacing w:after="0"/>
              <w:rPr>
                <w:sz w:val="6"/>
                <w:szCs w:val="6"/>
                <w:color w:val="auto"/>
              </w:rPr>
            </w:pPr>
          </w:p>
        </w:tc>
        <w:tc>
          <w:tcPr>
            <w:tcW w:w="680" w:type="dxa"/>
            <w:vAlign w:val="bottom"/>
            <w:gridSpan w:val="3"/>
          </w:tcPr>
          <w:p>
            <w:pPr>
              <w:spacing w:after="0"/>
              <w:rPr>
                <w:sz w:val="6"/>
                <w:szCs w:val="6"/>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73" w:lineRule="exact"/>
        <w:rPr>
          <w:sz w:val="24"/>
          <w:szCs w:val="24"/>
          <w:color w:val="auto"/>
        </w:rPr>
      </w:pPr>
    </w:p>
    <w:p>
      <w:pPr>
        <w:jc w:val="both"/>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4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closing price of the registrant’s common stock as reported on the Nasdaq Global Select Market on June 28, 2024, was $87,098,863. Solely for purposes of this disclosure, shares of common stock held by executive officers, directors and certain stockholders of the registrant as of such date have been excluded because such holders may be deemed to be affiliates.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7, 2025 there were 174,358,753 shares of the registrant’s common stock, par value $0.001 per share, outstanding.</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p>
      <w:pPr>
        <w:ind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2025 Annual Meeting of Stockholders to be filed with the SEC within 120 days after the end of the fiscal year ended December 31, 2024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w:t>
            </w:r>
          </w:p>
        </w:tc>
        <w:tc>
          <w:tcPr>
            <w:tcW w:w="76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660" w:type="dxa"/>
            <w:vAlign w:val="bottom"/>
            <w:tcBorders>
              <w:bottom w:val="single" w:sz="8" w:color="0000EE"/>
            </w:tcBorders>
            <w:vMerge w:val="continue"/>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8560" w:type="dxa"/>
            <w:vAlign w:val="bottom"/>
            <w:gridSpan w:val="2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16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20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86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00" w:type="dxa"/>
            <w:vAlign w:val="bottom"/>
            <w:gridSpan w:val="4"/>
          </w:tcPr>
          <w:p>
            <w:pPr>
              <w:spacing w:after="0"/>
              <w:rPr>
                <w:sz w:val="17"/>
                <w:szCs w:val="17"/>
                <w:color w:val="auto"/>
              </w:rPr>
            </w:pP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[Reserved]</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4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0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2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3"/>
          </w:tcPr>
          <w:p>
            <w:pPr>
              <w:spacing w:after="0"/>
              <w:rPr>
                <w:sz w:val="17"/>
                <w:szCs w:val="17"/>
                <w:color w:val="auto"/>
              </w:rPr>
            </w:pPr>
          </w:p>
        </w:tc>
        <w:tc>
          <w:tcPr>
            <w:tcW w:w="744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III.</w:t>
            </w:r>
          </w:p>
        </w:tc>
        <w:tc>
          <w:tcPr>
            <w:tcW w:w="6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0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2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80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40" w:type="dxa"/>
            <w:vAlign w:val="bottom"/>
            <w:gridSpan w:val="3"/>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4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16"/>
          </w:tcPr>
          <w:p>
            <w:pPr>
              <w:ind w:left="414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without limitation statements regarding our future results of operations and financial position, requirement for additional funding, business strategy, ability to recognize the benefits of the Transaction (as defined herein), including the Second Installment Payment (as defined herein) and Transaction Consideration (as defined herein), prospective products, product approvals, research and development costs, timing and likelihood of success, our ability to continue as a going concern, our ability to implement a reverse stock split and regain compliance with any applicable Nasdaq listing requirements, or the timing of any of the foregoing,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Annual Report on Form 10-K.</w:t>
      </w:r>
    </w:p>
    <w:p>
      <w:pPr>
        <w:spacing w:after="0" w:line="8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proprietary rights to trademarks used in this Annual Report on Form 10-K,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760" w:right="3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in order to advance development of our product candidates and commercialize our product candidates, if approved. If we are unable to raise capital or secure a partnership when needed, we could be forced to delay, reduce or eliminate our product development programs or any potential future commercialization efforts.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company and have incurred significant losses since our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760" w:hanging="378"/>
        <w:spacing w:after="0" w:line="312" w:lineRule="auto"/>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amount of the Second Installment Payment (as defined herein) and Milestone Payments (as defined herein) we may receive from the Transaction, and the amounts payable or due under the Profit Sharing Payments (as defined herein), are subject to various risks and uncertainties.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left="380" w:right="1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anticipated benefits of the Transaction (as defined herein), and we may face new challenges as a smaller, less diversified company.</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notice of the failure to satisfy a continued listing rule from The Nasdaq Stock Market LLC.</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380" w:right="7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of certain of our product candidates and may not be successful in our efforts to use our reverse translational platform to build a pipeline of product candidates and develop additional marketable drugs.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live biotherapeutics, which is a novel approach to therapeutic intervention.</w:t>
      </w:r>
    </w:p>
    <w:p>
      <w:pPr>
        <w:spacing w:after="0" w:line="11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risky, lengthy and expensive process, with an uncertain outcome. We may incur additional costs or experience delays in completing, or ultimately be unable to complete, the development and any potential future commercialization of our product candidates.</w:t>
      </w:r>
    </w:p>
    <w:p>
      <w:pPr>
        <w:spacing w:after="0" w:line="67" w:lineRule="exact"/>
        <w:rPr>
          <w:rFonts w:ascii="Times New Roman" w:cs="Times New Roman" w:eastAsia="Times New Roman" w:hAnsi="Times New Roman"/>
          <w:sz w:val="18"/>
          <w:szCs w:val="18"/>
          <w:color w:val="auto"/>
        </w:rPr>
      </w:pPr>
    </w:p>
    <w:p>
      <w:pPr>
        <w:ind w:left="380" w:right="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result in our receipt of necessary regulatory approvals being delayed or prevented.</w:t>
      </w:r>
    </w:p>
    <w:p>
      <w:pPr>
        <w:spacing w:after="0" w:line="53" w:lineRule="exact"/>
        <w:rPr>
          <w:rFonts w:ascii="Times New Roman" w:cs="Times New Roman" w:eastAsia="Times New Roman" w:hAnsi="Times New Roman"/>
          <w:sz w:val="18"/>
          <w:szCs w:val="18"/>
          <w:color w:val="auto"/>
        </w:rPr>
      </w:pPr>
    </w:p>
    <w:p>
      <w:pPr>
        <w:ind w:left="380" w:right="24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71"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380" w:right="1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such product candidates may fail to achieve the degree of market acceptance by physicians, patients, hospitals,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380" w:right="3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0" w:right="14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company focused on improving patient outcomes in medically vulnerable populations through novel live biotherapeutics. We led the successful development and approval of VOWST, the first FDA-approved orally administered microbiome therapeutic, which was sold to Société des Produits Nestlé S.A., or SPN, and with certain of its affiliates, collectively, Nestlé Health Science, in September 2024. We are progressing the development of SER-155, an investigational, oral, live biotherapeutic designed to decolonize gastrointestinal, or GI, pathogens, improve epithelial barrier integrity, and regulate immune response to prevent bacterial bloodstream infections, or BSIs, as well as other pathogen-associated negative clinical outcomes in patients undergoing allogeneic hematopoietic stem cell transplantation, or allo-HSCT. SER-155 and our other pipeline programs are designed to target multiple disease-relevant pathways and are manufactured from standard clonal cell banks via single-strain cultivation, rather than from the donor-sourced production process used for VOWST.</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our placebo-controlled Phase 1b study of SER-155 in allo-HSCT, Cohort 2 results demonstrated that SER-155 was associated with a significant reduction in both bloodstream infections and systemic antibiotic exposure as well as a lower incidence of febrile neutropenia, as compared to placebo through day 100 post-HSCT. SER-155 was generally well tolerated, with no observed treatment-related serious adverse events. In December 2024, the FDA granted Breakthrough Therapy designation to SER-155 for the reduction of BSIs in patients 18 years and older undergoing allo-HSCT. 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first quarter of 2025, we received feedback from the FDA regarding the development strategy for SER-155 in patients undergoing allo-HSCT. The FDA provided input on certain elements of the next study, including a recommendation for a Phase 2 study and support for a reduction in BSIs 30 days post HSCT as the primary endpoint, and confirmed their expectations for the manufacture and control of SER-155. Incorporating the feedback, we are designing the next SER-155 allo-HSCT study, which we believe could be either a standalone Phase 2, or a Phase 2 as part of a Phase 2/3 seamless design. Both development paths are expected to include an adaptive design, with meaningful interim data analysis, when approximately half of the enrolled patients have reached the primary endpoint timepoint, informing the study path forward and potential indication expansion. The next study protocol will preserve many elements of the SER-155 Phase 1b study. We plan to submit the draft protocol, which we anticipate will be informed by potential further FDA interaction and partnership discussions, to the FDA in the second quarter of 2025 to obtain further feedback.</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live biotherapeutic candidates are consortia of bacteria designed to optimize specific, targeted pharmacological properties, and are formulated for oral delivery. We maintain a differentiated live biotherapeutics drug discovery and development platform that includes good manufacturing practices, or GMP, manufacturing capabilities for this novel drug modality. We are designing live biotherapeutic candidates optimized to prevent the colonization and overgrowth of pathogens in the gastrointestinal tract and modulate host function to increase epithelium integrity and to induce immune tolerance. We believe clinical and nonclinical data across our programs support the development of live biotherapeutics to target the prevention and treatment of a broad swath of infections, and in inflammatory and immune diseases. We believe that the scientific and clinical data from the development of VOWST (our then product candidate SER-109 program) and the data from the SER-155 Phase 1b study validate this novel therapeutic approach in the context of infection. We believe this approach may be replicable across different bacterial pathogens to develop live biotherapeutics with the potential to protect a range of medically compromised patients from infections, including pathogens that harbor AMR.</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allo-HSCT, we intend to evaluate SER-155 and other cultivated live biotherapeutic candidates in other medically vulnerable patient populations including autologous-HSCT patients, cancer patients with neutropenia, chimeric antigen receptors therapy, or CAR-T, recipients, individuals with chronic liver disease, or CLD, solid organ transplant recipients, as well as patients in the intensive care unit and long-term acute care facilities. We are conducting Investigational New Drug Application, or IND-, enabling activities for SER-147. Additional efforts in the early-stage portfolio are focused on the SER-301 program in inflammatory bowel disease, or IBD, with programmatic objectives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In addition, we continue to leverage microbiome pharmacokinetic and pharmacodynamic data from across our clinical and preclinical portfolios, using our reverse translational development platform to prioritize future drug targets and to identify opportunities for combination therapies across various indications, including inflammatory and immune diseases, cancer, and metabolic diseases.</w:t>
      </w:r>
    </w:p>
    <w:p>
      <w:pPr>
        <w:spacing w:after="0" w:line="8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which we call our MbTx Platform, for the discovery and development of live biotherapeutics,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right="300"/>
        <w:spacing w:after="0" w:line="258" w:lineRule="auto"/>
        <w:rPr>
          <w:sz w:val="20"/>
          <w:szCs w:val="20"/>
          <w:color w:val="auto"/>
        </w:rPr>
      </w:pPr>
      <w:r>
        <w:rPr>
          <w:rFonts w:ascii="Times New Roman" w:cs="Times New Roman" w:eastAsia="Times New Roman" w:hAnsi="Times New Roman"/>
          <w:sz w:val="18"/>
          <w:szCs w:val="18"/>
          <w:color w:val="auto"/>
        </w:rPr>
        <w:t>and in vivo disease models customized for live biotherapeutics; and microbiological capabilities and a strain library that spans broad biological and functional breadth. This platform and knowledge base enables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we own a valuable intellectual property estate related to the development and manufacture of live biotherapeutics.</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assembled a world class group of scientists, clinicians, directors and investors, who have established our leadership in the field of live biotherapeutics.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and know-how in live biotherapeutics, drug development, commercialization, chemistry, manufacturing and controls, or CMC, public company management and finance.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goal is to remain the leading biopharmaceutical company developing live biotherapeutics to address significant unmet medical needs. We intend to focus in the near term on progressing the development of SER-155 and to maximize the opportunity of live biotherapeutics utilizing our differentiated drug discovery, development and manufacturing platforms and capabilities.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Advancing our Programs</w:t>
      </w:r>
    </w:p>
    <w:p>
      <w:pPr>
        <w:spacing w:after="0" w:line="115" w:lineRule="exact"/>
        <w:rPr>
          <w:sz w:val="20"/>
          <w:szCs w:val="20"/>
          <w:color w:val="auto"/>
        </w:rPr>
      </w:pPr>
    </w:p>
    <w:p>
      <w:pPr>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Progressing the development of SER-155. </w:t>
      </w:r>
      <w:r>
        <w:rPr>
          <w:rFonts w:ascii="Times New Roman" w:cs="Times New Roman" w:eastAsia="Times New Roman" w:hAnsi="Times New Roman"/>
          <w:sz w:val="18"/>
          <w:szCs w:val="18"/>
          <w:color w:val="auto"/>
        </w:rPr>
        <w:t>As our first priority, we are progressing the development of SER-155, an investigational, oral,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live biotherapeutic designed to decolonize GI pathogens, improve epithelial barrier integrity, and regulate immune response to prevent bacterial BSIs as well as other pathogen-associated negative clinical outcomes in patients undergoing allo-HSCT. In December 2023, we received Fast Track Designation for SER-155 to reduce the risk of infection and GvHD in patients undergoing allo-HSCT. In September 2024, we announced topline clinical data from Cohort 2 of the SER-155 Phase 1b placebo-controlled study in patients undergoing allo-HSCT, in which SER-155 was associated with a significant reduction in BSIs (77% relative risk reduction), a significant reduction in systemic antibiotic exposure, and lower incidence of febrile neutropenia, in each case as compared to placebo, through day 100 post-HSCT. Additionally, SER-155 was generally well tolerated, with no observed treatment-related serious adverse events. In December 2024, the FDA granted Breakthrough Therapy designation to SER-155 for the reduction of BSIs in patients 18 years and older undergoing allo-HSCT. 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In the first quarter of 2025, we received feedback from the FDA regarding the development strategy for SER-155 in patients undergoing allo-HSCT. The FDA provided input on certain elements of the next study, including a recommendation for a Phase 2 study and support for a reduction in BSIs 30 days post HSCT as the primary endpoint, and confirmed their expectations for the manufacture and control of SER-155. Incorporating the feedback, we are designing the next SER-155 allo-HSCT study, which we believe could be either a standalone Phase 2, or a Phase 2 as part of a Phase 2/3 seamless design. Both development paths are expected to include an adaptive design, with meaningful interim data analysis, when approximately half of the enrolled patients have reached the primary endpoint timepoint, informing the study path forward and potential indication expansion. The next study protocol will preserve many elements of the SER-155 Phase 1b study. We plan to submit the draft protocol, which we anticipate will be informed by potential further FDA interaction and partnership discussions, to the FDA in the second quarter of 2025 to obtain further feedback.</w:t>
      </w:r>
    </w:p>
    <w:p>
      <w:pPr>
        <w:spacing w:after="0" w:line="79"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Maximizing the opportunity of live biotherapeutics. </w:t>
      </w:r>
      <w:r>
        <w:rPr>
          <w:rFonts w:ascii="Times New Roman" w:cs="Times New Roman" w:eastAsia="Times New Roman" w:hAnsi="Times New Roman"/>
          <w:sz w:val="18"/>
          <w:szCs w:val="18"/>
          <w:color w:val="auto"/>
        </w:rPr>
        <w:t>In addition to allo-HSCT, we intend to evaluate SER-155 and other cultivated live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 candidates in other medically vulnerable patient populations including autologous-HSCT patients, cancer patients with neutropenia, CAR-T recipients, individuals with CLD, solid organ transplant recipients, as well as patients in the intensive care unit and long-term acute care facilities. We are developing SER-147, an investigational live biotherapeutic designed to prevent bacterial bloodstream and spontaneous bacterial peritonitis, or SBP, infections in patients with metabolic disease, including CLD. CLD is a progressive condition marked by deterioration of liver function and is reaching epidemic proportions affecting nearly 1.7 billion people worldwide, causing substantial health burden on afflicted countries. In the advanced stages of CLD, known as decompensated cirrhosis, patients exhibit significant immune dysfunction, microbiome disruption, and increased contact with the healthcare system, all of which drive increased susceptibility to bacterial infections. We are conducting Investigational New Drug Application, or IND-, enabling activities for SER-147. Additional efforts in the early-stage portfolio are focused on the SER-301 program in IBD with programmatic objectives supported through a partnership with the CCF. These efforts aim to prioritize inflammatory targets and evaluate the potential to utilize biomarker-based patient selection and stratification for future studies.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i w:val="1"/>
          <w:iCs w:val="1"/>
          <w:color w:val="auto"/>
        </w:rPr>
        <w:t>Utilizing Our Capabilities</w:t>
      </w:r>
    </w:p>
    <w:p>
      <w:pPr>
        <w:spacing w:after="0" w:line="115" w:lineRule="exact"/>
        <w:rPr>
          <w:sz w:val="20"/>
          <w:szCs w:val="20"/>
          <w:color w:val="auto"/>
        </w:rPr>
      </w:pPr>
    </w:p>
    <w:p>
      <w:pPr>
        <w:ind w:left="1020" w:right="2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leading reverse translational platform to develop additional innovative and novel live biotherapeutics across a range of serious medical conditions with high unmet need including infectious and inflammatory disease and disease associated with modulation of host immunity. </w:t>
      </w:r>
      <w:r>
        <w:rPr>
          <w:rFonts w:ascii="Times New Roman" w:cs="Times New Roman" w:eastAsia="Times New Roman" w:hAnsi="Times New Roman"/>
          <w:sz w:val="18"/>
          <w:szCs w:val="18"/>
          <w:color w:val="auto"/>
        </w:rPr>
        <w:t>We believe that the combination of experience, proprietary data and proprietary know-how related to the microbiome,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properties of microbial species and strains, microbe-host interactions, the cultivation of microbial strains, and microbiome-specific functional screens and analytics provides us a competitive advantage in the design and development of live biotherapeutics. Our platform enables us to build upon our existing and growing clinical experience to rationally design treatments for acute and complex chronic diseases. We intend to leverage this advantage to develop additional innovative live biotherapeutics.</w:t>
      </w:r>
    </w:p>
    <w:p>
      <w:pPr>
        <w:spacing w:after="0" w:line="74" w:lineRule="exact"/>
        <w:rPr>
          <w:rFonts w:ascii="Times New Roman" w:cs="Times New Roman" w:eastAsia="Times New Roman" w:hAnsi="Times New Roman"/>
          <w:sz w:val="18"/>
          <w:szCs w:val="18"/>
          <w:color w:val="auto"/>
        </w:rPr>
      </w:pPr>
    </w:p>
    <w:p>
      <w:pPr>
        <w:ind w:left="1020" w:right="20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manufacturing capabilities sufficient to support commercialization of any approved live biotherapeutic candidates. </w:t>
      </w:r>
      <w:r>
        <w:rPr>
          <w:rFonts w:ascii="Times New Roman" w:cs="Times New Roman" w:eastAsia="Times New Roman" w:hAnsi="Times New Roman"/>
          <w:sz w:val="18"/>
          <w:szCs w:val="18"/>
          <w:color w:val="auto"/>
        </w:rPr>
        <w:t>Live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 manufacturing requires capabilities that are distinct from other biologic drugs. We have made strategic investments in manufacturing capabilities to help ensure that we maintain control of our know-how and also because we believe these capabilities will be necessary and highly advantageous for the development of future live biotherapeutic candidates. Our bioprocess and manufacturing personnel are focused on creating a platform of manufacturing expertise that will set the stage for further advances in the emerging field of live biotherapeutics.</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regulatory success in a novel drug modality. </w:t>
      </w:r>
      <w:r>
        <w:rPr>
          <w:rFonts w:ascii="Times New Roman" w:cs="Times New Roman" w:eastAsia="Times New Roman" w:hAnsi="Times New Roman"/>
          <w:sz w:val="18"/>
          <w:szCs w:val="18"/>
          <w:color w:val="auto"/>
        </w:rPr>
        <w:t>Live biotherapeutics are a novel drug modality. Regulatory requirements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novel modalities can be complex, ensuring the safety and efficacy of the specific drug and also the manufacturing process, consistency, quality, and other potential effects of the platform. We led the successful development, manufacturing, and approval of VOWST, the first FDA-approved orally administered microbiome therapeutic. This approval required substantial engagement with the FDA to develop relevant standards for live biotherapeutics and then achieve them for VOWST. We believe these experiences provide capability and experience for the development, manufacturing, and regulatory engagement supporting all of our other programs.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Live Biotherapeutics Platform</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developed the leading reverse translational biotherapeutics platform and knowledge base which we believe enables us to apply our capabilities to efficiently identify, manufacture and develop novel live biotherapeutics for serious human diseases. We use a reverse translational discovery platform that incorporates analysis of microbiome biomarkers from human clinical data and preclinical assessments using human cell-based assays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vitro/ex 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functional screening and disease models. Specifically, to identify specific microbiome and host signatures that associate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the onset of disease, we utilize data sets from healthy subjects and subjects with disease, or being treated for a disease, to delineate at high-resolution the microbial composition and functional profiles of the microbiome and the physiological state of subjects. These in-human insights on how different microbe species and strains and microbe-associated metabolites, genes, or peptides are associated with disease along with how these microbes and metabolites directly or indirectly modulate disease-relevant functional pathways in the host are leveraged in preclinical drug design, optimization and development.</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discovery process begins with human data derived from clinical trials and cohort studies, which we use as a data input for target identification and the design of our live biotherapeutic candidates. We compare healthy, normal colonic microbiomes to those in an unhealthy disrupted or disease state, revealing the ecological, compositional and functional differences between various states of disease and during the transition from health to disease or vice versa. Specifically, we utilize clinical data sets combined with advanced data sciences and customized, proprietary microbiome analytics to identify microbiome signatures of disease at the resolution of specific species and strains, metabolites, or genes that are associated with disease states. These microbiome biomarkers are associated with host signatures and biomarkers of disease to identify drug targets for our live biotherapeutics. Our clinical data from the VOWST (developed as SER-109), SER-301, SER-155, and other programs, and microbiome data generated with external collaborators, serve to instruct us on how the introduction of certain keystone microbes have the potential to restructure the microbiome and modulate the metabolic state of the gut to shift it to a non-disease state.</w:t>
      </w:r>
    </w:p>
    <w:p>
      <w:pPr>
        <w:spacing w:after="0" w:line="80" w:lineRule="exact"/>
        <w:rPr>
          <w:sz w:val="20"/>
          <w:szCs w:val="20"/>
          <w:color w:val="auto"/>
        </w:rPr>
      </w:pPr>
    </w:p>
    <w:p>
      <w:pPr>
        <w:jc w:val="both"/>
        <w:ind w:right="40" w:firstLine="509"/>
        <w:spacing w:after="0" w:line="276" w:lineRule="auto"/>
        <w:rPr>
          <w:sz w:val="20"/>
          <w:szCs w:val="20"/>
          <w:color w:val="auto"/>
        </w:rPr>
      </w:pPr>
      <w:r>
        <w:rPr>
          <w:rFonts w:ascii="Times New Roman" w:cs="Times New Roman" w:eastAsia="Times New Roman" w:hAnsi="Times New Roman"/>
          <w:sz w:val="17"/>
          <w:szCs w:val="17"/>
          <w:color w:val="auto"/>
        </w:rPr>
        <w:t>We have developed a proprietary, functionally characterized strain library and a suite of assays and screens, bioinformatics and computational tools, and databases, which facilitate our insights into the human microbiome. We have established proprietary, curated, reference databases and algorithms that:</w:t>
      </w:r>
    </w:p>
    <w:p>
      <w:pPr>
        <w:spacing w:after="0" w:line="1" w:lineRule="exact"/>
        <w:rPr>
          <w:sz w:val="20"/>
          <w:szCs w:val="20"/>
          <w:color w:val="auto"/>
        </w:rPr>
      </w:pPr>
    </w:p>
    <w:p>
      <w:pPr>
        <w:ind w:firstLine="8"/>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integrate high-resolution genomic, metagenomic, metabolomic, and transcriptomic data sets, as well as data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human cell-based functional screening assays, and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and (ii) enable us to track changes in the microbiome at the level of microbial species and individual strains and associate these changes with changes in the metabolic state of the gut and host physiology at the level of specific functional pathways. Our analytics can integrate gene profiling and metabolomics data (the small molecules made by the microbiome) with genomic data (the collection of microbes defined by sequencing) to delineate microbiome biomarkers (the specific species or strains and metabolites or functional pathways) that contribute to the state of disease or health. Further, we have established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analytics for pharmacokinetic and pharmacodynamic assessments of live biotherapeutics. Additionally, leveraging all of these data we have curated and continue to build a database that links and associates: (i) functional properties of microbial species/strains, (ii) functional pathways in hosts that can be modulated by the microbiome, (iii) the association of functional pathways to disease, and (iv)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8" w:name="page9"/>
    <w:bookmarkEnd w:id="8"/>
    <w:p>
      <w:pPr>
        <w:ind w:right="340"/>
        <w:spacing w:after="0" w:line="266" w:lineRule="auto"/>
        <w:rPr>
          <w:sz w:val="20"/>
          <w:szCs w:val="20"/>
          <w:color w:val="auto"/>
        </w:rPr>
      </w:pPr>
      <w:r>
        <w:rPr>
          <w:rFonts w:ascii="Times New Roman" w:cs="Times New Roman" w:eastAsia="Times New Roman" w:hAnsi="Times New Roman"/>
          <w:sz w:val="18"/>
          <w:szCs w:val="18"/>
          <w:color w:val="auto"/>
        </w:rPr>
        <w:t>association of existing non-microbiome drugs to the functional pathways. This continually growing database is structured to be efficiently mined using graphDB, machine learning and artificial intelligence algorithms to inform drug targets, drug design and optimization, and disease area and patient population prioritization.</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proprietary strain library of bacterial isolates from healthy donors and patients enables us to translate microbiome biomarker insights into defined consortia of bacteria. The strain library contains bacterial species isolated from individuals that are either healthy or that have a disease. We have developed extensive isolation and cultivation know-how. The strain library contains a majority of the Human Microbiome Project’s “most wanted” and many novel species we do not believe are described in other databases or the scientific literature. The functional properties of strains are characterized using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cell-based assays as well as full-genome sequences and genome functional annotation. Functional characterization of target strains includes properties such as how the bacteria interact with human colonic epithelial cells and human immune cells. We also seek to understand how these microbes improve the health of epithelial barrier cells in the gut and how they may modulate immune responses.</w:t>
      </w:r>
    </w:p>
    <w:p>
      <w:pPr>
        <w:spacing w:after="0" w:line="79"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select bacteria from our library with specific predicted properties using novel algorithms for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functional design and optimization and grow the compositions in the lab to be tested both </w:t>
      </w:r>
      <w:r>
        <w:rPr>
          <w:rFonts w:ascii="Times New Roman" w:cs="Times New Roman" w:eastAsia="Times New Roman" w:hAnsi="Times New Roman"/>
          <w:sz w:val="18"/>
          <w:szCs w:val="18"/>
          <w:i w:val="1"/>
          <w:iCs w:val="1"/>
          <w:color w:val="auto"/>
        </w:rPr>
        <w:t>in vitro/ex vivo models</w:t>
      </w:r>
      <w:r>
        <w:rPr>
          <w:rFonts w:ascii="Times New Roman" w:cs="Times New Roman" w:eastAsia="Times New Roman" w:hAnsi="Times New Roman"/>
          <w:sz w:val="18"/>
          <w:szCs w:val="18"/>
          <w:color w:val="auto"/>
        </w:rPr>
        <w:t xml:space="preserve"> as delineated above and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Our animal models include conventional mice, germ-free mice, and “microbiome humanized avatar” mice that possess only bacteria derived from humans; these models were developed to minimize confounding variables presented by model organism microbes. Data from our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screens are analyzed and used to optimize compositional designs; introducing new bacterial strains and optimizing existing strains until we identify a lead composition with the desired profile and that is suitable for clinical testing.</w:t>
      </w:r>
    </w:p>
    <w:p>
      <w:pPr>
        <w:spacing w:after="0" w:line="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Finally, we manufacture the bacterial composition under current Good Manufacturing Practices, or cGMP, or similar foreign requirements,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Disease Overview and Our Product Pipeline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live biotherapeutic product candidates represent a novel approach with potential application across a broad range of human diseases. We led the successful development and approval of VOWST, the first FDA-approved orally administered microbiome therapeutic, which was sold to Nestlé Health Science in September 2024. We are progressing the development of SER-155, an investigational, oral, live biotherapeutic designed to decolonize GI pathogens, improve epithelial barrier integrity, and regulate immune response to prevent BSIs as well as other pathogen-associated negative clinical outcomes in patients undergoing allo-HSCT. In our placebo-controlled Phase 1b study of SER-155 in allo-HSCT, Cohort 2 results demonstrated that SER-155 was associated with a significant reduction in both bloodstream infections and systemic antibiotic exposure as well as a lower incidence of febrile neutropenia, as compared to placebo through day 100 post HSCT. SER-155 was generally well tolerated, with no observed treatment-related serious adverse events. In December 2024, the FDA granted Breakthrough Therapy designation to SER-155 for the reduction of BSIs in patients 18 years and older undergoing allo-HSCT.</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first quarter of 2025, we received feedback from the FDA regarding the development strategy for SER-155 in patients undergoing allo-HSCT. The FDA provided input on certain elements of the next study, including a recommendation for a Phase 2 study and support for a reduction in BSIs 30 days post HSCT as the primary endpoint, and confirmed their expectations for the manufacture and control of SER-155. Incorporating the feedback, we are designing the next SER-155 allo-HSCT study, which we believe could be either a standalone Phase 2, or a Phase 2 as part of a Phase 2/3 seamless design. Both development paths are expected to include an adaptive design, with meaningful interim data analysis, when approximately half of the enrolled patients have reached the primary endpoint timepoint, informing the study path forward and potential indication expansion. The next study protocol will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280"/>
        <w:spacing w:after="0" w:line="282" w:lineRule="auto"/>
        <w:rPr>
          <w:sz w:val="20"/>
          <w:szCs w:val="20"/>
          <w:color w:val="auto"/>
        </w:rPr>
      </w:pPr>
      <w:r>
        <w:rPr>
          <w:rFonts w:ascii="Times New Roman" w:cs="Times New Roman" w:eastAsia="Times New Roman" w:hAnsi="Times New Roman"/>
          <w:sz w:val="18"/>
          <w:szCs w:val="18"/>
          <w:color w:val="auto"/>
        </w:rPr>
        <w:t>preserve many elements of the SER-155 Phase 1b study. We plan to submit the draft protocol, which we anticipate will be informed by potential further FDA interaction and partnership discussions, to the FDA in the second quarter of 2025 to obtain further feedback.</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allo-HSCT, we intend to evaluate SER-155 and other cultivated live biotherapeutic candidates in other medically vulnerable patient populations including autologous-HSCT patients, cancer patients with neutropenia, CAR-T recipients, individuals with chronic liver disease, solid organ transplant recipients, as well as patients in the intensive care unit and long-term acute care facilities. Additional efforts in the early-stage portfolio are focused on the SER-301 program in IBD with programmatic objectives supported through a partnership with CCF. These efforts aim to leverage our clinical results and biological mechanism insights to functionally characterize patient subpopulations and to define associated biomarkers for IBD patient selection and stratification of patients where the gastrointestinal microbiome plays an active role in inflammation and could be modified to reduce colitis. In addition, we continue to leverage microbiome pharmacokinetic and pharmacodynamic data from across our clinical and preclinical portfolios, using our reverse translational development platform to prioritize future drug targets and opportunities for combination therapies across various indications, including inflammatory and immune diseases, cancer, and metabolic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our VOWST Business to SPN</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VOWST (previously referred to as SER-109) was approved by the FDA on April 26, 2023, to prevent recurrence of CDI in individuals 18 years of age or older following antibacterial treatment for recurrent CDI. We launched VOWST in the United States with our then collaborator, Nestlé Health Science, in June 2023. On August 5, 2024, we entered into an Asset Purchase Agreement, or Purchase Agreement, with SPN, a wholly-owned subsidiary of Nestlé S.A., pursuant to which, after approval by our stockholders at a special meeting of stockholders held on September 26, 2024, we sold our VOWST microbiome therapeutic business, or the VOWST Business, to SPN and its designated affiliates on September 30, 2024, or the Transaction. Following the completion of the Transaction, or the Closing, our headcount decreased from approximately 200 to 100, principally due to the transition of manufacturing and quality team members from Seres to Nestlé Health Science, positioning us to efficiently progress SER-155 and our other wholly-owned cultivated live biotherapeutic candidates.</w:t>
      </w:r>
    </w:p>
    <w:p>
      <w:pPr>
        <w:spacing w:after="0" w:line="84"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Purchase Agreement, we sold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or the Product, to SPN, and SPN assumed certain liabilities from us. As consideration for the Transaction, SPN paid or agreed to pay us, as applicable, the following Transaction Consideration:</w:t>
      </w:r>
    </w:p>
    <w:p>
      <w:pPr>
        <w:spacing w:after="0" w:line="75" w:lineRule="exact"/>
        <w:rPr>
          <w:sz w:val="20"/>
          <w:szCs w:val="20"/>
          <w:color w:val="auto"/>
        </w:rPr>
      </w:pPr>
    </w:p>
    <w:p>
      <w:pPr>
        <w:ind w:left="1020" w:right="2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upon Closing, of $100 million, less approximately $17.9 million owed by us to an affiliate of SPN as of March 31, 2024 under the prior license agreement between us and the SPN affiliate, and less approximately CHF 2.0 million in satisfaction of fees due under an existing manufacturing agreement between us and Bacthera;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due on July 1, 2025, or the Second Installment Payment (to be reduced by approximately $1.5 million related to certain employment obligations assumed by SPN, as described below), conditioned on our material compliance with obligations under the TSA (as defined below), which was entered into at Closing between us and Nestlé Enterprises S.A., an affiliate of SPN, or NESA;</w:t>
      </w:r>
    </w:p>
    <w:p>
      <w:pPr>
        <w:spacing w:after="0" w:line="71"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milestone payment tied to the achievement of worldwide annual net sales of the Product of $150 million, or the First Sales Milestone, which was paid in cash at Closing, or the Prepaid Milestone,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(as defined below); and</w:t>
      </w:r>
    </w:p>
    <w:p>
      <w:pPr>
        <w:spacing w:after="0" w:line="75"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period from Closing until December 31 of the calendar year in which the tenth anniversary of Closing occurs, or the Milestone Period, and together, the Future Milestone Payments and, together with the Prepaid Milestone, the Milestone Payments.</w:t>
      </w:r>
    </w:p>
    <w:p>
      <w:pPr>
        <w:spacing w:after="0" w:line="17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 Risks Related to Our Financial Position and Need for Additional Capital— The total amount of the Second Installment 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Milestone Payments we will receive from the Transaction, and the amounts payable or due under the Profit Sharing Payments, are subject to various risks and uncertainties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(1) first, by set-off against all accrued interest on the Prepaid Milestone until the amount of such accrued interest has been paid in full, (2) second, by set-off against the outstanding balance of the Prepaid Milestone until the Prepaid Milestone has been repaid in full and (3) thereafter, in cash. If any amount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20"/>
        <w:spacing w:after="0" w:line="261" w:lineRule="auto"/>
        <w:rPr>
          <w:sz w:val="20"/>
          <w:szCs w:val="20"/>
          <w:color w:val="auto"/>
        </w:rPr>
      </w:pPr>
      <w:r>
        <w:rPr>
          <w:rFonts w:ascii="Times New Roman" w:cs="Times New Roman" w:eastAsia="Times New Roman" w:hAnsi="Times New Roman"/>
          <w:sz w:val="18"/>
          <w:szCs w:val="18"/>
          <w:color w:val="auto"/>
        </w:rPr>
        <w:t>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Second Installment Payment due on July 1, 2025 will be reduced by approximately $1.5 million related to certain employment obligations assumed by SPN with respect to the period ending as of the Closing Date.</w:t>
      </w:r>
    </w:p>
    <w:p>
      <w:pPr>
        <w:spacing w:after="0" w:line="7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and SPN share 50/50 in the net profit or net loss achieved during the period from the Closing Date until December 31, 2025, or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we will reimburse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w:t>
      </w:r>
    </w:p>
    <w:p>
      <w:pPr>
        <w:spacing w:after="0" w:line="8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estimated the costs associated with these future payments and recorded them within accrued liabilities due to SPN - related party on our consolidated balance sheets as of the Closing on September 30, 2024. As of December 31, 2024, the contingent liabilities included $11.2 million associated with the Profit Sharing Payments, $2.8 million associated with the MSK Agreement, $1.5 million associated with our obligation to pay 80.1% of the costs associated with the lease of the Waltham facility through December 31, 2025, $1.5 million associated with certain employment-related costs for conveying employees, and $0.8 million associated with our ongoing post-marketing safety study of VOWST. The contingent liabilities are remeasured at each reporting period based on (i) cash payments made by the Company to reduce the accrued liabilities due to SPN - related party and (ii) revised estimates of the total remaining liabilities due to SPN - related party. We recorded a gain of $5.7 million for the three and twelve months ended December 31, 2024 primarily as a result of SPN's actual fourth quarter of 2024 Profit Sharing as compared to the estimate as of the Closing.</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At Closing, in exchange for a payment to be made by SPN to Bacthera AG, the Long Term Manufacturing Agreement, dated November 8, 2021, between the Company and Bacthera AG, or the Bacthera Manufacturing Agreement, was terminated and each of Bacthera and Seres released one another from any and losses, liabilities or other obligations arising thereunder with respect to the period ending as of the Closing Date, including without limitation any milestone payments required to be paid to Bacthera thereunder.</w:t>
      </w:r>
    </w:p>
    <w:p>
      <w:pPr>
        <w:spacing w:after="0" w:line="7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In connection with the Closing, we and SPN entered into a securities purchase agreement, or the Securities Purchase Agreement, pursuant to which SPN purchased 14,285,715 shares of our common stock, or the Shares, at Closing, at a purchase price per share of $1.05, for an aggregate purchase price of $15 million. Under the terms of the Securities Purchase Agreement, SPN agreed not to sell or transfer the Shares for a period of six months after Closing, subject to certain customary exceptions. We agreed to register the resale of the Shares by SPN within 90 days of Closing. On October 1, 2024, we filed a registration statement to register the Shares, which became effective on October 11, 2024. In addition, under the terms of the Securities Purchase Agreement, for as long as SPN, together with its affiliates, beneficially owns at least 10% of our outstanding shares of common stock, we agreed to take such action within our control to include one individual designated by SPN in the slate of nominees recommended by our board of directors (or the applicable committee of the board of directors) to our stockholders for election to the board of directors at the applicable stockholder meeting. SPN designated Hans-Juergen Woerle, M.D., Ph.D., and on February 4, 2025, our board of directors appointed Dr. Woerle to the board as a Class III director, with a term expiring at our 2027 annual meeting of stockholders. The Securities Purchase Agreement contains customary representations and warranties and closing conditions.</w:t>
      </w:r>
    </w:p>
    <w:p>
      <w:pPr>
        <w:spacing w:after="0" w:line="84"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connection with the Closing, we entered into a Transition Services Agreement, or the TSA, with NESA, which provides for services to be performed by us in order to facilitate a transition of the business associated with the VOWST Business to NESA and its affiliates. The scope of the transition services includes the provision of certain manufacturing services and certain administrative functions related to the VOWST Business and operations, including the maintenance of certain manufacturing services and the related facility in which such services are currently conducted. We will provide the manufacturing services until December 31, 2025, which period may be extended by up to six months (solely to ensure the manufacturing facility is in a state of compliance with the biologics license application for VOWST and readiness for potential regulatory inspection), and other services, for the duration specified in the schedule to the TSA for each service. NESA has agreed to pay us for certain fixed costs, including a monthly fixed fee and a variable per batch fee for preserved raw material suspension, or PRMS, manufacturing, and will reimburse us for certain costs of the transition services performed by us under the TSA. The know-how and other intellectual property generated in connection with the performance of the TSA will be owned by NESA with us having a non-exclusive license to such know-how and other intellectual property under the Cross-License Agreement. During the term of the TSA, upon NESA's request, we will transfer the specifications for materials and documentation necessary to enable PRMS manufacturing services to a third party service provider designated by NESA. In the event of a material failure by us to deliver PRMS under the TSA, NESA will have step-in rights to negotiate to enter into a direct lease with the landlord of the manufacturing facility with respect to the portion of such facility used in connection with the VOWST Business or to cause such services to be performed, with any reasonable out-of-pocket costs and expenses incurred in connection therewith reimbursed by us.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Closing, we entered into a cross-license agreement with SPN under which, we granted to SPN a perpetual, worldwide, non-exclusive, fully paid-up license under certain Seres patents that have been issued or will issue in the future and current know-how controlled by us that is not transferred to SPN pursuant to the Purchase Agreement. In the field of the treatment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infections, or CDI, and rCDI and associated complications, or collectively, the CDI Field, the license to SPN under such Seres patents and know-how is exclusive to SPN for five years after the Closing and co-exclusive between SPN and Seres following that five year period. The license from Seres to SPN is to issued Seres patents that currently or in the future cover the Product or improvements thereof and know-how that is used or reasonably useful in connection with the exploitation of the VOWST Business. See “Intellectual Property” below.</w:t>
      </w:r>
    </w:p>
    <w:p>
      <w:pPr>
        <w:spacing w:after="0" w:line="8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parties entered into assignment and assumption of lease agreements, or the Assignment and Assumption Agreements. Under the Assignment and Assumption Agreements, we assigned to SPN or its designated affiliates, our rights in, to and under certain real property leases, and SPN or its designated affiliates assumed the liabilities related thereto.</w:t>
      </w:r>
    </w:p>
    <w:p>
      <w:pPr>
        <w:spacing w:after="0" w:line="68"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Closing, the parties entered into an employee support agreement, or the Employee Support Agreement. Under the Employee Support Agreement, among other things and subject to the terms and conditions therein, certain of our employees related to the VOWST Business who accepted employment with SPN or one of its designated affiliates provided the services they provided to us prior to the Transaction to SPN, as well as other services as SPN may reasonably request, from Closing until the day prior to the beginning of SPN’s or its designated affiliate’s next pay period following the Closing. SPN will reimburse our out of pocket costs in connection with such employees’ services, including certain compensation and benefits paid or provided to such employees pursuant to the terms of the Employee Support Agreement. All such employees have transferred to SPN as of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Infection Risk Reduction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the scientific and clinical data from our SER-109 program validate our novel approach of using live biotherapeutics to decolonize pathogens and improve epithelial barrier integrity, resulting in reduced rate of infections in medically compromised patients. Data from the SER-109 ECOSPOR III and ECOSPOR IV Phase 3 trial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(Feuerstadt et al., 2022) and </w:t>
      </w:r>
      <w:r>
        <w:rPr>
          <w:rFonts w:ascii="Times New Roman" w:cs="Times New Roman" w:eastAsia="Times New Roman" w:hAnsi="Times New Roman"/>
          <w:sz w:val="18"/>
          <w:szCs w:val="18"/>
          <w:i w:val="1"/>
          <w:iCs w:val="1"/>
          <w:color w:val="auto"/>
        </w:rPr>
        <w:t>Journal of the American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Medical Association </w:t>
      </w:r>
      <w:r>
        <w:rPr>
          <w:rFonts w:ascii="Times New Roman" w:cs="Times New Roman" w:eastAsia="Times New Roman" w:hAnsi="Times New Roman"/>
          <w:sz w:val="18"/>
          <w:szCs w:val="18"/>
          <w:color w:val="auto"/>
        </w:rPr>
        <w:t>(Sims et al., 2023) suggest that live biotherapeutics have the potential to restructure the gut microbiome and shift the gut metabolic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landscape. Additional data show that SER-109 rapidly reduced the abundance of bacteria associated with common antibiotic resistance genes, or ARGs, and reduced ARG abundance in the gut (Straub et al., 2023). Collectively, we believe these data suggest the potential for live biotherapeutics to prevent the colonization and overgrowth of pathogens that can establish in the gut and ultimately to reduce infections. We believe that reducing pathogen colonization in the GI and improving GI epithelial barrier integrity to reduce the risk of infection may be replicable in a range of medically compromised patients, protecting them from infections and resulting downstream clinical sequelae. We believe this approach may also enable us to reduce antimicrobial resistant infections, or AMR, which the World Health Organization declared as a top ten global public health threat facing humanity, and with estimates that yearly deaths may reach 10 million by 2050, putting mortality due to AMR on par with deaths due to cancer.</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developing SER-155, an investigational, oral, live biotherapeutic designed to decolonize GI pathogens, improve epithelial barrier integrity, and regulate immune response to prevent bacterial BSIs as well as other pathogen associated negative clinical outcomes in patients undergoing allo-HSCT. SER-155 contains 16 bacterial strains selected using our reverse translation discovery and development platform technologies to optimize SER-155’s targeted profile. The design incorporates biomarker data from human clinical data and screening data from nonclinical human cell-based assays and in vivo disease models. The bacteria consortia is designed to optimize: (i) the prevention of the growth of various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species known to potentially dominate the GI and lead to downstream negative clinical outcomes in medically compromised patients and that can harbor antibacterial resistance, (ii) the production of multiple bacterial metabolites that can promote mucosal and epithelial barrier integrity with the goal of reducing the likelihood of harmful bacteria translocating from the gut to the bloodstream through a compromised epithelium, and (iii) the production of multiple bacterial metabolites that can modulate immune pathways to induce immune tolerance with a potential impact on GvHD.</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rationale for this program is based in part on published clinical evidence from our collaborators at Memorial Sloan Kettering Cancer Center showing that allo-HSCT patients with decreased diversity of commensal microbes and pathogen domination in the gastrointestinal tract were significantly more likely to die due to infection and/or lethal GvHD (Peled et al., 2020). There are an estimated 40,000 allo-HSCT procedures annually worldwide, and infection is one of the most common causes of mortality in these patients. The Center for International Blood &amp; Marrow Transplant Research, or CIBMTR, reports that 19-28% of deaths in allo-HSCT patients over 18 years of age within 100 days post-transplant are caused by infections and 5-14% by GvHD. In December 2023, we received Fast Track Designation for SER-155 to reduce the risk of infection and GvHD in allo-HSCT patients. In December 2024, the FDA granted Breakthrough Therapy designation for SER-155 for the reduction of BSIs in patients 18 years and older undergoing allo-HSCT.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first quarter of 2025, we received feedback from the FDA regarding the development strategy for SER-155 in patients undergoing allo-HSCT. The FDA provided input on certain elements of the next study, including a recommendation for a Phase 2 study and support for a reduction in BSIs 30 days post HSCT as the primary endpoint, and confirmed their expectations for the manufacture and control of SER-155. Incorporating the feedback, we are designing the next SER-155 allo-HSCT study, which we believe could be either a standalone Phase 2, or a Phase 2 as part of a Phase 2/3 seamless design. Both development paths are expected to include an adaptive design, with meaningful interim data analysis, when approximately half of the enrolled patients have reached the primary endpoint timepoint, informing the study path forward and potential indication expansion. The next study protocol will preserve many elements of the SER-155 Phase 1b study. We plan to submit the draft protocol, which we anticipate will be informed by potential further FDA interaction and partnership discussions, to the FDA in the second quarter of 2025 to obtain further feedback.</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SER-155 Phase 1b Study (including placebo-controlled Cohort)</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SER-155 has been evaluated in a Phase 1b study in patients undergoing allo-HSCT. The SER-155 Phase 1b study included two cohorts. Cohort 1 was designed to assess safety and drug pharmacology, specifically the drug strain engraftment in the gastrointestinal tract. Cohort 1 included 13 subjects who received any dosing of the SER-155 regimen, with 11 subjects subsequently receiving an allo-HSCT. Results from this cohort, announced in May 2023, showed SER-155 was generally well tolerated and resulted in successful drug strain engraftment and a reduction in pathogen domination in the GI microbiome relative to a historical control cohort.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Study Cohort 2 utilized a randomized, double-blinded 1:1 placebo-controlled design to further evaluate safety and drug strain engraftment, as well as key secondary and exploratory endpoints such as the incidence of bacterial bloodstream infections and related medical consequences such as febrile neutropenia and antibiotic use. Cohort 2 included 45 patients in the intention-to-treat (ITT) population. Of the ITT population, 20 received SER-155 and 14 received placebo, each of whom subsequently received an allo-HSCT, with data available for clinical evaluation through day 100, the study’s prespecified primary observation point. Exploratory hypothesis testing was conducted at the two-sided α=0.05 level. Ninety-five percent (95%) 2-sided confidence intervals (CIs) were determined, where specified. No adjustment for multiplicity was done. A subset of patient samples was available for drug pharmacology analysis.</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median age in Cohort 2 was 63, and most subjects had acute myeloid leukemia, acute lymphocytic leukemia, myelodysplastic syndrome or myeloproliferative neoplasia as their primary disease and received reduced-intensity conditioning pre-transplant. Most patients received peripheral blood stem cells from a matched unrelated donor. A majority received post-transplant cyclophosphamide as part of their graft-versus-host disease (GvHD) prophylaxis.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Results from Cohort 2, announced in September 2024, were consistent with the observations from Cohort 1. SER-155 was generally well tolerated, and no treatment-emergent serious adverse events related to drug were observed. SER-155 bacterial strains engrafted into the gastrointestinal tract of patients following the administration of SER-155.</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incidence of BSIs was significantly lower in the SER-155 arm compared with the placebo arm (2/20 (10%) vs. 6/14 (42.9%), respectively; [Odds Ratio: 0.15; 95% CI: 0.01, 1.13, p=0.0423]), which represents a relative risk reduction of approximately 77% and an absolute risk reduction of approximately 33%. In addition, while antibiotic starts were similar in each arm, patients administered SER-155 were treated with antibiotics for a significantly shorter duration compared to patients in the placebo arm (9.2 days vs. 21.1 days, respectively, with a mean difference of -11.9 days [95% CI: -23.85, -0.04; p=0.0494]). The incidence of febrile neutropenia was lower in patients administered SER-155 compared to placebo (65% vs. 78.6%, respectively; [Odds Ratio: 0.51; 95% CI: 0.07, 2.99; p=0.4674]). Six cases of gastrointestinal infections (C. difficile infections) were observed in the study, with four cases (20%) in the SER-155 arm and two cases (14.3%) in the placebo arm.</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Recent changes in the allo-HSCT standard of care and the increasing use of post-transplant cyclophosphamide as part of prophylactic therapy for GvHD have reduced rates of GvHD overall in this patient population. The rates of GvHD in the study were low, with two cases of grade 2 GvHD observed in each arm, and no cases of grade 3 or 4 GvHD were observed.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Cohort 2, the ability to detect pathogen domination (i.e., relative abundance in the GI ≥30%) in the placebo arm, and differences between the study arms, was constrained due to the limited number of placebo stool samples and an imbalance in the number of available stool samples between the arms. Observed pathogen domination events were low in the placebo and SER-155 arms with no significant differences identified. In a comparison of the prevalence of pathogen domination versus a larger allo-HSCT historical control cohort, pathogen domination in SER-155 subjects was substantially lower, providing further evidence of SER-155 activity.</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believe the available study data from Cohort 1 suggest that SER-155 administration results has the potential to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Streptococcaceae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Staphylococcaceae</w:t>
      </w:r>
      <w:r>
        <w:rPr>
          <w:rFonts w:ascii="Times New Roman" w:cs="Times New Roman" w:eastAsia="Times New Roman" w:hAnsi="Times New Roman"/>
          <w:sz w:val="18"/>
          <w:szCs w:val="18"/>
          <w:color w:val="auto"/>
        </w:rPr>
        <w:t>. We further believe the resulting Cohort 2 data, together with the Cohort 1 SER-155 Phase 1b study results provide encouraging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to support further development of SER-155 to potentially reduce GI associated bloodstream and AMR infections as well as increase immune tolerance in individuals undergoing allo-HSCT for cancers and other serious conditions.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January 2025, we reported exploratory translational biomarker data from the SER-155 Phase 1b study which provided evidence supporting the intended therapeutic mechanisms, including promotion of intestinal epithelial barrier integrity to reduce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ind w:right="60"/>
        <w:spacing w:after="0" w:line="256" w:lineRule="auto"/>
        <w:rPr>
          <w:sz w:val="20"/>
          <w:szCs w:val="20"/>
          <w:color w:val="auto"/>
        </w:rPr>
      </w:pPr>
      <w:r>
        <w:rPr>
          <w:rFonts w:ascii="Times New Roman" w:cs="Times New Roman" w:eastAsia="Times New Roman" w:hAnsi="Times New Roman"/>
          <w:sz w:val="18"/>
          <w:szCs w:val="18"/>
          <w:color w:val="auto"/>
        </w:rPr>
        <w:t>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SER-147 and other pipeline programs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continue to develop another proprietary live biotherapeutic composition, SER-147, designed to prevent bacterial bloodstream and spontaneous bacterial peritonitis, or SBP, infections in patients with metabolic disease, including chronic liver disease, or CLD. SER-147 was designed and optimized using our reverse translational therapeutics development platform. CLD is a progressive condition marked by deterioration of liver function and is reaching epidemic proportions affecting nearly 1.7 billion people worldwide, causing substantial health burden on afflicted countries (GBD 2017 Cirrhosis Collaborators, 2020, Clinical Liver Disease, 2021). In the advanced stages of CLD, known as decompensated cirrhosis, patients exhibit significant immune dysfunction, microbiome disruption, and increased contact with the healthcare system, all of which drive increased susceptibility to bacterial infections (Bajaj et al., 2021, Albillos et al., 2022). We are conducting IND-enabling activities for SER-147.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Irritable Bowel Disease and Ulcerative Colitis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UC, a form of IBD, is a relapsing-remitting chronic inflammatory disorder affecting the mucosal surface of the colon, leading to episodes of bloody diarrhea, urgency and mucosal inflammation (Danese and Fiocchi, 2011), which generally begins in young adulthood and endures for life. The incidence of UC is rising worldwide, and the prevalence of the disease is highest in the United States, Canada, and Europe. In the United States alone, the prevalence of UC is estimated to be 378 per 100,000, or approximately 1.25 million Americans (Lewis et al., 2023).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 (Dlalal &amp; Allegretti, 2022).</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Currently, patients with UC require life-long therapy. Current medical therapies for the treatment of UC suppress the immune system rather than target reducing the triggers of immune activation and promoting immune tolerance. We believe there remains an unmet need for safer agents with novel non-immunosuppressive mechanisms of action. Moreover, alternative therapy is needed for patients with UC who experience frequent flares, are intolerant to the aminosalicylate class of medication, or where there are safety concerns relating to the use of immunomodulator or steroid therapy.</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Current therapeutic approaches in IBD do not address the potential role of microbiome functional disruptions in causing or aggravating disease in IBD. However, not all patients with IBD present with microbiome disruption; many patients with IBD demonstrate comparable taxonomic and functional microbiome diversity to healthy subjects (Lloyd-Price 2019). Similarly, pre-clinical models have shown that microbiomes from patients with IBD drive variable immune responses, with only a subset of microbiomes resulting in inflammation (Hart et al. 2017; Britton et al. 2019). These data suggest that the microbiome may play a role in a subset of subjects with IBD.</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Data from our SER-287 Phase 2b study and the first cohort of subjects from our SER-301 Phase 1b study in patients with mild-to-moderate UC suggest that the pharmacodynamic effects observed for SER-287 and SER-301 were greater in a subset of patients with IBD. Based on these results, we continue to advance research and development activities supported by partnerships to evaluate the potential to utilize biomarker-based patient selection and stratification in future clinical development efforts in IBD, and to further optimize our live biotherapeutic lead candidates. In October 2023, we were awarded a $500,000 grant from the CCF to leverage our clinical results and biological mechanism insights to functionally characterize subpopulations and to define associated biomarkers for IBD patient selection and stratification of patients where the gastrointestinal microbiome plays an active role in inflammation and could be modified to reduce colitis. Our preclinical studies conducted to date, have recapitulated the patient subpopulation observations from the previously run trials and progressed associated biomarker delineation of the populations, as well as confirmed a microbiome-driven functional link to disease. These research efforts aim to prioritize inflammatory targets for future clinical trials and evaluate the potential to utilize biomarker-based patient selection and stratification for these future studies.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production of bacterial live biotherapeutic products is highly specialized. Owing to their hardiness and environmental persistence, production of aerobic and anaerobic vegetative bacteria, as well as spore-forming organisms, poses unique considerations for product, personnel, and facility design, operation, quality assurance and quality control. Manufacturing activities with spores are subject to specialized regulations. We expect that a typical commercial fermentation will yield on the order of hundreds or thousands of doses per liter depending on the product and its composition. Additionally, because a given total dose contains multiple strains, the per-strain requirements for production may be even lower. As a result, we believe the relatively high productivity of our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620"/>
        <w:spacing w:after="0" w:line="282" w:lineRule="auto"/>
        <w:rPr>
          <w:sz w:val="20"/>
          <w:szCs w:val="20"/>
          <w:color w:val="auto"/>
        </w:rPr>
      </w:pPr>
      <w:r>
        <w:rPr>
          <w:rFonts w:ascii="Times New Roman" w:cs="Times New Roman" w:eastAsia="Times New Roman" w:hAnsi="Times New Roman"/>
          <w:sz w:val="18"/>
          <w:szCs w:val="18"/>
          <w:color w:val="auto"/>
        </w:rPr>
        <w:t>manufacturing processes relative to the dose level will enable production scales for both clinical and commercial supply to be modest by traditional industry standards for biologics and vaccine manufacturing.</w:t>
      </w:r>
    </w:p>
    <w:p>
      <w:pPr>
        <w:spacing w:after="0" w:line="5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66" w:lineRule="exact"/>
        <w:rPr>
          <w:sz w:val="20"/>
          <w:szCs w:val="20"/>
          <w:color w:val="auto"/>
        </w:rPr>
      </w:pPr>
    </w:p>
    <w:p>
      <w:pPr>
        <w:ind w:left="102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Fermentation. </w:t>
      </w:r>
      <w:r>
        <w:rPr>
          <w:rFonts w:ascii="Times New Roman" w:cs="Times New Roman" w:eastAsia="Times New Roman" w:hAnsi="Times New Roman"/>
          <w:sz w:val="18"/>
          <w:szCs w:val="18"/>
          <w:color w:val="auto"/>
        </w:rPr>
        <w:t>We use microscale screening to optimize culture conditions of the bacterial strains of interest in our current and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fermentation-based product 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that each originate from a unique research cell bank precursor, so we expect the research cell banks and final drug product should be genetically and physiologically similar.</w:t>
      </w:r>
    </w:p>
    <w:p>
      <w:pPr>
        <w:spacing w:after="0" w:line="76"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Purification. </w:t>
      </w:r>
      <w:r>
        <w:rPr>
          <w:rFonts w:ascii="Times New Roman" w:cs="Times New Roman" w:eastAsia="Times New Roman" w:hAnsi="Times New Roman"/>
          <w:sz w:val="18"/>
          <w:szCs w:val="18"/>
          <w:color w:val="auto"/>
        </w:rPr>
        <w:t>Similar to fermentation, we use small-scale purification operations to quickly assess downstream process yield,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robustness and believe these are scalable to large-scale cGMP manufacturing of live cells and spores based on historical performance during internal clinical manufacturing campaigns. Our products in development are predominantly oral dosage forms containing spores and/or live bacteria, hence purification is typically less complex than for parenteral biologics such as monoclonal antibodies that must separate highly similar components from the culturing process. Separation of viable microbes from soluble fermentation broth components is typically much simpler by comparison.</w:t>
      </w:r>
    </w:p>
    <w:p>
      <w:pPr>
        <w:spacing w:after="0" w:line="74"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Formulation. </w:t>
      </w:r>
      <w:r>
        <w:rPr>
          <w:rFonts w:ascii="Times New Roman" w:cs="Times New Roman" w:eastAsia="Times New Roman" w:hAnsi="Times New Roman"/>
          <w:sz w:val="18"/>
          <w:szCs w:val="18"/>
          <w:color w:val="auto"/>
        </w:rPr>
        <w:t>Our live biotherapeutic candidates are combinations of bacteria and can be administered by a number of methods and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routes. Where possible, our product formulation development is focused on oral delivery for patient convenience. The primary goal in developing a formulation is to deliver bacteria to the intended location in a condition where they are able to replicate and modulate the microbiome. Formulation development generally uses approved excipients and preservatives with pharmaceutical industry precedent, and will include screening of liquid, solid, and suspension formulations to maximize the opportunity for extended stability with minimal cold-chain requirements. Dosage forms for oral products may be liquid- or powder-filled capsules, tablets, sachets, or liquid containers.</w:t>
      </w:r>
    </w:p>
    <w:p>
      <w:pPr>
        <w:spacing w:after="0" w:line="74" w:lineRule="exact"/>
        <w:rPr>
          <w:rFonts w:ascii="Times New Roman" w:cs="Times New Roman" w:eastAsia="Times New Roman" w:hAnsi="Times New Roman"/>
          <w:sz w:val="18"/>
          <w:szCs w:val="18"/>
          <w:color w:val="auto"/>
        </w:rPr>
      </w:pPr>
    </w:p>
    <w:p>
      <w:pPr>
        <w:ind w:left="1020" w:right="10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w:t>
      </w:r>
      <w:r>
        <w:rPr>
          <w:rFonts w:ascii="Times New Roman" w:cs="Times New Roman" w:eastAsia="Times New Roman" w:hAnsi="Times New Roman"/>
          <w:sz w:val="18"/>
          <w:szCs w:val="18"/>
          <w:color w:val="auto"/>
        </w:rPr>
        <w:t>We are addressing quality control requirements for our live biotherapeutic candidates using proprietary microbiological,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chemical, biochemical, and molecular sequence-based testing schemes. We have available and are further developing quality control, environmental monitoring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quantitative analytics to assess the identity, potency and purity of the final product.</w:t>
      </w:r>
    </w:p>
    <w:p>
      <w:pPr>
        <w:spacing w:after="0" w:line="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cGMP manufacturing capabilities at our Cambridge, Massachusetts locations where we conduct cGMP manufacture of therapeutic candidates to support both drug substance and drug product manufacturing for early-phase and late-phase clinical development.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agreements, see “Management’s Discussion and Analysis of Financial Condition and Results of Operations – Liquidity and Capital Resources" in Part II, Item 7 of this Annual Report on Form 10-K.</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7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Our patent portfolio includes issued U.S. patents and patent applications in various stages of prosecution, including ex-U.S. international counterparts. We believe that issued claims will provide protection for our live biotherapeutic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live biotherapeutics,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live biotherapeutic which will likely share our same regulatory approval requirements. In addition, our ability to compete may be affected in many cases by insurers or other third-party payors seeking to encourage the use of lower cost products.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authorities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approval by the FDA before being marketed in the United States.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biologic product candidates may be marketed in the United States generally involves the following:</w:t>
      </w:r>
    </w:p>
    <w:p>
      <w:pPr>
        <w:spacing w:after="0" w:line="117" w:lineRule="exact"/>
        <w:rPr>
          <w:sz w:val="20"/>
          <w:szCs w:val="20"/>
          <w:color w:val="auto"/>
        </w:rPr>
      </w:pPr>
    </w:p>
    <w:p>
      <w:pPr>
        <w:ind w:left="1020" w:right="3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preclinical laboratory tests and animal studies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in the United States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a trial is commenced;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product candidate for each proposed indication, conducted in accordance with the FDA’s good clinical practice, or GCP,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regulations, and to assure that the facilities, methods and controls are adequate to preserve the biological product’s continued safety, purity and potency;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prior to any commercial marketing, sale or shipment of the product.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studies include laboratory evaluations of drug chemistry, formulation and stability, as well as studies to evaluate toxicity in animals, certain of which must be conducted in accordance with GLP requirements. The results of the preclinical studies, together with manufacturing information and analytical data, are submitted to the FDA as part of an IND. An IND is a request for allowance from the FDA to administer an investigational drug to humans. An IND must become effective before human clinical trials may begin.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allows the trial to proceed, either explicitly or implicitly by not objecting, before each clinical trial can begin.</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clinical trial and the parameters and criteria to be used in monitoring safety and evaluating effectiveness. Each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independent institutional review board, or IRB, for each investigator site proposing to participate in a clinical trial must also review and approve the clinical trial before it can begin at that site, and the IRB must monitor the clinical trial until it is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the IRB, or the sponsor may suspend or discontinue a clinical trial at any time on various grounds, including a finding that the subjects are being exposed to an unacceptable health risk. There are also requirements governing the reporting of ongoing clinical studies and clinical study results to public registries.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clinical trials are typically conducted in three sequential phases, which may overlap or be combined.</w:t>
      </w:r>
    </w:p>
    <w:p>
      <w:pPr>
        <w:spacing w:after="0" w:line="115" w:lineRule="exact"/>
        <w:rPr>
          <w:sz w:val="20"/>
          <w:szCs w:val="20"/>
          <w:color w:val="auto"/>
        </w:rPr>
      </w:pPr>
    </w:p>
    <w:p>
      <w:pPr>
        <w:ind w:left="1020" w:right="320" w:hanging="503"/>
        <w:spacing w:after="0" w:line="290"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 The investigational product is initially introduced into healthy human subjects or patients with the target disease or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47" w:lineRule="exact"/>
        <w:rPr>
          <w:rFonts w:ascii="Times New Roman" w:cs="Times New Roman" w:eastAsia="Times New Roman" w:hAnsi="Times New Roman"/>
          <w:sz w:val="17"/>
          <w:szCs w:val="17"/>
          <w:color w:val="auto"/>
        </w:rPr>
      </w:pPr>
    </w:p>
    <w:p>
      <w:pPr>
        <w:ind w:left="1020" w:right="480" w:hanging="503"/>
        <w:spacing w:after="0" w:line="28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The investigational product is typically administered to a limited patient population with a specified disease or condition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preliminary efficacy, optimal dosages and dosing schedule and to identify possible adverse side effects and safety risks.</w:t>
      </w:r>
    </w:p>
    <w:p>
      <w:pPr>
        <w:spacing w:after="0" w:line="50"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The investigational product is administered to an expanded patient population to further evaluate dosage, to provide statistically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54"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FDA Review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user fee unless a waiver is granted or exemption applies.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and biologics, for a new active ingredient, new indication, new dosage form, new dosing regimen or new route of administration. Under PREA, original BLAs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candidate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8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 In this event, the BLA must be resubmitted with the additional information.</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Once a BLA has been accepted for review, the FDA’s goal is to review standard applications within ten months after the filing date, or, if the application qualifies for Priority Review, six months after the FDA accepts the application for filing, but the overall timeframe may be extended for a period of three months for FDA to respond to new information deemed a “major amendment” to the application. The FDA reviews a BLA to determine, among other things, whether the biological product is safe, pure and potent and whether the facility or facilities in which it is manufactured meet standards designed to assure the product’s continued safety, purity and potency.</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the facilities at which the biologic product is manufactured and will not approve the product unless it determines that the manufacturing processes and facilities are in compliance with cGMP and adequate to assure consistent production of the product within required specifications. Additionally, before approving a BLA, the FDA may inspect one or more clinical sites to assure that such trials were conducted in compliance with GCP.</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After the FDA evaluates a BLA and conducts any required inspections of clinical trial sites or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including additional clinical trials, or other significant and time-consuming requirements related to clinical trials, nonclinical studies or manufacturing. If a CRL is issued, the sponsor must resubmit the BLA, addressing all of the deficiencies identified in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420"/>
        <w:spacing w:after="0" w:line="282" w:lineRule="auto"/>
        <w:rPr>
          <w:sz w:val="20"/>
          <w:szCs w:val="20"/>
          <w:color w:val="auto"/>
        </w:rPr>
      </w:pPr>
      <w:r>
        <w:rPr>
          <w:rFonts w:ascii="Times New Roman" w:cs="Times New Roman" w:eastAsia="Times New Roman" w:hAnsi="Times New Roman"/>
          <w:sz w:val="18"/>
          <w:szCs w:val="18"/>
          <w:color w:val="auto"/>
        </w:rPr>
        <w:t>letter, or withdraw the application. Even if such data and information are submitted, the FDA may decide that the BLA does not satisfy the criteria for approval.</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biologics designed to address unmet medical needs in the treatment of serious or life- threatening diseases or conditions. These programs include Fast Track designation, Breakthrough Therapy designation, Priority Review designation and Accelerated Approval, and the purpose of these programs is to expedite the development and review of qualifying product candidates.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meaning that the agency may review portions of the marketing application before the sponsor submits the complete application, if the sponsor provides a schedule for the submission of the sections of the BLA, the FDA agrees to accept sections of the BLA and determines that the schedule is acceptable, and the sponsor pays any required user fees upon submission of the first section of the BLA. Product candidates receiving Fast Track status may also be eligible for Priority Review, if the relevant criteria are met.</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a biologic product candidate may be eligible for Breakthrough Therapy designation if it is intended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Fast Track or Breakthrough Therapy designation, may also be eligible for additional FDA programs intended to expedite the review process, including Priority Review designation. A BLA is eligible for Priority Review if the product candidate has the potential to provide a significant improvement in safety or effectiveness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confirmatory studies to verify and describe the product’s clinical benefit, and the FDA may require that such studies be underway before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requires as a condition for accelerated approval pre-approval of promotional materials, which could adversely impact the timing of the commercial launch of the product.</w:t>
      </w:r>
    </w:p>
    <w:p>
      <w:pPr>
        <w:spacing w:after="0" w:line="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designation and Accelerated Approval do not change the standards for approval but may expedite the development or review process.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firstLine="509"/>
        <w:spacing w:after="0" w:line="254" w:lineRule="auto"/>
        <w:rPr>
          <w:sz w:val="20"/>
          <w:szCs w:val="20"/>
          <w:color w:val="auto"/>
        </w:rPr>
      </w:pPr>
      <w:r>
        <w:rPr>
          <w:rFonts w:ascii="Times New Roman" w:cs="Times New Roman" w:eastAsia="Times New Roman" w:hAnsi="Times New Roman"/>
          <w:sz w:val="18"/>
          <w:szCs w:val="18"/>
          <w:color w:val="auto"/>
        </w:rPr>
        <w:t>Any biologics manufactured or distributed pursuant to FDA approvals remain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manufacturers and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programs.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lets, or holds on clinical trials;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Regulatory Exclusivity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existing periods of regulatory exclusivity protection or patent terms, may be granted based on the voluntary completion of a pediatric study in accordance with an FDA-issued “Written Request” for such a study.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disease or condition, except in limited circumstances, such as a subsequent product’s showing of clinical superiority over the product with orphan exclusivity or where the original applicant cannot produce sufficient quantities of product for the applicable disease or condition. Competitors, however, may receive approval of different therapeutic agents for the disease or condition for which the orphan product has exclusivity or obtain approval for the same therapeutic agent for a different disease or condition than that for which the orphan product has exclusivity. Further, if a designated orphan product receives marketing approval for a disease or condition broader than the rare disease or condition for which it received orphan designation, it may not be entitled to orphan exclusivity.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or MA, manufacturing, commercial sales and distribution of our products. Because biologically sourced raw materials are subject to unique contamination risks, their use may be restricted in some countries. 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11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CTR.</w:t>
      </w:r>
    </w:p>
    <w:p>
      <w:pPr>
        <w:spacing w:after="0" w:line="9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EU, medicinal products can only be placed on the market after obtaining a MA. To obtain regulatory approval of an investigational biological product in the EU, we must submit a MA application, or MAA. The process for doing this depends, among other things, on the nature of the medicinal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—Under the centralized procedure, following the opining of the EMA’s CHMP the European Commission issues a single 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throughout the EU. The centralized procedure is compulsory for certain types of products, such as (i) medicinal products derived from biotechnology processes, such as genetic engineering, (ii) designated orphan medicinal products, (iii) advanced therapy medicinal products, or ATMPs, such as gene therapy, somatic cell therapy and tissue engineered products, and (iv) medicinal products that contain a new active substance indicated for the treatment of certain diseases, such as HIV/AIDS, cancer, neurodegenerative diseases, diabetes, autoimmune diseases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EMA's CHMP is 210 days, excluding clock stops, when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(excluding clock stops), when a medicinal product targets an unmet medical need and is expected to be of a major public health interest, particularly from the point of view of therapeutic innovation. The timeframe for the evaluation of an MAA under the accelerated assessment procedure is 150 days, excluding clock stops.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Priority Medicines, or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8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—There are also two other possible routes to authorize medicinal products in several member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products that fall outside the scope of the centralized procedure:</w:t>
      </w:r>
    </w:p>
    <w:p>
      <w:pPr>
        <w:spacing w:after="0" w:line="50" w:lineRule="exact"/>
        <w:rPr>
          <w:sz w:val="20"/>
          <w:szCs w:val="20"/>
          <w:color w:val="auto"/>
        </w:rPr>
      </w:pPr>
    </w:p>
    <w:p>
      <w:pPr>
        <w:ind w:left="1020" w:right="6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 Using the decentralized procedure, an applicant may apply for simultaneous authorizations in more than one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of medicinal products that have not yet been authorized in any EU member states and that do not fall within the mandatory scope of the centralized procedure. Under the decentralized procedure an identical dossier is submitted to the national competent authority of each of the member states in which the MA is sought, one of which is selected by the applicant as the reference member state. National MAs are issued by competent authorities of the EU member states for their respective territory.</w:t>
      </w:r>
    </w:p>
    <w:p>
      <w:pPr>
        <w:spacing w:after="0" w:line="75" w:lineRule="exact"/>
        <w:rPr>
          <w:rFonts w:ascii="Times New Roman" w:cs="Times New Roman" w:eastAsia="Times New Roman" w:hAnsi="Times New Roman"/>
          <w:sz w:val="18"/>
          <w:szCs w:val="18"/>
          <w:color w:val="auto"/>
        </w:rPr>
      </w:pPr>
    </w:p>
    <w:p>
      <w:pPr>
        <w:jc w:val="both"/>
        <w:ind w:left="1020" w:right="24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 In the mutual recognition procedure, a medicine is first authorized in one EU member state,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member state. Following this, further MAs can be sought from other EU member states in a procedure whereby the countries concerned recognize the validity of the original national MA.</w:t>
      </w:r>
    </w:p>
    <w:p>
      <w:pPr>
        <w:spacing w:after="0" w:line="6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EU, upon receiving a MA, reference medicinal products generally receive eight years of data exclusivity and an additional two years of market exclusivity. If granted,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the market exclusivity period a generic or biosimilar MA can be submitted, and the innovator’s data may be referenced but no generic or biosimilar can be marketed in the EU until ten years have elapsed from the initial authorization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ind w:right="40"/>
        <w:spacing w:after="0" w:line="282" w:lineRule="auto"/>
        <w:rPr>
          <w:sz w:val="20"/>
          <w:szCs w:val="20"/>
          <w:color w:val="auto"/>
        </w:rPr>
      </w:pPr>
      <w:r>
        <w:rPr>
          <w:rFonts w:ascii="Times New Roman" w:cs="Times New Roman" w:eastAsia="Times New Roman" w:hAnsi="Times New Roman"/>
          <w:sz w:val="18"/>
          <w:szCs w:val="18"/>
          <w:color w:val="auto"/>
        </w:rPr>
        <w:t>therapies. However, there is no guarantee that a product will be considered by the EU’s regulatory authorities to be a new chemical or biological entity, and products may not qualify for data exclusivity.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w:t>
      </w:r>
    </w:p>
    <w:p>
      <w:pPr>
        <w:ind w:right="40" w:firstLine="8"/>
        <w:spacing w:after="0" w:line="251"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protocol assistance, access to the centralized procedure, and are, upon grant of a MA, entitled to ten years of market exclusivity for the approved therapeutic indication. During this ten-year orphan market exclusivity period, the competent authorities cannot accept another MAA, or grant a MA, or accept an application to extend a MA for a similar product for the same indication.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or where the prevalence of the condition has increased above the threshold.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7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(comprised of the 27 EU member states plus Iceland, Liechtenstein and Norway).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and the implementation of the Windsor Framework on January 1, 2025, the United Kingdom, or UK, is not generally subject to EU laws in respect of medicinal products. The EU laws that have been transposed into UK law through secondary legislation remain applicable in the UK. However, new legislation such as the CTR is not applicable in Great Britain. The UK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As a result of the Ireland/Northern Ireland Protocol, different rules applied in Northern Ireland than in England, Wales, and Scotland, together, Great Britain (“GB”); which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medicinal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opted-out. Under the terms of the Windsor Framework, these MAs became valid for the whole of the UK from January 1, 2025. In order to use the EU centralized procedure to obtain an MA that will be valid throughout the EEA, companies must be established in the EEA. Therefore, since Brexit, companies established in the UK cannot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Applications are governed by the Human Medicines Regulations (SI 2012/1916) and are made electronically through the MHRA Submissions Portal. The MHRA has introduced changes to national licensing procedures, including procedures to prioritize access to new medicinal products that will benefit patients, including a 150-day assessment (subject to clock-stops) and a rolling review procedure. In addition, an international recognition framework, or IRP, has been in place since January 1, 2024, whereby the MHRA will have regard to decisions on the approval of MAs made by the EMA and certain other regulators when determining an application for a new UK MA. Pursuant to the IRP, the MHRA will take into account the expertise and decision-making of trusted regulatory partners (e.g., the regulators in Australia, Canada, Switzerland, Singapore, Japan, the U.S.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an MA in the UK. Applications should be decided within a maximum of 60 days if there are no major objections identified that cannot be resolved within such 60-day period and the approval from the trusted regulatory partner selected has been granted within the previous 2 years or if there are such major objections identified or such approval has not been granted within the previous 2 years within 110 days. Applicants can submit initial MAAs to the IRP but the procedure can also be used throughout the lifecycle of a product for post-authorization procedures including line extensions, variations and renewals. 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medicinal product on the market in the UK within three (3) years shall cease to be in force. 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biological products, other healthcare regulatory laws restrict business practices in the biotechnology industry, which include, but are not limited to, anti-kickback, false claims, and transparency laws regarding drug pricing and payments and other transfers of value made to physicians and other healthcare providers.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Further, a person or entity does not need to have actual knowledge of the statute or specific intent to violate it to have committed a violation. Many states have similar laws that apply to their state healthcare programs as well as private payors.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In addition, the government may assert that a claim including items or services resulting from a violation of the Anti-Kickback Statute constitutes a false or fraudulent claim for purposes of the False Claims Act. Actions under the FCA may be brought by the Attorney General or as a qui tam action by a private individual in the name of the government. The federal government is using the FCA, and the accompanying threat of significant liability, in its investigation and prosecution of pharmaceutical and biotechnology companies throughout the country, and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7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addition, a person who offers or transfers to a Medicare or Medicaid beneficiary any remuneration, including waivers of co-payments and deductible amounts (or any part thereof), that the person knows or should know is likely to influence the beneficiary’s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80"/>
        <w:spacing w:after="0" w:line="254" w:lineRule="auto"/>
        <w:rPr>
          <w:sz w:val="20"/>
          <w:szCs w:val="20"/>
          <w:color w:val="auto"/>
        </w:rPr>
      </w:pPr>
      <w:r>
        <w:rPr>
          <w:rFonts w:ascii="Times New Roman" w:cs="Times New Roman" w:eastAsia="Times New Roman" w:hAnsi="Times New Roman"/>
          <w:sz w:val="18"/>
          <w:szCs w:val="18"/>
          <w:color w:val="auto"/>
        </w:rPr>
        <w:t>selection of a particular provider, practitioner or supplier of Medicare or Medicaid payable items or services may be liable for civil monetary penalties for each wrongful act. Moreover,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Office of Inspector General of the Department of Health and Human Services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65"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Violations of any of such laws or any other governmental regulations that apply to drug manufacturers may result in significant penalties, including, without limitation, administrative, civil and criminal penalties, damages, fines, disgorgement, the curtailment or restructuring of operations, exclusion from participation in federal and state healthcare programs, reporting obligations and integrity oversight, and imprisonment.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6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54" w:lineRule="exact"/>
        <w:rPr>
          <w:sz w:val="20"/>
          <w:szCs w:val="20"/>
          <w:color w:val="auto"/>
        </w:rPr>
      </w:pPr>
    </w:p>
    <w:p>
      <w:pPr>
        <w:jc w:val="both"/>
        <w:ind w:left="1020" w:right="1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For example, the Budget Control Act of 2011, enacted in August 2011, among other things, included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In addition, the American Rescue Plan Act of 2021 as signed into law, which eliminated the statutory Medicaid drug rebate cap, beginning January 1, 2024. The rebate was previously capped at 100% of a drug’s AMP.</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Most recently, on August 16,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HHS has and will continue to issue and update guidance as these programs are implemented. The Centers for Medicare &amp; Medicaid Services, or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For that and other reasons, it is currently unclear how the IRA will be effectuated, and the impact of the IRA on the pharmaceutical industry cannot yet be fully determined.</w:t>
      </w:r>
    </w:p>
    <w:p>
      <w:pPr>
        <w:spacing w:after="0" w:line="7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state, or foreign level could further limit reimbursement for pharmaceuticals, including our product candidates if approved.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may also be subject to U.S. federal, state and foreign laws, regulations and standards governing the collection, use, access to, confidentiality, and security of health-related and other personal information, that could apply now or in the future to our operations or the operations of our partners. Numerous federal and state laws and regulations, including data breach notification laws, health information privacy and security laws and consumer protection laws and regulations, govern the collection, use, disclosure, and protection of health-related and other personal information.</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Following the completion of the VOWST Transaction, our headcount decreased by approximately 100 employees, principally due to the transition of manufacturing and quality team members from Seres to Nestlé Health Science, positioning us to efficiently progress SER-155 and our other wholly-owned cultivated live biotherapeutic candidates. As of December 31, 2024, we had 103 full-time permanent employees. 27 employees work in operations and administration and 76 work in research and development (which includes clinical and manufacturing). None of our employees in the U.S. are currently represented by a labor union or covered by collective bargaining agreements, and we believe our relationship with our employees is good.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consider the intellectual capital, skills and experience of our employees to be an essential driver of our business and key to our future prospects. We face intense competition for qualified individuals from numerous pharmaceutical and biotechnology companies, universities, governmental entities and other research institutions, and we believe that our future success will depend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80"/>
        <w:spacing w:after="0" w:line="242" w:lineRule="auto"/>
        <w:rPr>
          <w:sz w:val="20"/>
          <w:szCs w:val="20"/>
          <w:color w:val="auto"/>
        </w:rPr>
      </w:pPr>
      <w:r>
        <w:rPr>
          <w:rFonts w:ascii="Times New Roman" w:cs="Times New Roman" w:eastAsia="Times New Roman" w:hAnsi="Times New Roman"/>
          <w:sz w:val="18"/>
          <w:szCs w:val="18"/>
          <w:color w:val="auto"/>
        </w:rPr>
        <w:t>large part on our continued ability to attract and retain highly skilled employees. To attract qualified applicants to our company and retain our employees, we offer a total rewards package consisting of base salary and cash target bonus targeting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market based on geography, a comprehensive benefit package and equity compensation for every employee. Annual cash bonus opportunity and equity compensation increase as a percentage of total compensation based on level of responsibility. Any actual bonus payout is based on a combination of individual performance and corporate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Belonging</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also believe that our long-term success and ability to deliver innovative, safe, and effective medicines to patients requires an inclusive workforce. We work to identify ways to attract, develop, and retain talent from all backgrounds and help foster a stronger sense of belonging for all employees. In addition, we strive to engender an open culture of mutual respect, and one that values employees’ health and well-being. We support employee development in a variety of ways including leadership training to build people manager capabilities, ongoing performance and development conversations, and tuition reimbursement. Our management reports to our board of directors on human capital management topics, including as relevant: corporate culture, workforce inclusion and belonging, employee development and retention, and compensation and benefits.</w:t>
      </w: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101 Cambridgepark Drive, Cambridge, Massachusetts 02140 and our telephone number is (617) 945-9626. Our website address is </w:t>
      </w:r>
      <w:r>
        <w:rPr>
          <w:rFonts w:ascii="Times New Roman" w:cs="Times New Roman" w:eastAsia="Times New Roman" w:hAnsi="Times New Roman"/>
          <w:sz w:val="18"/>
          <w:szCs w:val="18"/>
          <w:i w:val="1"/>
          <w:iCs w:val="1"/>
          <w:color w:val="auto"/>
        </w:rPr>
        <w:t>www.serestherapeutics.com</w:t>
      </w:r>
      <w:r>
        <w:rPr>
          <w:rFonts w:ascii="Times New Roman" w:cs="Times New Roman" w:eastAsia="Times New Roman" w:hAnsi="Times New Roman"/>
          <w:sz w:val="18"/>
          <w:szCs w:val="18"/>
          <w:color w:val="auto"/>
        </w:rPr>
        <w:t>. The information contained in, or accessible through, our website does not constitute a part of this Annual Report on Form 10-K.</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accordingly, file reports, proxy statements and other information with the Securities and Exchange Commission, or SEC. The SEC maintains a web site (http://www.sec.gov) that contains material regarding issuers that file electronically, such as ourselves, with the SEC.</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Annual Report on Form 10-K, including our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order to advance development of our product candidates and commercialize our product candidates, if approved. If we are unable to raise capital or secure a partnership when needed, we could be forced to delay, reduce or eliminate our product development programs or any potential future commercialization efforts.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expenses may increase in connection with our ongoing activities, particularly if and as we further SER-155 clinical studies, and research, develop and initiate clinical trials of our product candidates. In addition, if we obtain marketing approval for any of our product candidates, we expect to incur costs related to product manufacturing and commercialization, including marketing, sales and distribution, and may not generate meaningful product revenues or collaboration profit in the near future. Furthermore, we have incurred and expect to continue to incur additional costs associated with operating as a public company. Accordingly, we will need to obtain substantial additional funding in connection with our continuing operations. If we are unable to raise capital or secure a partnership when needed or on attractive terms, we could be forced to delay, reduce or eliminate our research and development programs or any current or potential future commercialization efforts.</w:t>
      </w:r>
    </w:p>
    <w:p>
      <w:pPr>
        <w:spacing w:after="0" w:line="8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 Our future capital requirements will depend on many factors, including:</w:t>
      </w:r>
    </w:p>
    <w:p>
      <w:pPr>
        <w:spacing w:after="0" w:line="54" w:lineRule="exact"/>
        <w:rPr>
          <w:sz w:val="20"/>
          <w:szCs w:val="20"/>
          <w:color w:val="auto"/>
        </w:rPr>
      </w:pPr>
    </w:p>
    <w:p>
      <w:pPr>
        <w:ind w:left="1020" w:right="7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conducting clinical trials for our lead candidate, SER-155 in allo-HSCT and other targeted indications, and other product candidates in our pipeline;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Second Installment Payment and Milestone Payments we may receive from the Transaction, and the amounts payable or due under the Profit Sharing Payments;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revenue, if any, of potential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current macroeconomic conditions, such as the conflicts involving Ukraine and Russia and Israel and its surrounding regions,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any product candidates, or be unable to expand our operations or otherwise capitalize on our business opportunities, as desired, which could materially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Based on our currently available cash resources, including the capital obtained from the Transaction, and the expected receipt of the fixed Second Installment Payment, which is subject to material compliance with the TSA, and considering our future operating plans and our ongoing obligations related to the Transaction, we anticipate that we will require additional funding in the first quarter of 2026. Because the ability to obtain the Second Installment Payment and additional equity or other financing, including through partnerships, with terms favorable or acceptable to us cannot be considered probable according to the applicable accounting standards because they are outside our control, there is substantial doubt about our ability to continue as a going concern for at least 12 months from the date that our consolidated financial statements for the year ended December 31, 2024 were issued. 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We have prepared our consolidated financial statements on a going concern basis, which contemplates the realization of assets and the satisfaction of liabilities and commitments in the normal course of business. Our audited consolidated financial statements included in this Annual Report on Form 10-K do not include any adjustments to reflect the possible inability of the Company to continue as a going concern within 12 months after the issuance of such financial statements.</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from continuing operations was $125.8 million, $190.1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$183.6 million for the years ended December 31, 2024, 2023, and 2022, respectively. As of December 31, 2024, we had an accumulated deficit of $978.1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noted elsewhere in this Annual Report on Form 10-K, we have identified conditions and events that raise substantial doubt about our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as a going concern. To date, we have financed our operations through the public offerings of our common stock, private placements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and preferred stock, payments under our prior collaboration agreements and loan facility. We have devoted substantially all of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and efforts to developing our live biotherapeutics platform, identifying potential product candidates and conducting preclinical studies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We have only developed one FDA-approved product, VOWST, which was sold to SPN in September 2024. We have not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of any of our other product candidates, which we call live biotherapeutic candidates, or other drugs or biologics. We expect to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 significant expenses and operating losses for the foreseeable future. While we plan to focus our investment on continuing the development of 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 and advancing our other wholly-owned cultivated live biotherapeutic candidates, our expenses may increase substantially in connection with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and future activities, particularly if and as we: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in patients receiving allo-HSCT and for other medically vulnerable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the TSA;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activities supported by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products for which we have obtained and in the future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any agreements with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have already obtained and may in the future obtain regulatory approval. We are in the preliminary stages of many of these activities. We may never succeed in these activities and, even if we do, may never generate revenue that is significant enough to achieve profitability.</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secure a partnership, expand our business, maintain our research and development and any potential future commercialization efforts, diversify our product offerings or even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Other than with respect to VOWST, which was sold to SPN in September 2024, we have not yet demonstrated our ability to obtain regulatory approvals, and we have limited experience in demonstrating our ability to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including for example, the impact of the sale of our VOWST Business to SPN, many of which are beyond our control. Consequently, any predictions made about our future success or viability may not be as accurate as they could be if we had a longer operating history.</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total amount of the Second Installment Payment and Milestone Payments we may receive from the Transaction, and the amounts payable or due under the Profit Sharing Payments, are subject to various risks and uncertainties.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Closing, SPN assumed certain liabilities with respect to the VOWST Business and agreed to pay to us:</w:t>
      </w:r>
    </w:p>
    <w:p>
      <w:pPr>
        <w:spacing w:after="0" w:line="117" w:lineRule="exact"/>
        <w:rPr>
          <w:sz w:val="20"/>
          <w:szCs w:val="20"/>
          <w:color w:val="auto"/>
        </w:rPr>
      </w:pPr>
    </w:p>
    <w:p>
      <w:pPr>
        <w:ind w:left="1020" w:right="2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cash payment, which was paid at Closing, of $100 million, less approximately $17.9 million owed by us to SPN under the prior license agreement between us and the SPN affiliate, less approximately CHF 2.0 million in satisfaction of fees due under the Bacthera Agreement;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due on July 1, 2025, or the Second Installment Payment (to be reduced by approximately $1.5 million related to certain employment obligations assumed by SPN, as described below), conditioned on our material compliance with obligations under the TSA entered into at Closing between us and NESA;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left="1020" w:right="1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(1) first, by set-off against all accrued interest on the Prepaid Milestone, (2) second, by set-off against the outstanding balance of the Prepaid Milestone until the Prepaid Milestone has been repaid in full and (3) thereafter, in cash. If any amount of the Prepaid Milestone (and any accrued interest thereon) remains outstanding as of following the last day of the Milestone Period, the balance thereof (together with any interest accrued thereon) will be forgiven and the right of set-off of SPN with respect thereto will be deemed forfeited. The Second Installment Payment due on July 1, 2025 will be reduced by approximately $1.5 million related to certain employment obligations assumed by SPN through the period prior to the Closing Date.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Second Installment Payment and the Milestone Payments are subject to various risks and uncertainties. We must be in material compliance with our obligations under the TSA in order to receive the Second Installment Payment and, if we are not or if there is a dispute as to compliance, such payment could be withheld or delayed, pending resolution. The Milestone Payments will be based on the achievement of specified worldwide net sales targets for the Product. Interest on the Prepaid Milestone will accrue and will reduce any corresponding Milestone Payments based on the length of time it takes to achieve the milestones. It is not possible to determine with precision as of the date of this Annual Report on Form 10-K the amount or timing of worldwide net sales the Product will generate in the future and, therefore, it is possible that the Milestone Payments will not be earned or will be limited by lower Product net sales than anticipated. The specified worldwide net sales targets for the Product were based on certain assumptions about the future financial performance of the Product, and there can be no assurance that such projections will be achieved or that the Milestone Payments will become payable.</w:t>
      </w:r>
    </w:p>
    <w:p>
      <w:pPr>
        <w:spacing w:after="0" w:line="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Further, during the Profit Sharing Period, we and SPN share 50/50 in the net profit or net loss achieved during the period. Amounts payable or due under the Profit Sharing Payments are uncertain and could result in financial losses or financial gains that are less than expected.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anticipated benefits of the Transaction, and we may face new challenges as a smaller, less diversified company.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realize the anticipated benefits from the Transaction, including deploying the proceeds from the Transaction to advance SER-155 and support our pipeline of wholly-owned cultivated live biotherapeutic candidates. Our ability to realize the anticipated benefits of the Transaction and the success of the remaining company is subject to various risks and uncertainties, including the possibility that we may not be able to successfully use our live biotherapeutics platform to build a pipeline of product candidates and develop additional marketable drugs, and the possibility that we will not be able to obtain, or experience delays in obtaining, required regulatory approvals.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Transaction resulted in the Company being a smaller, less diversified company with a more limited remaining business concentrated on SER-155, which recently completed a Phase 1b study in patients undergoing allogeneic hematopoietic stem cell transplantation, and our other wholly-owned cultivated live biotherapeutic candidates. As a result, we may be more susceptible to changing market conditions, including fluctuations and risks particular to preclinical and clinical-stage companies, than a more diversified company, which could adversely affect our remaining business, financial condition and results of operations. In addition, the diversification of our costs and cash flows diminished following the Transaction, such that our results of operations, cash flows, working capital and financing requirements may be subject to increased volatility and our ability to fund capital expenditures and investments or satisfy other financial commitments may be diminished.</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will need to secure additional funding to maintain operations beyond our current cash runway. Based on our currently available cash resources, including the capital obtained from the Transaction, and the expected receipt of the Second Installment Payment, which is subject to material compliance with the TSA, and considering our future operating plans and our ongoing obligations related to the Transaction, we anticipate that we will require additional funding in the first quarter of 2026. However, due to our smaller business size and the early stage of development of our remaining assets, there can be no assurance that we will be able to raise the required capital on favorable terms, or at all. This potential inability to obtain necessary funding could have a material adverse effect on our growth prospects,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may also face new challenges with maintaining employee morale and retaining key management and other employees and retaining existing business and operational relationships, including with third parties, employees and other counterparties that otherwise prefer to transact with larger companies (or will only transact with smaller companies on less favorable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as to the use of the proceeds from the Transaction, and may not use the proceeds effectively.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were obligated to use the proceeds from the completion of the Transaction to fully repay our indebtedness under the Oaktree Credit Agreement. We have broad discretion with respect to the use of the remaining proceeds of the Transaction, including to support the further advancement of SER-155 and our other cultivated live biotherapeutic product candidates. The results and effectiveness of the use of proceeds are uncertain, and we could spend the proceeds in ways that do not improve our remaining business, financial condition or results of operations. Our failure to apply these funds effectively could have an adverse effect on its business, financial condition and results of operations.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of certain of our product candidates and may not be successful in our efforts to use our reverse translational platform to build a pipeline of product candidates and develop additional marketable drugs.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using our reverse translational platform to develop live biotherapeutic candidates. We are at an early stage of development of our product candidates and our platform may never lead to approvable or marketable drugs. We are developing product candidates that are designed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if approved, achieve market acceptance.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our own, commercial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collaborations throughout the development process as appropriate, from preclinical studies through to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if approved, following approval;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or our collaborators do not successfully develop and commercialize our product candidates we will not be able to obtain product revenue or collaboration profit in future periods, which likely would result in significant harm to our financial position and adversely affect our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live biotherapeutics, which is a novel approach to therapeutic intervention.</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are based on live biotherapeutics, a novel class of biological drugs, which are designed to treat disease by modulating the microbiome to restore health by repairing the function of a disrupted microbiome to a non-disease state. To our knowledge, VOWST is the first oral product based on this approach to receive FDA approval. We cannot be certain that our approach</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6" w:name="page37"/>
    <w:bookmarkEnd w:id="36"/>
    <w:p>
      <w:pPr>
        <w:ind w:right="100"/>
        <w:spacing w:after="0" w:line="261" w:lineRule="auto"/>
        <w:rPr>
          <w:sz w:val="20"/>
          <w:szCs w:val="20"/>
          <w:color w:val="auto"/>
        </w:rPr>
      </w:pPr>
      <w:r>
        <w:rPr>
          <w:rFonts w:ascii="Times New Roman" w:cs="Times New Roman" w:eastAsia="Times New Roman" w:hAnsi="Times New Roman"/>
          <w:sz w:val="18"/>
          <w:szCs w:val="18"/>
          <w:color w:val="auto"/>
        </w:rPr>
        <w:t>will lead to the development of additional approvable or marketable products or that we will be able to manufacture at commercial scale. Finally, the FDA or other regulatory authorities may lack experience in evaluating the safety and efficacy of novel product candidates based on live biotherapeutics, which could result in a longer than expected regulatory review process, increase our expected development costs and delay or prevent any potential future commercialization of our product candidates.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potential future commercialization of our product candidates.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or other regulatory authorities, will require us to conduct before we may successfully gain approval to market any of our product candidates. Prior to approving a new therapeutic product, the FDA (or other regulatory authorities) generally requires that safety and efficacy, or with respect to biological products such as our live biotherapeutic candidates, safety, purity and potency,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reaching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jc w:val="both"/>
        <w:ind w:left="1020" w:right="5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current or any future collaborators, requiring us to bear more of the burden of development of certain compounds;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 or desire;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These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IRBs or ethics committees for reexamination, which may impact the costs, timing or successful completion of a clinical trial. Additional clinical trials or changes in our development plans could cause us to incur significant development costs, delay or prevent the potential future commercialization of our product candidates or otherwise adversely affect our business.</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developments plans.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the now-repealed EU Clinical Trials Directive (as implemented into UK law, through the Medicines for Human Use (Clinical Trials) Regulations 2004, as amended). The extent to which the regulation of clinical trials in the UK will mirror the (EU) CTR in the long term is not yet certain, however, on December 12, 2024, the UK government introduced a legislative proposal - the Medicines for Human Use (Clinical Trials) Amendment Regulations 2024 - that, if implemented, will replace the current regulatory framework for clinical trials in the UK. The legislative proposal aims to provide a more flexible regime to make it easier to conduct clinical trials in the UK, increase the transparency of clinical trials conducted in the UK and make clinical trials more patient centered. The UK government has provided the legislative proposal to the UK Parliament for its review and approval. Once the legislative proposal is approved (with or without amendment), it will be adopted into UK law which is expected in early 2026. A decision by the UK government not to closely align any new legislation with the new approach that has been adopted in the EU may have an effect on the cost of conducting clinical trials in the UK as opposed to other countries.</w:t>
      </w:r>
    </w:p>
    <w:p>
      <w:pPr>
        <w:spacing w:after="0" w:line="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business may be impacted.</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or perceived burden, of the clinical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right="40"/>
        <w:spacing w:after="0" w:line="255" w:lineRule="auto"/>
        <w:rPr>
          <w:sz w:val="20"/>
          <w:szCs w:val="20"/>
          <w:color w:val="auto"/>
        </w:rPr>
      </w:pPr>
      <w:r>
        <w:rPr>
          <w:rFonts w:ascii="Times New Roman" w:cs="Times New Roman" w:eastAsia="Times New Roman" w:hAnsi="Times New Roman"/>
          <w:sz w:val="18"/>
          <w:szCs w:val="18"/>
          <w:color w:val="auto"/>
        </w:rPr>
        <w:t>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the price of our common stock.</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future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any collaborators from commercializing the product candidate in that jurisdiction and may affect our plans for potential future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or with respect to biologics such as our live biotherapeutic candidates, safety, purity and potency.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firstLine="509"/>
        <w:spacing w:after="0" w:line="25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live biotherapeutic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in the long term.</w:t>
      </w:r>
    </w:p>
    <w:p>
      <w:pPr>
        <w:spacing w:after="0" w:line="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regulatory authorities have substantial discretion in the approval process and may refuse to accept or file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75"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Furthermore, our product candidates may not receive marketing approval even if they achieve their specified endpoints in clinical trials. Clinical data are often susceptible to varying interpretations and many companies that have believed that their products 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submitting a marketing application.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potential future commercialization of our product candidates. Any delay in obtaining, or inability to obtain, applicable regulatory approval would delay or prevent potential commercialization of our product candidates and would materially adversely impact our business and prospects.</w:t>
      </w:r>
    </w:p>
    <w:p>
      <w:pPr>
        <w:spacing w:after="0" w:line="8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live biotherapeutic candidates.</w:t>
      </w:r>
    </w:p>
    <w:p>
      <w:pPr>
        <w:spacing w:after="0" w:line="3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and may in the future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We received Fast Track designation for SER-155 to reduce the risk of infection and GvHD in patients undergoing allo-HSCT. Fast Track designation applies to the combination of the product candidate and the specific indication for which it is being studied. Once granted, Fast Track designation provides increased opportunities for sponsor meetings with the FDA during preclinical and clinical development, and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or other similar designations by the FDA for our product candidates may not lead to a faster development, regulatory review or approval process, and it does not increase the likelihood that our product candidates will receive marketing approval.</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December 2024, we received Breakthrough Therapy designation for SER-155 for the reduction of BSIs in patients 18 years and older undergoing allo-HSCT. We may seek these or other designations for future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also receive all of the Fast Track program features, including eligibility for rolling review of the associated marketing application.</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a Breakthrough Therapy designation for any future designation we receive is no longer supported by subsequent data, the FDA may rescind the designation.</w:t>
      </w:r>
    </w:p>
    <w:p>
      <w:pPr>
        <w:spacing w:after="0" w:line="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 candidates, if approved. Such an occurrence could materially impact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but may not be able to obtain it.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seek orphan drug designation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180"/>
        <w:spacing w:after="0" w:line="261" w:lineRule="auto"/>
        <w:rPr>
          <w:sz w:val="20"/>
          <w:szCs w:val="20"/>
          <w:color w:val="auto"/>
        </w:rPr>
      </w:pPr>
      <w:r>
        <w:rPr>
          <w:rFonts w:ascii="Times New Roman" w:cs="Times New Roman" w:eastAsia="Times New Roman" w:hAnsi="Times New Roman"/>
          <w:sz w:val="18"/>
          <w:szCs w:val="18"/>
          <w:color w:val="auto"/>
        </w:rPr>
        <w:t>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if a product with an orphan drug designation subsequently receives the first marketing approval for the disease or condition for which it has such designation, the product is entitled to a period of marketing exclusivity, which precludes the FDA or other regulatory authorities from approving another marketing application for the same drug and same disease or condition during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the EU. The European exclusivity period can be reduced to six years if, at the end of the fifth year, it is established that a product no longer meets the criteria for orphan designation, if the product is sufficiently profitable so that market exclusivity is no longer justified, or the prevalence of the condition has increased above the orphan designation threshold.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disease or condition. Even after an orphan drug or biologic is approved, the FDA or other regulatory authorities can subsequently approve the same drug or biologic for the same disease or condition if the FDA or other regulatory authorities conclude that the later drug is clinically superior in that it is shown to be safer, more effective or makes a major contribution to patient care. Orphan drug designation neither shortens the development time or regulatory review time nor gives the drug any advantage in the regulatory review or approval process.</w:t>
      </w:r>
    </w:p>
    <w:p>
      <w:pPr>
        <w:spacing w:after="0" w:line="7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and other regulatory authorities to review and or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may also slow the time necessary for new drugs and biologics to be reviewed and/or approved by necessary regulatory authorities, which would adversely affect our business. For example, in recent years, the U.S. government has shut down several times and certain regulatory authorities, such as the FDA, have had to furlough critical FDA employees and stop critical activities.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If a prolonged government shutdown occurs, or if renewed global health concerns delay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data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potential commercialization of our products, if and when approved, producing additional losses and depriving us of potential product revenue.</w:t>
      </w:r>
    </w:p>
    <w:p>
      <w:pPr>
        <w:spacing w:after="0" w:line="6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aspects of the manufacture of our product candidates, and we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potential future commercialization efforts.</w:t>
      </w:r>
    </w:p>
    <w:p>
      <w:pPr>
        <w:spacing w:after="0" w:line="67"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potential future commercialization efforts.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rely on third-party manufacturers, which entails additional risks, including:</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perform the manufacturing process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specifications;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manufacturers at times that are costly or inconvenient for us.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and when approved.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if and when approved.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potential future commercialization of our product candidates.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Furthermore, if we breach or are perceived to breach our contractual obligations or otherwise default under our agreements with third parties, or if we otherwise have contractual disputes with such third parties, it may lead to adverse outcomes, including potential delays, unforeseen expenses, or the termination of those contracts.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potential future commercialization efforts.</w:t>
      </w:r>
    </w:p>
    <w:p>
      <w:pPr>
        <w:spacing w:after="0" w:line="7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 candidates commercially, and we cannot assure you that we can manufacture our product candidates in compliance with regulations at a cost or in quantities necessary to make them commercially viable.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manufacturing facilities at our Cambridge, Massachusetts locations where we conduct process development, scale-up activities, the manufacture of active components for our biotherapeutic candidates, and quality control testing. We additionally utilize third-party contract manufacturers and test labs to perform product packaging and additional quality control testing. We may or may not utilize existing facilities and third-party vendors for future production, including to support commercial scale supply. We have no experience in manufacturing our product candidates to meet potential market demands and we may not be able to develop commercial-scale manufacturing facilities that are adequate to produce materials for commercial use.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We have not yet had our manufacturing facilities inspected for our product candidates.</w:t>
      </w:r>
    </w:p>
    <w:p>
      <w:pPr>
        <w:spacing w:after="0" w:line="8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Product Candidates and Other Legal Matters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to achieve the degree of market acceptance by physicians, patients, hospitals, third-party payors and others in the medical community necessary for commercial success.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our product candidates may nonetheless fail to gain sufficient market acceptance by physicians, patients, third-party payors and others in the medical community. If our product candidates (if and when they are approved) do not achieve an adequate level of acceptance, we may not become profitable. The degree of market acceptance of any of our product candidates, if approved,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and when approved, together with other medications;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products, if and when approved, with other medicines patients are taking;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to take our products, if and when approved.</w:t>
      </w:r>
    </w:p>
    <w:p>
      <w:pPr>
        <w:spacing w:after="0" w:line="11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any of our product candidates if and when they are approved.</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employees with experience in sales and marketing, but we have limited sales or marketing infrastructure and, as a company, have little experience in the sale, marketing, and distribution of pharmaceutical products. To achieve commercial success for any other product for which we obtain marketing approval, we will need to establish a sales and marketing organization and we may not be successful in doing so.</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or certain components of such infrastructure, if we were to market our product candidates, if and when they are approved in the United States and potentially elsewhere. There are risks involved with establishing our own sales, marketing and distribution capabilities. For example, recruiting and training a sales force is expensive and time-consuming and could delay the launch of any approved product.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any collaborators cannot retain or reposition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efforts to commercialize our product candidates, if and when approved, include:</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third-party payors and governmental agencies.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we intend to rely and may increasingly rely on third parties to sell, market and distribute our product candidates, if and when approved. We may not be successful in entering into arrangements with such third parties or may be unable to do so on terms that are favorable to us. In addition,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 candidates, if and when they are approved, effectively. If we do not establish sales, marketing and distribution capabilities successfully, either on our own or in collaboration with third parties, we will not be successful in commercializing our product candidates.</w:t>
      </w:r>
    </w:p>
    <w:p>
      <w:pPr>
        <w:spacing w:after="0" w:line="7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or commercialization of products, including live biotherapeutics, for disease indications we are targeting. Some of these competitive products and therapies are based on scientific approaches that are the same as or similar to our approach, and others may be based on entirely different approaches.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380" w:firstLine="509"/>
        <w:spacing w:after="0" w:line="312"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3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have or may in the future develop. Our competitors also may obtain FDA or other regulatory approval for their product candidates more rapidly than we may obtain approval for ours, which could result in our competitors establishing a strong market position before we are able to enter the market, especially for any competitor developing a live biotherapeutic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product candidates, if approved, the products may become subject to unfavorable pricing regulations or third-party coverage and reimbursement policies, any of which would harm our business.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 candidates may be difficult. We cannot be certain if and when we will obtain an adequate level of reimbursement for our product candidates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potential royalties resulting from the sales of those products may also be adversely impacted.</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100"/>
        <w:spacing w:after="0" w:line="282" w:lineRule="auto"/>
        <w:rPr>
          <w:sz w:val="20"/>
          <w:szCs w:val="20"/>
          <w:color w:val="auto"/>
        </w:rPr>
      </w:pPr>
      <w:r>
        <w:rPr>
          <w:rFonts w:ascii="Times New Roman" w:cs="Times New Roman" w:eastAsia="Times New Roman" w:hAnsi="Times New Roman"/>
          <w:sz w:val="18"/>
          <w:szCs w:val="18"/>
          <w:color w:val="auto"/>
        </w:rPr>
        <w:t>countries, will be considered medically necessary for a specific indication or cost-effective, or that coverage or an adequate level of reimbursement will be available.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an even greater risk with the commercial sale of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or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develop, if any.</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occurrence limit of $10.0 million, which may not be adequate to cover all liabilities that we may incur. We may need to increase our insurance coverage as we expand our clinical trials, or if we commence commercialization of our product candidates, if and when approved.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impact on the future commercial prospects of our product candidates.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we obtain approval or any of our product candidates,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four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though the FDA may not approve an application relying on such data for a further eight years.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8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also qualify for the 12-year period of reference product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EU,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 candidates. If competitors are able to obtain marketing approval for biosimilars referencing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700"/>
        <w:spacing w:after="0" w:line="282" w:lineRule="auto"/>
        <w:rPr>
          <w:sz w:val="20"/>
          <w:szCs w:val="20"/>
          <w:color w:val="auto"/>
        </w:rPr>
      </w:pPr>
      <w:r>
        <w:rPr>
          <w:rFonts w:ascii="Times New Roman" w:cs="Times New Roman" w:eastAsia="Times New Roman" w:hAnsi="Times New Roman"/>
          <w:sz w:val="18"/>
          <w:szCs w:val="18"/>
          <w:color w:val="auto"/>
        </w:rPr>
        <w:t>product candidates, our product candidates may become subject to competition from such biosimilars, with the attendant competitive pressure and consequences.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1"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candidates in the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remain subject to significant post-marketing regulatory requirements and oversight.</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any collaborator and others with whom we work, must continue to expend time, money and effort in all areas of regulatory compliance, including manufacturing, production and quality control.</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any collaborators may also lead to investigations alleging violations of federal and state health care fraud and abuse laws, as well as state consumer protection laws.</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addition, if a regulatory authority, we or any collaborators later discover previously unknown problems with our product candidates, such as adverse events of unanticipated severity or frequency, problems with manufacturers or manufacturing processes, or failure to comply with regulatory requirements, the regulatory authority may impose restrictions on the products or us and any collaborators, including requiring withdrawal of the product from the market. Any failure by us or any collaborators to comply with applicable regulatory requirements may yield various results, including:</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 if and when they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potential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if and when they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1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w:t>
      </w:r>
    </w:p>
    <w:p>
      <w:pPr>
        <w:spacing w:after="0" w:line="6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any collaborators are found to have improperly promoted off-label uses of approved products, including any of our product candidates that may be approved in the future,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Physicians may nevertheless prescribe a product candidate that is approved in future, if any, to their patients in a manner that is inconsistent with the approved label. If we or any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and any collaborators' relationships with customers, physicians and third-party payors are and will be subject to applicable anti-kickback, fraud and abuse and other healthcare laws and regulations, which could expose us or any collaborators to criminal sanctions, civil penalties, exclusion from governmental healthcare programs, contractual damages, reputational harm and diminished profits and future earnings.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and any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other products for which we may in the future obtain marketing approval. Restrictions under applicable federal and state healthcare laws and regulations include the following:</w:t>
      </w:r>
    </w:p>
    <w:p>
      <w:pPr>
        <w:spacing w:after="0" w:line="75" w:lineRule="exact"/>
        <w:rPr>
          <w:sz w:val="20"/>
          <w:szCs w:val="20"/>
          <w:color w:val="auto"/>
        </w:rPr>
      </w:pPr>
    </w:p>
    <w:p>
      <w:pPr>
        <w:ind w:left="1020" w:right="1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1020" w:right="60"/>
        <w:spacing w:after="0" w:line="282" w:lineRule="auto"/>
        <w:rPr>
          <w:sz w:val="20"/>
          <w:szCs w:val="20"/>
          <w:color w:val="auto"/>
        </w:rPr>
      </w:pPr>
      <w:r>
        <w:rPr>
          <w:rFonts w:ascii="Times New Roman" w:cs="Times New Roman" w:eastAsia="Times New Roman" w:hAnsi="Times New Roman"/>
          <w:sz w:val="18"/>
          <w:szCs w:val="18"/>
          <w:color w:val="auto"/>
        </w:rPr>
        <w:t>may be made under a federal healthcare program, such as Medicare and Medicaid; a person or entity does not need to have actual knowledge of the statute or specific intent to violate it to have committed a violation;</w:t>
      </w:r>
    </w:p>
    <w:p>
      <w:pPr>
        <w:spacing w:after="0" w:line="54" w:lineRule="exact"/>
        <w:rPr>
          <w:sz w:val="20"/>
          <w:szCs w:val="20"/>
          <w:color w:val="auto"/>
        </w:rPr>
      </w:pPr>
    </w:p>
    <w:p>
      <w:pPr>
        <w:ind w:left="1020" w:right="240" w:hanging="503"/>
        <w:spacing w:after="0" w:line="25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7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To the extent our patient assistance programs are found to be inconsistent with applicable laws, we may be required to restructure or discontinue such programs, or be subject to other significant penalties;</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67"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spacing w:after="0" w:line="75" w:lineRule="exact"/>
        <w:rPr>
          <w:rFonts w:ascii="Times New Roman" w:cs="Times New Roman" w:eastAsia="Times New Roman" w:hAnsi="Times New Roman"/>
          <w:sz w:val="18"/>
          <w:szCs w:val="18"/>
          <w:color w:val="auto"/>
        </w:rPr>
      </w:pPr>
    </w:p>
    <w:p>
      <w:pPr>
        <w:ind w:left="1020" w:right="160" w:hanging="503"/>
        <w:spacing w:after="0" w:line="25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risk of us or any collaborators being found in violation of these laws is increased by the fact that many of them have not been fully interpreted by the regulatory authorities or the courts, and their provisions are open to a variety of interpretations. Any action against us or any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7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Among the provisions of the ACA of importance to our other potential product candidates are the following:</w:t>
      </w:r>
    </w:p>
    <w:p>
      <w:pPr>
        <w:spacing w:after="0" w:line="117" w:lineRule="exact"/>
        <w:rPr>
          <w:sz w:val="20"/>
          <w:szCs w:val="20"/>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pathway for approval of lower-cost biosimilars to compete with biologic products, such as those we are developing or commercializing;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enacted in August 2011, required sequestration that included aggregate reductions of Medicare payments to providers, which went into effect on April 1, 2013 and, due to subsequent legislative amendments, will remain in effect through 2032, unless additional Congressional action is taken. Under current legislation, the actual reduction in Medicare payments will increase in future years of the sequester.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 in March 2021, the American Rescue Plan Act of 2021 was signed into law,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 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price our product candidates, if and when they are approved, at what we consider to be a fair or competitive price, generate revenue, attain profitability, or commercialize our product candidates, if approved.</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Most significantly, on August 16,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 Centers for Medicare &amp; Medicaid Services, or CMS, has published the negotiated prices for the initial ten drugs, which will first be effective in 2026, and has published the list of the subsequent 15 drugs that will be subject to negotiation, although the Medicare drug price negotiation program is currently subject to legal challenges. Legally mandated price controls on payment amounts by third-party payors or other restrictions could harm our ability to price our product candidates, if and when they are approved, appropriately, which could negatively impact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 candidates, if and when they are approved, are unavailable or limited in scope or amount, or if pricing is set at unsatisfactory levels that impacts our ability to compete with other products or our ability to recoup our costs of developing our product candidates, our business could be harmed, possibly materially.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 candidates.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various stages. We have successfully obtained multiple patents (both U.S. and foreign) in some patent families. In others, prosecution is at an early stage (e.g., provisional or PCT stage). For many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obtained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patent portfolio currently includes 21 active patent application families (which includes exclusive licenses to certain IP from Memorial Sloan Kettering Cancer Center). Of these, 19 applications have been nationalized, one is at the PCT stage, and one is at the provisional stage. To date, we have obtained issuance of 31 U.S. patents (which includes three as licensee). Of the issued U.S. patents, 13 U.S. patents (including one as licensee) have been assigned to Nestlé Health Science as part of its purchase of VOWST.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there can be no assurance that an alternative composition that may fall outside the scope of such claims will not be equally effective. Further, while our product candidates are made up of specific cultivated bacteria, third-party compositions may have greater complexity and variability (e.g., lot to lot variations), and it is possible that a patent claim may provide coverage for some but not all third-party compositions. These and other factors may provide opportunities for our competitors to design around our patents, should they issue.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 candidates. In addition, given the on-going prosecution of our portfolio, we continue development of our understanding of how patent offices react to our patent claims and whether they identify prior art of relevance that we have not already considered.</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Times New Roman" w:cs="Times New Roman" w:eastAsia="Times New Roman" w:hAnsi="Times New Roman"/>
          <w:sz w:val="18"/>
          <w:szCs w:val="18"/>
          <w:i w:val="1"/>
          <w:iCs w:val="1"/>
          <w:color w:val="auto"/>
        </w:rPr>
        <w:t>Third parties may initiate legal proceedings alleging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we are infringing their intellectual property rights, the outcome of which would be uncertain and could have a material adverse effect on the success of our business</w:t>
      </w:r>
      <w:r>
        <w:rPr>
          <w:rFonts w:ascii="Times New Roman" w:cs="Times New Roman" w:eastAsia="Times New Roman" w:hAnsi="Times New Roman"/>
          <w:sz w:val="18"/>
          <w:szCs w:val="18"/>
          <w:color w:val="auto"/>
        </w:rPr>
        <w:t>.” The oral proceedings were held at the European Patent Office on February 18, 2019 and the Opposition Division required The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if issued, will include claims having a scope sufficient to protect any products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any of our product candidates, if approved, before our relevant patents expire;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any existing patent and pending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or design around our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not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obtain and/or maintain necessary or useful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may be harmed.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0"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569 U.S. 12-398 (2013);</w:t>
      </w:r>
      <w:r>
        <w:rPr>
          <w:rFonts w:ascii="Times New Roman" w:cs="Times New Roman" w:eastAsia="Times New Roman" w:hAnsi="Times New Roman"/>
          <w:sz w:val="18"/>
          <w:szCs w:val="18"/>
          <w:i w:val="1"/>
          <w:iCs w:val="1"/>
          <w:color w:val="auto"/>
        </w:rPr>
        <w:t xml:space="preserve"> Alice Corp. v. CLS Bank International</w:t>
      </w:r>
      <w:r>
        <w:rPr>
          <w:rFonts w:ascii="Times New Roman" w:cs="Times New Roman" w:eastAsia="Times New Roman" w:hAnsi="Times New Roman"/>
          <w:sz w:val="18"/>
          <w:szCs w:val="18"/>
          <w:color w:val="auto"/>
        </w:rPr>
        <w:t>, 573 U.S. 13-298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566 U.S. 10-1150 (2012). In response to these cases, the USPTO has issued guidance to the examining corps.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USPTO first issued a memorandum reflecting the USPTO’s interpretation of the cases related to patent eligibility of natural products on March 4, 2014, which it subsequently revised and expanded upon in several additional updates now incorporated into its Manual of Patent Examination Procedure. The USPTO’s interpretation of the case law and new guidelines for examination may influence, possibly adversely, prosecution and defense of certain types of claims in our portfolio.</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if approved, and use our proprietary technologies without infringing the proprietary rights of third parties. There is considerable intellectual property litigation in the biotechnology and pharmaceutical industries. For example, on August 20, 2024, Vedanta Biosciences, Inc. and The University of Tokyo filed a complaint against us and Nestlé S.A., Nestlé Health Science S.A., Nestlé Health Science US Holdings, Inc. and SPN in the United States District Court for the District of Delaware alleging that the making, sale and use of VOWST infringes on U.S. Patent Nos. 9,433,652, 9,662,381, 9,808,519, 10,555,978, and 11,090,343. The complaint seeks unspecified damages, fees, expenses and injunctive relief. We believe the complaint is without merit and intend to defend ourself vigorously against the claims. While we have not been held by any court to have infringed a third party’s intellectual property rights, we cannot guarantee that our technology or our product candidates, or use of our product candidates do not infringe third-party patents.</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or our product candidates. In addition, we may be unaware of one or more issued patents that would be infringed by the manufacture, sale or use of our product candidates,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or our product candidates or the use of our product candidates.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Oppositions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7" w:name="page58"/>
    <w:bookmarkEnd w:id="57"/>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In addition, intellectual property litigation or claims could force us to do one or more of the following:</w:t>
      </w:r>
    </w:p>
    <w:p>
      <w:pPr>
        <w:spacing w:after="0" w:line="7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or could be interpreted narrowly if challenged in court.</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84"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or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potential future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and execution. Our consultants and advisors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ind w:right="320"/>
        <w:spacing w:after="0" w:line="282" w:lineRule="auto"/>
        <w:rPr>
          <w:sz w:val="20"/>
          <w:szCs w:val="20"/>
          <w:color w:val="auto"/>
        </w:rPr>
      </w:pPr>
      <w:r>
        <w:rPr>
          <w:rFonts w:ascii="Times New Roman" w:cs="Times New Roman" w:eastAsia="Times New Roman" w:hAnsi="Times New Roman"/>
          <w:sz w:val="18"/>
          <w:szCs w:val="18"/>
          <w:color w:val="auto"/>
        </w:rPr>
        <w:t>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expanding internationally if any of our product candidates receive regulatory approval. We have conducted clinical studies in Australia and New Zealand in the past, and will likely in the future conduct clinical studies in other countries as well. Doing business internationally involves a number of risks, including but not limited to:</w:t>
      </w:r>
    </w:p>
    <w:p>
      <w:pPr>
        <w:spacing w:after="0" w:line="68" w:lineRule="exact"/>
        <w:rPr>
          <w:sz w:val="20"/>
          <w:szCs w:val="20"/>
          <w:color w:val="auto"/>
        </w:rPr>
      </w:pPr>
    </w:p>
    <w:p>
      <w:pPr>
        <w:ind w:left="1020" w:right="4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including tariffs,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a continued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as a result of severe weather events, climate change or otherwise), which could cause significant damage to the infrastructure upon which our business operations rely, and the timing, nature or severity of which we may be unable to prepare for;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outbreak of disease or epidemics, boycotts, curtailment of trade and other business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personally identifiable information, intellectual property and proprietary business information owned or controlled by ourselves or our employees and other third parties. We manage and maintain our applications and data utilizing a combination of on-site systems and cloud-based data centers. We utilize external security and infrastructure vendors to manage parts of our data centers, and as a result a number of third-party vendors may or could have access to our confidential information.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or unauthorized access, use, modification or disclosure, and the risk of our being unable to adequately monitor and audit and modify our controls over our confidential information. This risk extends to the third-party vendors and subcontractors we use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line="255" w:lineRule="auto"/>
        <w:rPr>
          <w:sz w:val="20"/>
          <w:szCs w:val="20"/>
          <w:color w:val="auto"/>
        </w:rPr>
      </w:pPr>
      <w:r>
        <w:rPr>
          <w:rFonts w:ascii="Times New Roman" w:cs="Times New Roman" w:eastAsia="Times New Roman" w:hAnsi="Times New Roman"/>
          <w:sz w:val="18"/>
          <w:szCs w:val="18"/>
          <w:color w:val="auto"/>
        </w:rPr>
        <w:t>manage this sensitive data or otherwise process it on our behalf.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attempts or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If we or our third-party vendors were to experience a significant cybersecurity breach of our or their information technology systems or data, the costs associated with the investigation and remediation could be material. Any such real or perceived unauthorized access or use, breach, or other loss of confidential information could also result in regulatory scrutiny, reputational harm, legal claims or proceedings, and liability under federal or state laws that protect the privacy of personal information, and regulatory enforcement, including penalties or fines. Notice of breaches may be required to affected individuals or state, federal or foreign regulators, and for extensive breaches, notice may need to be made to the media or State Attorneys General. Such notifications could be costly, harm our reputation and our ability to compete. Although we have implemented security measures to prevent unauthorized access, such data is currently accessible through multiple channels, and there is no guarantee that our cybersecurity risk management program and processes, including our policies, controls or procedures, will be fully implemented, complied with or effective in protecting our systems and data from breach.</w:t>
      </w:r>
    </w:p>
    <w:p>
      <w:pPr>
        <w:spacing w:after="0" w:line="7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results of operations, financial performance and business.</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or collectively,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European Union General Data Protection Regulation, or the GDPR, went into effect in May 2018 and imposes strict requirements for processing the personal data of individuals within the European Economic Area, or EEA, or in the context of our activities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or DPF, rendering the DPF effective as a GDPR transfer mechanism to U.S. entities self-certified under the DPF.</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after the end of the transition period following the UK’s departure from the European Union, we are also subject to the UK General Data Protection Regulation and Data Protection Act 2018, or collectively, the UK GDPR, which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dispositions, or joint ventures could disrupt our business, cause dilution to our stockholders and otherwise harm our business.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acquire other businesses, products or technologies as well as pursue strategic alliances, joint ventures, technology licenses, investments in complementary businesses, or dispose of assets. We have not made any acquisitions to date, and our ability to do so successfully is unproven. On September 30, 2024, we completed the sale of our VOWST Business to SPN, which included all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Any of these transactions could be material to our financial condition and operating results and expose us to many risks, including:</w:t>
      </w:r>
    </w:p>
    <w:p>
      <w:pPr>
        <w:spacing w:after="0" w:line="7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 or disposed assets or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cybersecurity risks and vulnerabilities from any newly acquired information technology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or integrating acquired personnel, technologies and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transaction, acquisition integration, or disposition-related challenges;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or disposed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acquisition or disposition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dispositions, or the effect that any such transactions might have on our operating results.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then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changing laws and regulations, which exposes us to potential liabilities, increased costs and other adverse effects on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complex and changing laws, regulations, and executive orders, and compliance with these laws and regulations and executive orders is onerous and expensive. New and changing laws, regulations, and executive orders can adversely affect our business by increasing our costs, limiting the Company’s ability to pursue or offer a product candidate or product, and requiring changes to our business. New and changing laws, regulations, and executive orders can also create uncertainty about how such laws and regulations will be interpreted and applied. Regulatory changes and other actions that materially adversely affect our business may be announced with little or no advance notice we may not be 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credits to offset future taxable income or income tax liabilities may be subject to certain limitations.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we had net operating loss carryforwards, or NOLs, of $580.1 million for federal income tax purposes and $543.6 million for state income tax purposes, which may be available to offset our future taxable income, if any. Our federal NOLs subject to expiration begin to expire in various amounts in 2035. Our federal NOLs generated in taxable years beginning after December 31, 2017 are not subject to expiration, but may generally only be used to offset 80% of taxable income in years beginning after December 31, 2020. Our state NOLs also begin to expire in various amounts in 2035. As of December 31, 2024, we also had federal and state research and development and other tax credit carryforwards of approximately $46.5 million and $8.1 million, respectively, net of uncertain tax position reserves, available to reduce future income tax liabilities, if any. Our federal and state tax credit carryforwards begin to expire in various amounts in 2031 and 2028, respectively. The federal research and development tax credit carryforwards include an orphan drug credit carryforward of $25.9 million. These NOLs and tax credit carryforwards could expire unused, to the extent subject to expiration, and be unavailable to offset future taxable income or income tax liabilities.</w:t>
      </w:r>
    </w:p>
    <w:p>
      <w:pPr>
        <w:spacing w:after="0" w:line="8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in general, under Sections 382 and 383 of the U.S. Internal Revenue Code of 1986, as amended, a corporation that undergoes an “ownership change” is subject to limitations on its ability to use its pre-change NOLs and tax credit carryforwards to offset future taxable income and income taxes. For these purposes, an ownership change generally occurs where the aggregate change in stock ownership of one or more stockholders or groups of stockholders owning at least 5% of a corporation’s stock exceeds 50 percentage points over a rolling three-year period. Similar rules may apply under state tax laws. We have experienced ownership changes in the past, per a Section 382 study performed through December 31, 2020. We believe that none of our existing tax assets will expire unused as a result of the calculated limitations resulting from such ownership changes. However, we may have experienced additional ownership changes since December 31, 2020, and we may experience ownership changes in the future as a result of future transactions in our stock, some of which may be outside our control. If we have undergone additional ownership changes, or if we undergo ownership changes in the future,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5" w:name="page66"/>
    <w:bookmarkEnd w:id="65"/>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a notice of the failure to satisfy a continued listing rule from Nasdaq.</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Nasdaq maintains several requirements for continued listing of our common stock, one of which is the maintenance of a minimum closing bid price of $1.00. On November 7, 2024, we received written notice from Nasdaq notifying us that, for the last 30 consecutive business days, the bid price for our common stock had closed below the $1.00 Bid Price Requirement for continued inclusion on The Nasdaq Global Select Market. The notice had no immediate effect on the listing of our common stock, which continues to trade on The Nasdaq Global Select Market under the symbol "MCRB". Pursuant to the Nasdaq listing rules, we were provided a period of 180 calendar days, or until May 6, 2025 to regain compliance with the Bid Price Requirement. If we do not regain compliance with this requirement by May 6, 2025, we may be eligible for an additional 180-calendar day compliance period by transferring the listing of our common stock to The Nasdaq Capital Market and satisfying certain requirements. To qualify for the additional grace period, we would be required to submit a transfer application for transfer between Nasdaq market tiers and pay an application fee. In addition, we would be required to meet the continued listing requirement for the market value of our publicly held shares and all other applicable initial listing standards for The Nasdaq Capital Market, with the exception of the Bid Price Requirement, and would need to provide written notice of our intention to cure the deficiency during the second grace period. If we fail to regain compliance during the compliance period (including a second compliance period provided by a transfer to The Nasdaq Capital Market, if applicable), then we expect that Nasdaq will notify us of its determination to delist our common stock, at which point we may appeal Nasdaq’s delisting determination to a Nasdaq hearing panel or pursue other available options to regain compliance. If we fail to regain compliance during a second 180-day compliance period, and we appeal a Nasdaq delisting determination to a Nasdaq hearing panel, our common stock will be immediately suspended from trading on Nasdaq during the pendency of the hearings panel review and would trade in over-the-counter (“OTC”) market while that appeal is pending.</w:t>
      </w:r>
    </w:p>
    <w:p>
      <w:pPr>
        <w:spacing w:after="0" w:line="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have and intend to continue to actively monitor the closing bid price of our common stock. After considering all available options to regain compliance with the Bid Price Requirement, our board of directors intends to recommend that our stockholders approve amendments to our restated certificate of incorporation to effect a reverse stock split of our common stock at our 2025 Annual Meeting of Stockholders. However, there can be no assurance that any such reverse stock split, if approved by the stockholders and implemented, would increase the market price of our common stock in proportion to the reverse split ratio or result in a sustained increase in the market price of our common stock. In addition, it is possible that the reduced number of issued shares of common stock resulting from such a reverse stock split could adversely affect the liquidity of our common stock. Furthermore, if, in the future, our common stock fails to meet the Bid Price Requirement and we have effected a reverse stock split within the prior one-year period, we will not be eligible for any compliance period to address the bid price deficiency and would be issued a delisting determination rather than be granted a compliance period. Under these circumstances, we could appeal the delisting determination to a Nasdaq hearing panel, during which time any suspension or delisting action will be stayed. There can also be no assurance that we will regain compliance with the Bid Price Requirement during the 180-day compliance period, secure a second 180-day period to regain compliance, maintain compliance with the other Nasdaq listing requirements, or be successful in appealing any delisting determination.</w:t>
      </w:r>
    </w:p>
    <w:p>
      <w:pPr>
        <w:spacing w:after="0" w:line="8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If our common stock is delisted in the future, it is unlikely that we will be able to list our common stock on another national securities exchange on a timely basis or at all, and, as a result, we expect our securities would be quoted on an OTC market. If this were to occur, we and our stockholders could face significant material adverse consequences, including limited availability of market quotations and analyst coverage for our common stock, and reduced liquidity for the trading of our securities.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owned more than 5% of our outstanding common stock and their respective affiliates, in the aggregate, hold shares representing approximately 38% of our outstanding voting stock as of December 31, 2024.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w:t>
      </w:r>
    </w:p>
    <w:p>
      <w:pPr>
        <w:spacing w:after="0" w:line="7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under the rules promulgated under the Exchange Act. We will remain a smaller reporting company until the fiscal year following the determination that both (i) the value of our voting and non-voting common shares held by non-affiliates is more than $250.0 million measured on the last business day of our second fiscal quarter and (ii) our annual revenues are more than $100.0 million during the most recently completed fiscal year and the value of our voting and non voting common shares held by non-affiliates is $700.0 million or more as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8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and may in the future take advantage of these or others.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6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67"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65" w:lineRule="exact"/>
        <w:rPr>
          <w:sz w:val="20"/>
          <w:szCs w:val="20"/>
          <w:color w:val="auto"/>
        </w:rPr>
      </w:pPr>
    </w:p>
    <w:p>
      <w:pPr>
        <w:ind w:left="1020" w:right="2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1020" w:right="8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any future debt agreements may preclude us from paying dividends. As a result, capital appreciation, if any, of our common stock will be our stockholders’ sole source of gain for the foreseeable future.</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the Transaction with SPN;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the benefits of strategic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requirement for additional funding in the first quarter of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stock exchange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potential future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any future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may make our product candidates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business, our common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9" w:name="page70"/>
    <w:bookmarkEnd w:id="69"/>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0" w:name="page71"/>
    <w:bookmarkEnd w:id="70"/>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Additionally, we are no longer a non-accelerated filer, so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and conflicting laws, regulations, trends and stakeholder expectations relating to environmental, social and governance, or ESG, practices or reporting could adversely impact our reputation, share price and access to and cost of capital or otherwise adversely impact our business.</w:t>
      </w:r>
    </w:p>
    <w:p>
      <w:pPr>
        <w:spacing w:after="0" w:line="6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 participants, as well as governments, regulators, customers, patients, employees and other stakeholders or third parties, have become increasingly focused on companies’ ESG practices, including the impact of business on the environment.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reputation could be damaged if we do not, or are perceived not to, meet evolving stakeholder demand with respect to ESG matters, which could adversely affect our business, financial condition, profitability and cash flows. We may be criticized for our lack of ESG initiatives or goals or perceived as not taking sufficient action or for taking too much action in connection with any of these matters. In turn, we may take certain or terminate other actions to respond to evolving demand by regulators, governmental officials, investors, employees and other stakeholder; however, such actions may be costly or be subject to numerous conditions that are outside our control, and we cannot guarantee that we will meet these goals or targets or that such actions will have the desired effect even if met.</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has been an increase in litigation claiming that corporate diversity, equity and inclusion programs may inappropriately discriminate against certain groups. Relatedly, both advocates and opponents to certain environmental and social matters are increasingly resorting to a range of activism forms, including media campaigns, shareholder proposals, and litigation, to advance their perspectives. To the extent we are subject to such litigation, activism or pressure, we may be require to incur costs or it may otherwise adversely impact our business or reputation.</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for our compliance costs with these laws, regulations, and reporting requirements to increase in the future, and any failure, or perceived failure, by us to adhere to such laws, regulations, and reporting requirements, or meet evolving and varied stakeholder expectations and standards, could harm our business, reputation,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security incident response plan.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right="5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incident response plan that includes procedures for responding to cybersecurity incidents;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based on our assessment of their criticality to our operations and respective risk profile, suppliers, and vendors who have access to our critical systems and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to cover us for costs and expenses we may incur due to a cybersecurity incident.</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“Risk Factors— Risks Related to Our Operations—Our business and operations may suffer in the event of information technology system failures, cyberattacks or deficiencies in our cybersecurity.”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Audit Committee receives quarterly reports from our Chief Information Officer, or CIO, on our cybersecurity risks. In addition, our CIO updates the Audit Committee, as necessary, regarding any material cybersecurity incidents, as well as any incidents with lesser impact potential. The Audit Committee reports to the full Board regarding its activities, including those related to cybersecurity.</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CIO,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CIO has over three decades of IT experience in life sciences organizations. Her cybersecurity work includes the development and implementation of cybersecurity policies, platforms, and robust end-user training curriculums. Our CIO and IT Information Security Group work together to monitor and report cybersecurity trends and threats to management. Additionally, we work with an external IT partner and external cybersecurity counsel to assess, identify, and manage risks from cybersecurity threats. The IT Information Security Group undertakes table-top business disruption, disaster recovery and related response strategies, and plans on a periodic basis, and aims to review, and if appropriate update, applicable policies and procedures annually.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spacing w:after="0" w:line="261" w:lineRule="auto"/>
        <w:rPr>
          <w:sz w:val="20"/>
          <w:szCs w:val="20"/>
          <w:color w:val="auto"/>
        </w:rPr>
      </w:pPr>
      <w:r>
        <w:rPr>
          <w:rFonts w:ascii="Times New Roman" w:cs="Times New Roman" w:eastAsia="Times New Roman" w:hAnsi="Times New Roman"/>
          <w:sz w:val="18"/>
          <w:szCs w:val="18"/>
          <w:color w:val="auto"/>
        </w:rPr>
        <w:t>Our management team and IT Information Security Group takes steps to stay informed about and monitor efforts to prevent, detect, mitigate, and remediate cybersecurity risks and incidents through various means, which may include briefings from internal security personnel; threat intelligence and other information obtained from public or private sources, including external consultants engaged by us; and alerts and reports produced by security tools deployed in the IT environment.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Research and Offices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Cambridge, Massachusetts, where we lease approximately 82,714 square feet of office, research, development, warehouse and laboratory space under a lease that expires in March 2033.</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Clinical Manufacturing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currently conduct our manufacturing operations in our leased facilities in Cambridge, Massachusetts, where we conduct process development, scale-up activities, the manufacture of active components for our biotherapeutic candidates, and quality control testing.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7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“MCRB” since June 26, 2015. Prior to that time, there was no public market for our common stock.</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March 1, 2025, there were approximately eleven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inception and do not anticipate paying cash dividends in the foreseeable future. See “Management’s Discussion and Analysis of Financial Condition and Results of Operations – Liquidity and Capital Resources.”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than as previously reported in a Current Report on Form 8-K, we did not make any sales of unregistered securities during the quarter ended December 31, 2024.</w:t>
      </w:r>
    </w:p>
    <w:p>
      <w:pPr>
        <w:spacing w:after="0" w:line="5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quarter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appearing elsewhere in this Annual Report on Form 10-K. Some of the information contained in this discussion and analysis or set forth elsewhere in this Annual Report on Form 10-K, such as statements regarding our plans, objectives, expectations, intentions and projections,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74"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the years ended December 31, 2024 and 2023, including a year-to-year comparison between 2024 and 2023, is presented below.</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company focused on improving patient outcomes in medically vulnerable populations through novel live biotherapeutics. We led the successful development and approval of VOWST, the first FDA-approved orally administered microbiome therapeutic, which was sold to Société des Produits Nestlé S.A., or SPN, and with certain of its affiliates, collectively, Nestlé Health Science, in September 2024. We are progressing the development of SER-155, an investigational, oral, live biotherapeutic designed to decolonize gastrointestinal, or GI, pathogens, improve epithelial barrier integrity, and regulate immune response to prevent bacterial bloodstream infections, or BSIs, as well as other pathogen-associated negative clinical outcomes in patients undergoing allogeneic hematopoietic stem cell transplantation, or allo-HSCT. SER-155 and our other pipeline programs are designed to target multiple disease-relevant pathways and are manufactured from standard clonal cell banks via single-strain cultivation, rather than from the donor-sourced production process used for VOWST.</w:t>
      </w:r>
    </w:p>
    <w:p>
      <w:pPr>
        <w:spacing w:after="0" w:line="8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our placebo-controlled Phase 1b study of SER-155 in allo-HSCT, Cohort 2 results demonstrated that SER-155 was associated with a significant reduction in both bloodstream infections and systemic antibiotic exposure as well as a lower incidence of febrile neutropenia, as compared to placebo through day 100 post HSCT. SER-155 was generally well tolerated, with no observed treatment-related serious adverse events. In December 2024, the FDA granted Breakthrough Therapy designation to SER-155 for the reduction of BSIs in patients 18 years and older undergoing allo-HSCT. 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In the first quarter of 2025, we received feedback from the FDA regarding the development strategy for SER-155 in patients undergoing allo-HSCT. The FDA provided input on certain elements of the next study, including a recommendation for a Phase 2 study and support for a reduction in BSIs 30 days post HSCT as the primary endpoint, and confirmed their expectations for the manufacture and control of SER-155. Incorporating the feedback, we are designing the next SER-155 allo-HSCT study, which we believe could be either a standalone Phase 2, or a Phase 2 as part of a Phase 2/3 seamless design. Both development paths are expected to include an adaptive design, with meaningful interim data analysis, when approximately half of the enrolled patients have reached the primary endpoint timepoint, informing the study path forward and potential indication expansion. The next study protocol will preserve many elements of the SER-155 Phase 1b study. We plan to submit the draft protocol, which we anticipate will be informed by potential further FDA interaction and partnership discussions, to the FDA in the second quarter of 2025 to obtain further feedback.</w:t>
      </w:r>
    </w:p>
    <w:p>
      <w:pPr>
        <w:spacing w:after="0" w:line="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live biotherapeutic candidates are consortia of bacteria designed to optimize specific, targeted pharmacological properties, and are formulated for oral delivery. We maintain a differentiated live biotherapeutics drug discovery and development platform that includes good manufacturing practices, or GMP, manufacturing capabilities for this novel drug modality. We are designing live biotherapeutic candidates optimized to prevent the colonization and overgrowth of pathogens in the gastrointestinal tract and modulate host function to increase epithelium integrity and to induce immune tolerance. We believe clinical and nonclinical data across our programs support the development of live biotherapeutics to target the prevention and treatment of a broad swath of infections, and in inflammatory and immune diseases. We believe that the scientific and clinical data from the development of VOWST (our then product candidate SER-109 program) and the data from the SER-155 Phase 1b study validate this novel therapeutic approach in the context of infection. We believe this approach may be replicable across different bacterial pathogens to develop live biotherapeutics with the potential to protect a range of medically compromised patients from infections, including pathogens that harbor AMR.</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allo-HSCT, we intend to evaluate SER-155 and other cultivated live biotherapeutic candidates in other medically vulnerable patient populations including autologous-HSCT patients, cancer patients with neutropenia, chimeric antigen receptors therapy recipients, individuals with chronic liver disease, or CLD, solid organ transplant recipients, as well as patients in the intensive care unit and long-term acute care facilities. Additional efforts in the early-stage portfolio are focused on the SER-301 program in inflammatory bowel disease, or IBD, with programmatic objectives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In addition, we continue to leverage microbiome pharmacokinetic and pharmacodynamic data from across our clinical and preclinical portfolios, using our reverse translational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ind w:right="720"/>
        <w:spacing w:after="0" w:line="282" w:lineRule="auto"/>
        <w:rPr>
          <w:sz w:val="20"/>
          <w:szCs w:val="20"/>
          <w:color w:val="auto"/>
        </w:rPr>
      </w:pPr>
      <w:r>
        <w:rPr>
          <w:rFonts w:ascii="Times New Roman" w:cs="Times New Roman" w:eastAsia="Times New Roman" w:hAnsi="Times New Roman"/>
          <w:sz w:val="18"/>
          <w:szCs w:val="18"/>
          <w:color w:val="auto"/>
        </w:rPr>
        <w:t>development platform to prioritize future drug targets and to identify opportunities for combination therapies across various indications, including inflammatory and immune diseases, cancer, and metabolic diseases.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which we call our MbTx Platform, for the discovery and development of live biotherapeutics,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microbiological capabilities and a strain library that spans broad biological and functional breadth. This platform and knowledge base enables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we own a valuable intellectual property estate related to the development and manufacture of live biotherapeutics.</w:t>
      </w:r>
    </w:p>
    <w:p>
      <w:pPr>
        <w:spacing w:after="0" w:line="8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are in early-stage clinical or preclinical development. Our ability to achieve profitability will depend heavily on the successful development and eventual commercialization of one or more of our product candidates. Since our inception, we have incurred significant operating losses. Our net loss from continuing operations was $125.8 million, $190.1 million, and $183.6 million for the years ended December 31, 2024, 2023, and 2022, respectively. As of December 31, 2024, we had an accumulated deficit of $978.1 million.</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While we plan to focus our investment on progressing the development of SER-155 and advancing our other wholly-owned live biotherapeutic candidates in the near-term, our expenses may increase in connection with these future activities. See “Risk Factors—Risks Related to Our Financial Position and Need for Additional Capital—</w:t>
      </w:r>
      <w:r>
        <w:rPr>
          <w:rFonts w:ascii="Times New Roman" w:cs="Times New Roman" w:eastAsia="Times New Roman" w:hAnsi="Times New Roman"/>
          <w:sz w:val="18"/>
          <w:szCs w:val="18"/>
          <w:i w:val="1"/>
          <w:iCs w:val="1"/>
          <w:color w:val="auto"/>
        </w:rPr>
        <w:t>We are a clinical-stage company and have incurred significant losses since our inception. We expect to incur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for the foreseeable future and may never achieve or maintain profitability.</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product candidates, we expect to incur costs related to product manufacturing and commercialization, including marketing, sales and distribution. Furthermore, we expect to continue to incur additional costs associated with operating as a public company.</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as we can generate significant revenue from product sales, if ever, we expect to finance our operations through a combination of collaborations with third parties, public or private equity or debt financings or other sources. Adequate additional financing may not be available to us on acceptable terms, or at all. For example, the trading prices for our and other biopharmaceutical companies’ stock have been highly volatile as a result of factors such as the impacts of pandemics, such as COVID-19, and increases in inflation rates or interest rates. As a result, we may face difficulties raising capital through sales of our common stock and any such sales may be on unfavorable terms. Our inability to raise capital or secure a partnership as and when needed would have a negative impact on our financial condition and our ability to pursue our business strategy. We will need to generate significant revenue to achieve profitability, and we may never do so.</w:t>
      </w:r>
    </w:p>
    <w:p>
      <w:pPr>
        <w:spacing w:after="0" w:line="81"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7"/>
          <w:szCs w:val="17"/>
          <w:color w:val="auto"/>
        </w:rPr>
        <w:t>As of December 31, 2024, we had cash and cash equivalents totaling $30.8 million. Based on our currently available cash resources, including the capital obtained from the Transaction, and the expected receipt of the Second Installment Payment, which is subject to material compliance with the TSA, and considering our future operating plans and our ongoing obligations related to the Transaction, we anticipate that we will require additional funding in the first quarter of 2026. In accordance with applicable accounting standards, we evaluated whether there are conditions and events, considered in the aggregate, that raise substantial doubt about our ability to continue as a going concern within 12 months after the date of the issuance of the consolidated financial statements included elsewhere in this Annual Report on Form 10-K. In performing this analysis, we excluded certain elements of our operating plan that cannot be considered probable of occurring. Under the applicable accounting standards, the receipt of contingent payments from the Transaction and any future equity issuances cannot be considered probable, as these events are outside our control. Accordingly, management has concluded that substantial doubt exists about our ability to continue as a going concern for 12 months from the date the consolidated financial statements included elsewhere in this Annual Report on Form 10-K, are issued. See “Risk Factors— Risks Related to Our Financial Position and Need for Additional Capital</w:t>
      </w:r>
    </w:p>
    <w:p>
      <w:pPr>
        <w:spacing w:after="0" w:line="4" w:lineRule="exact"/>
        <w:rPr>
          <w:sz w:val="20"/>
          <w:szCs w:val="20"/>
          <w:color w:val="auto"/>
        </w:rPr>
      </w:pPr>
    </w:p>
    <w:p>
      <w:pPr>
        <w:ind w:right="2140"/>
        <w:spacing w:after="0" w:line="3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have identified conditions and events that raise substantial doubt regarding our ability to continue as a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Sale of our VOWST Business to SPN</w:t>
      </w:r>
    </w:p>
    <w:p>
      <w:pPr>
        <w:ind w:firstLine="449"/>
        <w:spacing w:after="0" w:line="261" w:lineRule="auto"/>
        <w:rPr>
          <w:sz w:val="20"/>
          <w:szCs w:val="20"/>
          <w:color w:val="auto"/>
        </w:rPr>
      </w:pPr>
      <w:r>
        <w:rPr>
          <w:rFonts w:ascii="Times New Roman" w:cs="Times New Roman" w:eastAsia="Times New Roman" w:hAnsi="Times New Roman"/>
          <w:sz w:val="18"/>
          <w:szCs w:val="18"/>
          <w:color w:val="auto"/>
        </w:rPr>
        <w:t>VOWST (previously referred to as SER-109) was approved by the FDA on April 26, 2023, to prevent recurrence of CDI in individuals 18 years of age or older following antibacterial treatment for recurrent CDI. We launched VOWST in the United States with our then collaborator, Nestlé Health Science, in June 2023. On August 5, 2024, we entered into an Asset Purchase Agreement, or Purchase Agreement, with Société des Produits Nestlé S.A., or SPN, a wholly-owned subsidiary of Nestlé S.A., pursuant to which,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line="261" w:lineRule="auto"/>
        <w:rPr>
          <w:sz w:val="20"/>
          <w:szCs w:val="20"/>
          <w:color w:val="auto"/>
        </w:rPr>
      </w:pPr>
      <w:r>
        <w:rPr>
          <w:rFonts w:ascii="Times New Roman" w:cs="Times New Roman" w:eastAsia="Times New Roman" w:hAnsi="Times New Roman"/>
          <w:sz w:val="18"/>
          <w:szCs w:val="18"/>
          <w:color w:val="auto"/>
        </w:rPr>
        <w:t>after approval by our stockholders at a special meeting of stockholders held on September 26, 2024, we sold our VOWST microbiome therapeutic business, or the VOWST Business, to SPN and its designated affiliates on September 30, 2024, or the Transaction. Following the completion of the Transaction, or the Closing, our headcount decreased by approximately 100 employees, principally due to the transition of manufacturing and quality team members from Seres to Nestlé Health Science, positioning us to efficiently progress SER-155 and our other wholly-owned cultivated live biotherapeutic candidates.</w:t>
      </w:r>
    </w:p>
    <w:p>
      <w:pPr>
        <w:spacing w:after="0" w:line="72"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Purchase Agreement, we sold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or the Product, to SPN, and SPN assumed certain liabilities from us. As consideration for the Transaction, SPN paid or agreed to pay us, as applicable, the following Transaction Consideration:</w:t>
      </w:r>
    </w:p>
    <w:p>
      <w:pPr>
        <w:spacing w:after="0" w:line="75" w:lineRule="exact"/>
        <w:rPr>
          <w:sz w:val="20"/>
          <w:szCs w:val="20"/>
          <w:color w:val="auto"/>
        </w:rPr>
      </w:pPr>
    </w:p>
    <w:p>
      <w:pPr>
        <w:ind w:left="1020" w:right="20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upon Closing, of $100 million, less approximately $17.9 million owed by us to an affiliate of SPN as of March 31, 2024 under the prior license agreement between us and the SPN affiliate, and less approximately CHF 2.0 million in satisfaction of fees due under an existing manufacturing agreement between us and Bacthera;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due on July 1, 2025, or the Second Installment Payment (to be reduced by approximately $1.5 million related to certain employment obligations assumed by SPN, as described below), conditioned on our material compliance with obligations under the TSA (as defined below), which was entered into at Closing between us and Nestlé Enterprises S.A., an affiliate of SPN, or NESA;</w:t>
      </w:r>
    </w:p>
    <w:p>
      <w:pPr>
        <w:spacing w:after="0" w:line="71"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milestone payment tied to the achievement of worldwide annual net sales of the Product of $150 million, or the First Sales Milestone, which was paid in cash at Closing, or the Prepaid Milestone,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(as defined below); and</w:t>
      </w:r>
    </w:p>
    <w:p>
      <w:pPr>
        <w:spacing w:after="0" w:line="75"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period from Closing until December 31 of the calendar year in which the tenth anniversary of Closing occurs, or the Milestone Period, and together, the Future Milestone Payments and, together with the Prepaid Milestone, the Milestone Payments.</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Risk Factors— Risks Related to Our Financial Position and Need for Additional Capital— The total amount of the Second Installment 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Milestone Payments we may receive from the Transaction, and the amounts payable or due under the Profit Sharing Payments, are subject to various risks and uncertainties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(1) first, by set-off against all accrued interest on the Prepaid Milestone until the amount of such accrued interest has been paid in full, (2) second, by set-off against the outstanding balance of the Prepaid Milestone until the Prepaid Milestone has been repaid in full and (3)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Second Installment Payment due on July 1, 2025 will be reduced by approximately $1.5 million related to certain employment obligations assumed by SPN with respect to the period ending as of the Closing Date.</w:t>
      </w:r>
    </w:p>
    <w:p>
      <w:pPr>
        <w:spacing w:after="0" w:line="7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and SPN share 50/50 in the net profit or net loss achieved during the period from the Closing Date until December 31, 2025, or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we will reimburse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w:t>
      </w:r>
    </w:p>
    <w:p>
      <w:pPr>
        <w:spacing w:after="0" w:line="8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estimated the costs associated with these future payments and recorded them within accrued liabilities due to SPN - related party on our consolidated balance sheets as of the Closing. The contingent liabilities included $11.2 million associated with the Profit Sharing Payments, $2.8 million associated with the MSK Agreement, $1.5 million associated with our obligation to pay 80.1% of the costs associated with the lease of the Waltham facility through December 31, 2025, $1.5 million associated with certain employment-related costs for conveying employees, and $0.8 million associated with our ongoing post-marketing safety study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180"/>
        <w:spacing w:after="0" w:line="261" w:lineRule="auto"/>
        <w:rPr>
          <w:sz w:val="20"/>
          <w:szCs w:val="20"/>
          <w:color w:val="auto"/>
        </w:rPr>
      </w:pPr>
      <w:r>
        <w:rPr>
          <w:rFonts w:ascii="Times New Roman" w:cs="Times New Roman" w:eastAsia="Times New Roman" w:hAnsi="Times New Roman"/>
          <w:sz w:val="18"/>
          <w:szCs w:val="18"/>
          <w:color w:val="auto"/>
        </w:rPr>
        <w:t>VOWST. The contingent liabilities are remeasured at each reporting period based on (i) cash payments made by the Company to reduce the accrued liabilities due to SPN - related party and (ii) revised estimates of the total remaining liabilities due to SPN - related party. We recorded a gain of $5.7 million for the three and twelve months ended December 31, 2024 primarily as a result of SPN's actual fourth quarter of 2024 Profit Sharing as compared to the estimate as of the Closing.</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At Closing, in exchange for a payment to be made by SPN to Bacthera AG, the Long Term Manufacturing Agreement, dated November 8, 2021, between the Company and Bacthera AG, or the Bacthera Manufacturing Agreement, was terminated and each of Bacthera and Seres released one another from any and losses, liabilities or other obligations arising thereunder with respect to the period ending as of the Closing Date, including without limitation any milestone payments required to be paid to Bacthera thereunder.</w:t>
      </w:r>
    </w:p>
    <w:p>
      <w:pPr>
        <w:spacing w:after="0" w:line="7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In connection with the Closing, we and SPN entered into a securities purchase agreement, or the Securities Purchase Agreement, pursuant to which SPN purchased 14,285,715 shares of our common stock, or the Shares, at Closing, at a purchase price per share of $1.05, for an aggregate purchase price of $15 million. Under the terms of the Securities Purchase Agreement, SPN agreed not to sell or transfer the Shares for a period of six months after Closing, subject to certain customary exceptions. We agreed to register the resale of the Shares by SPN within 90 days of Closing. On October 1, 2024, we filed a registration statement to register the Shares, which became effective on October 11, 2024. In addition, under the terms of the Securities Purchase Agreement, for as long as SPN, together with its affiliates, beneficially owns at least 10% of our outstanding shares of common stock, we agreed to take such action within our control to include one individual designated by SPN in the slate of nominees recommended by our board of directors (or the applicable committee of the board of directors) to our stockholders for election to the board of directors at the applicable stockholder meeting. SPN designated Hans-Juergen Woerle, M.D., Ph.D., and on February 4, 2025, our board of directors appointed Dr. Woerle to the board as a Class III director, with a term expiring at our 2027 annual meeting of stockholders. The Securities Purchase Agreement contains customary representations and warranties and closing conditions.</w:t>
      </w:r>
    </w:p>
    <w:p>
      <w:pPr>
        <w:spacing w:after="0" w:line="84"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In connection with the Closing, we entered into a Transition Services Agreement, or the TSA, with NESA, which provides for services to be performed by us in order to facilitate a transition of the business associated with the VOWST Business to NESA and its affiliates. The scope of the transition services includes the provision of certain manufacturing services and certain administrative functions related to the VOWST Business and operations, including the maintenance of certain manufacturing services and the related facility in which such services are currently conducted. We will provide the manufacturing services until December 31, 2025, which period may be extended by up to six months (solely to ensure the manufacturing facility is in a state of compliance with the biologics license application for VOWST and readiness for potential regulatory inspection), and other services, for the duration specified in the schedule to the TSA for each service. NESA has agreed to pay us for certain fixed costs, including a monthly fixed fee and a variable per batch fee for preserved raw material suspension, or PRMS, manufacturing, and will reimburse us for certain costs of the transition services performed by us under the TSA. The know-how and other intellectual property generated in connection with the performance of the TSA will be owned by NESA with us having a non-exclusive license to such know-how and other intellectual property under the Cross-License Agreement. During the term of the TSA, upon NESA's request, we will transfer the specifications for materials and documentation necessary to enable PRMS manufacturing services to a third party service provider designated by NESA. In the event of a material failure by us to deliver PRMS under the TSA, NESA will have step-in rights to negotiate to enter into a direct lease with the landlord of the manufacturing facility with respect to the portion of such facility used in connection with the VOWST Business or to cause such services to be performed, with any reasonable out-of-pocket costs and expenses incurred in connection therewith reimbursed by us.</w:t>
      </w:r>
    </w:p>
    <w:p>
      <w:pPr>
        <w:spacing w:after="0" w:line="8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Closing, we entered into a cross-license agreement with SPN under which, we granted to SPN a perpetual, worldwide, non-exclusive, fully paid-up license under certain Seres patents that have been issued or will issue in the future and current know-how controlled by us that is not transferred to SPN pursuant to the Purchase Agreement. In the field of the treatment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infections, or CDI, and rCDI and associated complications, or collectively, the CDI Field, the license to SPN under such Seres patents and know-how is exclusive to SPN for five years after the Closing and co-exclusive between SPN and Seres following that five year period. The license from Seres to SPN is to issued Seres patents that currently or in the future cover the Product or improvements thereof and know-how that is used or reasonably useful in connection with the exploitation of the VOWST Business. See “Intellectual Property” below.</w:t>
      </w:r>
    </w:p>
    <w:p>
      <w:pPr>
        <w:spacing w:after="0" w:line="81"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the Closing, the parties entered into assignment and assumption of lease agreements, or the Assignment and Assumption Agreements. Under the Assignment and Assumption Agreements, we assigned to SPN or its designated affiliates, our rights in, to and under certain real property leases, and SPN or its designated affiliates assumed the liabilities related thereto.</w:t>
      </w:r>
    </w:p>
    <w:p>
      <w:pPr>
        <w:spacing w:after="0" w:line="68"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Closing, the parties entered into an employee support agreement, or the Employee Support Agreement. Under the Employee Support Agreement, among other things and subject to the terms and conditions therein, certain of our employees related to the VOWST Business who accepted employment with SPN or one of its designated affiliates provided the services they provided to us prior to the Transaction to SPN, as well as other services as SPN may reasonably request, from Closing until the day prior to the beginning of SPN’s or its designated affiliate’s next pay period following the Closing. SPN will reimburse our out of pocket costs in connection with such employees’ services, including certain compensation and benefits paid or provided to such employees pursuant to the terms of the Employee Support Agreement. All such employees have transferred to SPN as of December 31,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Infection Risk Reduction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the scientific and clinical data from our SER-109 program validate our novel approach of using live biotherapeutics to decolonize pathogens and improve epithelial barrier integrity, resulting in reduced rate of infections in medically compromised patients. Data from the SER-109 ECOSPOR III and ECOSPOR IV Phase 3 trial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(Feuerstadt et al., 2022) and </w:t>
      </w:r>
      <w:r>
        <w:rPr>
          <w:rFonts w:ascii="Times New Roman" w:cs="Times New Roman" w:eastAsia="Times New Roman" w:hAnsi="Times New Roman"/>
          <w:sz w:val="18"/>
          <w:szCs w:val="18"/>
          <w:i w:val="1"/>
          <w:iCs w:val="1"/>
          <w:color w:val="auto"/>
        </w:rPr>
        <w:t>Journal of the American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Medical Association </w:t>
      </w:r>
      <w:r>
        <w:rPr>
          <w:rFonts w:ascii="Times New Roman" w:cs="Times New Roman" w:eastAsia="Times New Roman" w:hAnsi="Times New Roman"/>
          <w:sz w:val="18"/>
          <w:szCs w:val="18"/>
          <w:color w:val="auto"/>
        </w:rPr>
        <w:t>(Sims et al., 2023) suggest that live biotherapeutics have the potential to restructure the gut microbiome and shift the gut metabolic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landscape. Additional data show that SER-109 rapidly reduced the abundance of bacteria associated with common antibiotic resistance genes, or ARGs, and reduced ARG abundance in the gut (Straub et al., 2023). Collectively, we believe these data suggest the potential for live biotherapeutics to prevent the colonization and overgrowth of pathogens that can establish in the gut and ultimately to reduce infections. We believe that reducing pathogen colonization in the GI and improving GI epithelial barrier integrity to reduce the risk of infection may be replicable in a range of medically compromised patients, protecting them from infections and resulting downstream clinical sequelae. We believe this approach may also enable us to reduce antimicrobial resistant infections, or AMR, which the World Health Organization declared as a top ten global public health threat facing humanity, and with estimates that yearly deaths may reach 10 million by 2050, putting mortality due to AMR on par with deaths due to cancer.</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developing SER-155, an investigational, oral, live biotherapeutic designed to decolonize GI pathogens, improve epithelial barrier integrity, and regulate immune response to prevent bacterial bloodstream infections, or BSIs, as well as other pathogen associated negative clinical outcomes in patients undergoing allo-HSCT. SER-155 contains 16 bacterial strains selected using our reverse translation discovery and development platform technologies to optimize SER-155’s functional profile. The design incorporates biomarker data from human clinical data and screening data from nonclinical human cell-based assays and in vivo disease models. The bacteria consortia is designed to optimize: (i) the prevention of the growth of various </w:t>
      </w:r>
      <w:r>
        <w:rPr>
          <w:rFonts w:ascii="Times New Roman" w:cs="Times New Roman" w:eastAsia="Times New Roman" w:hAnsi="Times New Roman"/>
          <w:sz w:val="18"/>
          <w:szCs w:val="18"/>
          <w:i w:val="1"/>
          <w:iCs w:val="1"/>
          <w:color w:val="auto"/>
        </w:rPr>
        <w:t xml:space="preserve">Enterococcaceae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Enterobacteriaceae </w:t>
      </w:r>
      <w:r>
        <w:rPr>
          <w:rFonts w:ascii="Times New Roman" w:cs="Times New Roman" w:eastAsia="Times New Roman" w:hAnsi="Times New Roman"/>
          <w:sz w:val="18"/>
          <w:szCs w:val="18"/>
          <w:color w:val="auto"/>
        </w:rPr>
        <w:t>species known to potentially dominate the GI and lead to downstream negative clinical outcomes in medically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compromised patients and that can harbor antibacterial resistance, (ii) the production of multiple bacterial metabolites that can promote mucosal and epithelial barrier integrity with the goal of reducing the likelihood of harmful bacteria translocating from the gut to the bloodstream through a compromised epithelium, and (iii) the production of multiple bacterial metabolites that can modulate immune pathways to induce immune tolerance with a potential impact on GvHD.</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rationale for this program is based in part on published clinical evidence from our collaborators at Memorial Sloan Kettering Cancer Center showing that allo-HSCT patients with decreased diversity of commensal microbes and pathogen domination in the gastrointestinal tract were significantly more likely to die due to infection and/or lethal GvHD (Peled et al., 2020). There are an estimated 40,000 allo-HSCT procedures annually worldwide, and infection is one of the most common causes of mortality in these patients. The Center for International Blood &amp; Marrow Transplant Research, or CIBMTR, reports that 19-28% of deaths in allo-HSCT patients over 18 years of age within 100 days post-transplant are caused by infections and 5-14% by GvHD. In December 2023, we received Fast Track Designation for SER-155 to reduce the risk of infection and GvHD in allo-HSCT patients.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SER-155 Phase 1b Study</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SER-155 has been evaluated in a Phase 1b study in patients undergoing allo-HSCT. The SER-155 Phase 1b study included two cohorts. Cohort 1 was designed to assess safety and drug pharmacology, specifically the drug strain engraftment in the gastrointestinal tract. Cohort 1 included 13 subjects who received any dosing of the SER-155 regimen, with 11 subjects subsequently receiving an allo-HSCT. Results from this cohort, announced in May 2023, showed SER-155 was generally well tolerated and resulted in successful drug strain engraftment and a reduction in pathogen domination in the GI microbiome relative to a historical control cohort.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Study Cohort 2 utilized a randomized, double-blinded 1:1 placebo-controlled design to further evaluate safety and drug strain engraftment, as well as key secondary and exploratory endpoints such as the incidence of bacterial bloodstream infections and related medical consequences such as febrile neutropenia and antibiotic use. Cohort 2 included 45 patients in the intention-to-treat (ITT) population. Of the ITT population, 20 received SER-155 and 14 received placebo, each of whom subsequently received an allo-HSCT, with data available for clinical evaluation through day 100, the study’s prespecified primary observation point. Exploratory hypothesis testing was conducted at the two-sided α=0.05 level. Ninety-five percent (95%) 2-sided confidence intervals (CIs) were determined, where specified. No adjustment for multiplicity was done. A subset of patient samples was available for drug pharmacology analysis.</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median age in Cohort 2 was 63, and most subjects had acute myeloid leukemia, acute lymphocytic leukemia, myelodysplastic syndrome or myeloproliferative neoplasia as their primary disease and received reduced-intensity conditioning pre-transplant. Most patients received peripheral blood stem cells from a matched unrelated donor. A majority received post-transplant cyclophosphamide as part of their graft-versus-host disease (GvHD) prophylaxis.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Results from Cohort 2, announced in September 2024, were consistent with the observations from Cohort 1. SER-155 was generally well tolerated, and no treatment-emergent serious adverse events related to drug were observed. SER-155 bacterial strains engrafted into the gastrointestinal tract of patients following the administration of SER-155.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9" w:name="page80"/>
    <w:bookmarkEnd w:id="79"/>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incidence of BSIs was significantly lower in the SER-155 arm compared with the placebo arm (2/20 (10%) vs. 6/14 (42.9%), respectively; [Odds Ratio: 0.15; 95% CI: 0.01, 1.13, p=0.0423]), which represents a relative risk reduction of approximately 77% and an absolute risk reduction of approximately 33%. In addition, while antibiotic starts were similar in each arm, patients administered SER-155 were treated with antibiotics for a significantly shorter duration compared to patients in the placebo arm (9.2 days vs. 21.1 days, respectively, with a mean difference of -11.9 days [95% CI: -23.85, -0.04; p=0.0494]). The incidence of febrile neutropenia was lower in patients administered SER-155 compared to placebo (65% vs. 78.6%, respectively; [Odds Ratio: 0.51; 95% CI: 0.07, 2.99; p=0.4674]). Six cases of gastrointestinal infections (C. difficile infections) were observed in the study, with four cases (20%) in the SER-155 arm and two cases (14.3%) in the placebo arm.</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Recent changes in the allo-HSCT standard of care and the increasing use of post-transplant cyclophosphamide as part of prophylactic therapy for GvHD have reduced rates of GvHD overall in this patient population. The rates of GvHD in the study were low, with two cases of grade 2 GvHD observed in each arm, and no cases of grade 3 or 4 GvHD were observed.</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Cohort 2, the ability to detect pathogen domination (i.e., relative abundance in the GI ≥30%) in the placebo arm, and differences between the study arms, was constrained due to the limited number of placebo stool samples (placebo patients submitted fewer stool samples) and an imbalance in the number of available stool samples between the arms. Observed pathogen domination events were low in the placebo and SER-155 arms with no significant differences identified. In a comparison of the prevalence of pathogen domination versus a larger allo-HSCT historical control cohort, pathogen domination in SER-155 subjects was substantially lower, providing further evidence of SER-155 activity.</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believe the available study data from Cohort 1 suggest that SER-155 administration results in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Streptococcaceae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Staphylococcaceae</w:t>
      </w:r>
      <w:r>
        <w:rPr>
          <w:rFonts w:ascii="Times New Roman" w:cs="Times New Roman" w:eastAsia="Times New Roman" w:hAnsi="Times New Roman"/>
          <w:sz w:val="18"/>
          <w:szCs w:val="18"/>
          <w:color w:val="auto"/>
        </w:rPr>
        <w:t>. We further believe the resulting Cohort 2 data, together with the Cohort 1 SER-155 Phase 1b study results provide encouraging evidence to support further development of SER-155 to potentially reduce GI associated bloodstream and AMR infections as well as increase immune tolerance in individuals undergoing allo-HSCT for cancers and other serious conditions.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first quarter of 2025, we received feedback from the FDA regarding the development strategy for SER-155 in patients undergoing allo-HSCT. The FDA provided input on certain elements of the next study, including a recommendation for a Phase 2 study and support for a reduction in BSIs 30 days post HSCT as the primary endpoint, and confirmed their expectations for the manufacture and control of SER-155. Incorporating the feedback, we are designing the next SER-155 allo-HSCT study, which we believe could be either a standalone Phase 2, or a Phase 2 as part of a Phase 2/3 seamless design. Both development paths are expected to include an adaptive design, with meaningful interim data analysis, when approximately half of the enrolled patients have reached the primary endpoint timepoint, informing the study path forward and potential indication expansion. The next study protocol will preserve many elements of the SER-155 Phase 1b study. We plan to submit the draft protocol, which we anticipate will be informed by potential further FDA interaction and partnership discussions, to the FDA in the second quarter of 2025 to obtain further feedback.</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SER-147 and other pipeline programs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continue to develop another proprietary live biotherapeutic composition, SER-147, designed to prevent bacterial bloodstream and spontaneous bacterial peritonitis, or SBP, infections in patients with metabolic disease, including chronic liver disease, or CLD. SER-147 was designed and optimized using our reverse translational therapeutics development platform. CLD is a progressive condition marked by deterioration of liver function and is reaching epidemic proportions affecting nearly 1.7 billion people worldwide, causing substantial health burden on afflicted countries (GBD 2017 Cirrhosis Collaborators, 2020, Clinical Liver Disease, 2021). In the advanced stages of CLD, known as decompensated cirrhosis, patients exhibit significant immune dysfunction, microbiome disruption, and increased contact with the healthcare system, all of which drive increased susceptibility to bacterial infections (Bajaj et al., 2021, Albillos et al., 2022). The Company is conducting IND-enabling activities for SER-147.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Notice and Compliance</w:t>
      </w:r>
    </w:p>
    <w:p>
      <w:pPr>
        <w:spacing w:after="0" w:line="121"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On November 7, 2024, we received a letter from the Listing Qualifications Department of The Nasdaq Stock Market LLC, or Nasdaq, notifying us that, for the last 30 consecutive business days, the bid price for our common stock had closed below the $1.00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ind w:right="120"/>
        <w:spacing w:after="0" w:line="282" w:lineRule="auto"/>
        <w:rPr>
          <w:sz w:val="20"/>
          <w:szCs w:val="20"/>
          <w:color w:val="auto"/>
        </w:rPr>
      </w:pPr>
      <w:r>
        <w:rPr>
          <w:rFonts w:ascii="Times New Roman" w:cs="Times New Roman" w:eastAsia="Times New Roman" w:hAnsi="Times New Roman"/>
          <w:sz w:val="18"/>
          <w:szCs w:val="18"/>
          <w:color w:val="auto"/>
        </w:rPr>
        <w:t>per share minimum bid price requirement for continued inclusion on The Nasdaq Global Select Market pursuant to Nasdaq Listing Rule 5450(a)(1), or the Bid Price Requirement.</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letter had no immediate effect on the listing of our common stock, which continues to trade on The Nasdaq Global Select Market under the symbol “MCRB,” subject to our compliance with the other continued listing requirements of The Nasdaq Global Select Market. In accordance with Nasdaq Listing Rule 5810(c)(3)(A), we were provided an initial compliance period of 180 calendar days from receipt of the letter, or until May 6, 2025, to regain compliance with the Bid Price Requirement. To regain compliance, the closing bid price for our common stock must be at least $1.00 per share for a minimum of 10 consecutive business days during the 180-day period prior to May 6, 2025.</w:t>
      </w:r>
    </w:p>
    <w:p>
      <w:pPr>
        <w:spacing w:after="0" w:line="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and intend to continue to actively monitor the closing bid price of our common stock. After considering all available options to regain compliance with the Bid Price Requirement, our board of directors intends to recommend that our stockholders approve amendments to our restated certificate of incorporation to effect a reverse stock split of our common stock at our 2025 Annual Meeting of Stockholders.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do not regain compliance with the Bid Price Requirement by May 6, 2025, we may be eligible for an additional 180 calendar day compliance period. To qualify, we must submit an application to transfer the listing of the common stock to The Nasdaq Capital Market, which requires us to meet the continued listing requirement for the market value of publicly held shares and all other initial listing standards for The Nasdaq Capital Market, other than the Bid Price Requirement. We would also need to pay an application fee to Nasdaq and to provide written notice of our intention to cure the deficiency during the additional compliance period. As part of its review process, Nasdaq will make a determination of whether it believes we will be able to cure this deficiency.</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we do not regain compliance within the applicable compliance period(s), we expect that Nasdaq will provide written notification to us that the common stock will be subject to delisting. At that time, we may appeal the delisting determination to a Nasdaq Listing Qualifications Panel.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an extensive patent portfolio directed to rationally designed ecologies of spores and microbes. The portfolio includes both company-owned patents and applications, and those that we have rights to as licensee. The patents and applications included in our portfolio cover both composition of matter and methods (e.g., method of treating). Our intellectual property rights related to SER-155 and SER-147 extend through 2043 (not including any potential term extension). We plan on continuing to broaden our patent portfolio. Currently, we have 21 active patent application families, which includes 19 nationalized applications, one at the PCT stage, and one at the provisional stage. To date, we have obtained issuance of 31 U.S. patents (which includes three as licensee). Of the issued U.S. patents, 13 U.S. patents (including one as licensee) have been assigned to Nestlé Health Science as part of its purchase of VOWST.</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Transaction and pursuant to the Purchase Agreement, we transferred certain patents and trademarks affiliated with the VOWST Business to SPN at Closing. In addition, in connection with Closing, we entered into a cross-license agreement, or the Cross-License Agreement, with SPN. Under the Cross-License Agreement, we granted to SPN a perpetual, worldwide, non-exclusive, fully paid-up license under certain Seres patents that have been issued or will issue in the future and current know-how controlled by us that was not transferred to SPN pursuant to the Purchase Agreement. In the field of the treatment of CDI and recurrent CDI and associated complications, or collectively, the CDI Field, the license to SPN under such Seres patents and know-how is exclusive to SPN for five years after the Closing and co-exclusive between SPN and Seres following that five year period. The license from Seres to SPN is to issued Company patents that currently or in the future cover the Product or improvements thereof and know-how that is used or reasonably useful in connection with the exploitation of the VOWST Business. We also granted SPN an exclusive, perpetual, worldwide, fully paid-up license under issued Seres patents that currently or in the future cover the Product and improvements thereof and know-how that is used or reasonably useful in connection with the exploitation of the Product to exploit SER-262 in the CDI Field. SPN granted to us a perpetual, worldwide, non-exclusive license under the patents and know-how that are transferred to SPN pursuant to the Purchase Agreement or developed under the TSA, for Seres' products for use outside of the CDI Field, and after five years from Closing for Seres products containing designed, cultivated, bacterial consortia not manufactured using human stool (excluding SER-262) in the CDI Field. From and after Closing, certain license agreements between us, SPN, and/or their respective affiliates terminated and are of no further force or effect, except as contemplated by the Purchase Agreement.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obtain marketing approval for any of our product candidates, we expect to receive reference product exclusivity against biosimilar products.</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Our revenues have been derived primarily from our agreements with our collaborators. See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activities and general and administrative costs. In connection with the TSA the Company entered into with NESA following the sale of the VOWST Business during the third quarter of 2024, our operating expenses also consisted of certain passthrough costs incurred in performing duties under the TSA and manufacturing services related to the VOWST Business and operations.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other obligations, which include:</w:t>
      </w:r>
    </w:p>
    <w:p>
      <w:pPr>
        <w:spacing w:after="0" w:line="54" w:lineRule="exact"/>
        <w:rPr>
          <w:sz w:val="20"/>
          <w:szCs w:val="20"/>
          <w:color w:val="auto"/>
        </w:rPr>
      </w:pPr>
    </w:p>
    <w:p>
      <w:pPr>
        <w:ind w:left="1020" w:right="4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in our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passthrough costs, reimbursable by Nestlé, incurred in performing duties under the TSA.</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primary focus of research and development since inception has been on our reverse translational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anticipate an overall decrease in research and development expenses in 2025 as compared to 2024, following the sale of VOWST Business, completion of the Phase 1b study of SER-155 in allo-HSCT, development activities other than the completion of the SER-155 Phase 1b study, and costs associated with preparing for the next study of SER-155 in allo-HSCT. Research and development expenses may increase in the future if and as we resume development of any clinical or preclinical programs. In 2025, research and development expenses will continue to include labor and passthrough costs, reimbursable by Nestlé, incurred in performing obligations under the TSA.</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commercial, business development and administrative functions. General and administrative expenses also include legal fees relating to patent and corporate matters; professional fees for accounting, auditing, tax and consulting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2" w:name="page83"/>
    <w:bookmarkEnd w:id="82"/>
    <w:p>
      <w:pPr>
        <w:ind w:right="360"/>
        <w:spacing w:after="0" w:line="266" w:lineRule="auto"/>
        <w:rPr>
          <w:sz w:val="20"/>
          <w:szCs w:val="20"/>
          <w:color w:val="auto"/>
        </w:rPr>
      </w:pPr>
      <w:r>
        <w:rPr>
          <w:rFonts w:ascii="Times New Roman" w:cs="Times New Roman" w:eastAsia="Times New Roman" w:hAnsi="Times New Roman"/>
          <w:sz w:val="18"/>
          <w:szCs w:val="18"/>
          <w:color w:val="auto"/>
        </w:rPr>
        <w:t>services; insurance costs; travel expenses; and facility-related expenses, which include direct depreciation costs and allocated expenses for rent and maintenance of facilities and other operating costs. Beginning in the fourth quarter of 2024, general and administrative expenses also include labor and passthrough costs, reimbursable by Nestlé, incurred in performing duties under the TSA.</w:t>
      </w:r>
    </w:p>
    <w:p>
      <w:pPr>
        <w:spacing w:after="0" w:line="6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in 2025 as compared to 2024, following the sale of VOWST Business, reduction of our workforce and overall cost containment efforts. General and administrative expenses may increase in the future as we continue to incur increased expenses associated with being a public company, including increased costs of accounting, audit, legal, regulatory and tax-related services associated with maintaining compliance with exchange listing rules and the requirements of the SEC, director and officer insurance costs and investor and public relations costs. In 2025, general and administrative expenses will continue to include labor and passthrough costs, reimbursable by Nestlé, incurred in performing obligations under the TSA.</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Services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Under the TSA with NESA, beginning in the fourth quarter of 2024, we provide certain manufacturing services and related functions of the VOWST Business and operations. Expenses associated with the manufacturing services include certain facility-related, labor, lab supplies and consumables, and other manufacturing costs that would have been capitalized into inventory prior to the sale of VOWST Business.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will provide the manufacturing services until December 31, 2025, which period may be extended by up to six months. We expect that manufacturing services expenses will increase in 2025 as compared to 2024, given the TSA obligations will exist for the full year in 2025 as compared to one quarter in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under our loan and security agreement, or the Hercules Loan and Security Agreement, with Hercules Capital, Inc., or Hercules.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income, net primarily consists of:</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premiums or accretion of discounts on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foreign currency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values of our warrant liabilities associated with our Oaktree Term Loan;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associated with the extinguishment of the Oaktree Term Loan;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Nestlé agrees to pay for costs associated with preserved raw material suspension ("PRMS") manufacturing; and reimbursement for certain labor and other passthrough costs of the transition services performed by the Company under the TSA;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associated with the change in the Company's accrued liabilities due to SPN - related party.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completed the sale of the VOWST Business to SPN on September 30, 2024. The financial results of the VOWST Business have been classified as discontinued operations in the consolidated statements of operations and the related assets and liabilities of the VOWST Business have been are classified as assets and liabilities of discontinued operations in the consolidated balance sheets. Unless otherwise noted, amounts and disclosures in this section relate to our continuing operations (except for the Liquidity and Capital Resources section).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2024, we had federal and state net operating loss carryforwards of $580.1 million and $543.6 million, respectively, both of which begin to expire in 2035. As of December 31, 2024, we also had federal and state research and development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right="340"/>
        <w:spacing w:after="0" w:line="282" w:lineRule="auto"/>
        <w:rPr>
          <w:sz w:val="20"/>
          <w:szCs w:val="20"/>
          <w:color w:val="auto"/>
        </w:rPr>
      </w:pPr>
      <w:r>
        <w:rPr>
          <w:rFonts w:ascii="Times New Roman" w:cs="Times New Roman" w:eastAsia="Times New Roman" w:hAnsi="Times New Roman"/>
          <w:sz w:val="18"/>
          <w:szCs w:val="18"/>
          <w:color w:val="auto"/>
        </w:rPr>
        <w:t>tax credit carryforwards of $46.5 million and $8.1 million, respectively, net of uncertain tax position reserves, which begin to expire in 2031 and 2028, respectively. The federal research and development tax credits include an orphan drug credit carryforward of $25.9 million.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The preparation of our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consolidated financial statements and disclosures based on varying assumptions.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which include information from our CROs and CMOs reported to us on a periodic basis. Examples of estimated accrued research and development expenses include fees paid to:</w:t>
      </w:r>
    </w:p>
    <w:p>
      <w:pPr>
        <w:spacing w:after="0" w:line="81"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services on our behalf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240" w:type="dxa"/>
            <w:vAlign w:val="bottom"/>
          </w:tcPr>
          <w:p>
            <w:pPr>
              <w:spacing w:after="0"/>
              <w:rPr>
                <w:sz w:val="18"/>
                <w:szCs w:val="18"/>
                <w:color w:val="auto"/>
              </w:rPr>
            </w:pPr>
          </w:p>
        </w:tc>
        <w:tc>
          <w:tcPr>
            <w:tcW w:w="3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117,597</w:t>
            </w:r>
          </w:p>
        </w:tc>
        <w:tc>
          <w:tcPr>
            <w:tcW w:w="2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(52,997 )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(24,317 )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services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121,315</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195,097</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(73,782 )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(121,315 )</w:t>
            </w: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(195,097 )</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(3,334 )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(2,468 )</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(14,107 )</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(14,241 )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(4,456 )</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(9,423 )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(125,771 )</w:t>
            </w:r>
          </w:p>
        </w:tc>
        <w:tc>
          <w:tcPr>
            <w:tcW w:w="320" w:type="dxa"/>
            <w:vAlign w:val="bottom"/>
            <w:shd w:val="clear" w:color="auto" w:fill="CFF0FC"/>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(190,130 )</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left="3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Live biotherapeutics platform</w:t>
            </w:r>
          </w:p>
        </w:tc>
        <w:tc>
          <w:tcPr>
            <w:tcW w:w="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(14,336 )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SER-155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stage programs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(1,144 )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(16,435 )</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65,251</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(36,562 )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24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(52,997 )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-2828290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-2828290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-2828290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-1988185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-1988185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-1988185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-1696720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-1679575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-1696720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-1679575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-1696720</wp:posOffset>
            </wp:positionV>
            <wp:extent cx="59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-1679575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-453390</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-453390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-453390</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$64.6 million for the year ended December 31, 2024, compared to $117.6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decrease of $53.0 million was due primarily to the following:</w:t>
      </w:r>
    </w:p>
    <w:p>
      <w:pPr>
        <w:spacing w:after="0" w:line="99" w:lineRule="exact"/>
        <w:rPr>
          <w:sz w:val="20"/>
          <w:szCs w:val="20"/>
          <w:color w:val="auto"/>
        </w:rPr>
      </w:pPr>
    </w:p>
    <w:p>
      <w:pPr>
        <w:ind w:left="1020" w:right="60" w:hanging="503"/>
        <w:spacing w:after="0" w:line="25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$36.6 million, primarily due to a decrease of $28.7 million in salaries, bonus, and employee benefits expenses as a result of the restructuring plan implemented in 2023, and a decrease of $8.3 million in stock-based compensation expense, which was primarily as a result of options and awards with performance conditions that were achieved during the three months ended June 30, 2023 (with no comparable performance options vesting in 2024), partially offset by an increase of $0.4 million in payroll taxes primarily related to tax credits we received during the three months ended March 31, 2023;</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$14.3 million in expenses related to our live biotherapeutics platforms and research and development operations which includes a decrease of $4.2 million primarily due to a $3.6 million reduction in the use of contractors and a decrease in employee travel and expense costs following the implementation of the restructuring plan, a decrease of $2.8 million in lab supplies and consumables, a decrease in consulting expenses of $2.6 million, a decrease of $2.4 million in facilities and depreciation primarily relating to the expense of not renewing the option to lease certain manufacturing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5" w:name="page86"/>
    <w:bookmarkEnd w:id="85"/>
    <w:p>
      <w:pPr>
        <w:ind w:left="1020" w:right="200"/>
        <w:spacing w:after="0" w:line="282" w:lineRule="auto"/>
        <w:rPr>
          <w:sz w:val="20"/>
          <w:szCs w:val="20"/>
          <w:color w:val="auto"/>
        </w:rPr>
      </w:pPr>
      <w:r>
        <w:rPr>
          <w:rFonts w:ascii="Times New Roman" w:cs="Times New Roman" w:eastAsia="Times New Roman" w:hAnsi="Times New Roman"/>
          <w:sz w:val="18"/>
          <w:szCs w:val="18"/>
          <w:color w:val="auto"/>
        </w:rPr>
        <w:t>space with Flagship Pioneering during the three months ended June 30, 2023, and a decrease of $1.8 million in clinical trial, analytical and other manufacturing costs;</w:t>
      </w:r>
    </w:p>
    <w:p>
      <w:pPr>
        <w:spacing w:after="0" w:line="54" w:lineRule="exact"/>
        <w:rPr>
          <w:sz w:val="20"/>
          <w:szCs w:val="20"/>
          <w:color w:val="auto"/>
        </w:rPr>
      </w:pPr>
    </w:p>
    <w:p>
      <w:pPr>
        <w:ind w:left="1020" w:right="1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in expenses related to our SER-155 program primarily due to a decrease of $0.5 million in analytical testing costs and a decrease of $0.5 million in lab supplies and consumables associated with the completion of the SER-155 Phase 1b study;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 million in expenses related to our early stage programs due to the decreased investment associated with the restructuring plan.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(13,390 )</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(8,979 )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Facility-related and other</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(1,948 )</w:t>
            </w: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2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(24,317 )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-170815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$53.2 million for the year ended December 31, 2024, compared to $77.5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decrease of $24.3 million was primarily due to the following:</w:t>
      </w:r>
    </w:p>
    <w:p>
      <w:pPr>
        <w:spacing w:after="0" w:line="99" w:lineRule="exact"/>
        <w:rPr>
          <w:sz w:val="20"/>
          <w:szCs w:val="20"/>
          <w:color w:val="auto"/>
        </w:rPr>
      </w:pPr>
    </w:p>
    <w:p>
      <w:pPr>
        <w:ind w:left="1020" w:right="2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$13.4 million primarily due to a decrease in salaries, bonus, employee benefit expenses and stock-based compensation expenses due to the restructuring plan that was implemented in 2023;</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professional fees of $9.0 million primarily due to a decrease in consulting services resulted from a reduction in the use of contractors and consultants and other professional services;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facility-related and other costs of $1.9 million primarily related to decreases in information technology costs, laboratory and office expenses, license costs and office supplies.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Services</w:t>
      </w:r>
    </w:p>
    <w:p>
      <w:pPr>
        <w:spacing w:after="0" w:line="119" w:lineRule="exact"/>
        <w:rPr>
          <w:sz w:val="20"/>
          <w:szCs w:val="20"/>
          <w:color w:val="auto"/>
        </w:rPr>
      </w:pPr>
    </w:p>
    <w:p>
      <w:pPr>
        <w:ind w:right="200" w:firstLine="578"/>
        <w:spacing w:after="0" w:line="266" w:lineRule="auto"/>
        <w:rPr>
          <w:sz w:val="20"/>
          <w:szCs w:val="20"/>
          <w:color w:val="auto"/>
        </w:rPr>
      </w:pPr>
      <w:r>
        <w:rPr>
          <w:rFonts w:ascii="Times New Roman" w:cs="Times New Roman" w:eastAsia="Times New Roman" w:hAnsi="Times New Roman"/>
          <w:sz w:val="18"/>
          <w:szCs w:val="18"/>
          <w:color w:val="auto"/>
        </w:rPr>
        <w:t>Beginning with the effectiveness of the TSA with Nestlé, manufacturing services resulted in $3.5 million of expenses for the three months ended December 31, 2024. The expenses are associated with the PRMS manufacturing performed on behalf of Nestlé, including labor, materials, allocated facility-related, lab supplies and other manufacturing costs that would have been capitalized into inventory prior to the sale of VOWST Business.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(expense) income, net was $4.5 million of expense for the year ended December 31, 2024 compared to $5.0 million of income for the year ended December 31, 2023. The change in other expense, net was primarily due to the $23.4 million of loss associated with the extinguishment of the Oaktree Term Loan for the year ended December 31, 2024, compared to the $1.6 million of the credit facility with Hercules for the year ended December 31, 2023. The decrease also relates to a $3.3 million decrease in interest income as well as a decrease of $1 million on gain on warrant revaluation, partially offset by an increase of $6.3 million TSA reimbursement income, $5.7 million gain on sale of VOWST Business in continuing operations resulted from the revised estimates of the total remaining liabilities due to SPN - related party, an increase of $2.7 million sublease income, and $2.5 million decrease in interest expense.</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0" w:firstLine="578"/>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revenue only from collaborations and have incurred recurring net losses. We anticipate that we will continue to incur losses for at least the next several years. We will need additional capital to fund our operations, which include our research and development and general and administrative expenses, which we may obtain from additional financings, public offerings, research funding, additional collaborations, contract and grant revenue or other sources.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6" w:name="page87"/>
    <w:bookmarkEnd w:id="86"/>
    <w:p>
      <w:pPr>
        <w:ind w:right="60" w:firstLine="578"/>
        <w:spacing w:after="0" w:line="270" w:lineRule="auto"/>
        <w:rPr>
          <w:sz w:val="20"/>
          <w:szCs w:val="20"/>
          <w:color w:val="auto"/>
        </w:rPr>
      </w:pPr>
      <w:r>
        <w:rPr>
          <w:rFonts w:ascii="Times New Roman" w:cs="Times New Roman" w:eastAsia="Times New Roman" w:hAnsi="Times New Roman"/>
          <w:sz w:val="17"/>
          <w:szCs w:val="17"/>
          <w:color w:val="auto"/>
        </w:rPr>
        <w:t>On February 22, 2024, our board of directors adopted a resolution to amend the Restated Certificate of Incorporation, subject to stockholder approval, to increase the number of authorized shares of our common stock from 240,000,000 shares to 360,000,000 shares, or the Share Increase Amendment. At our annual meeting of stockholders held on April 4, 2024, our stockholders approved the Share Increase Amendment. On April 5, 2024, we amended our Restated Certificate of Incorporation to reflect the Share Increase Amendment. Our board of directors recommended that our stockholders approve the Share Increase Amendment because they believed it was in the best interests of us and our stockholders to increase our authorized shares of common stock in order to have additional shares available for use as our board of directors deems appropriate or necessary. As such, the primary purpose of the Share Increase Amendment was to provide us with greater flexibility with respect to managing our common stock in connection with such corporate purposes as may, from time to time, be considered advisable by our board of directors. These corporate purposes could include, without limitation, financing activities, public or private offerings of common stock, stock dividends or splits, conversions of convertible securities, issuance of options and other equity awards pursuant to our incentive plans, establishing a strategic relationship with a corporate collaborator and acquisition transactions.</w:t>
      </w:r>
    </w:p>
    <w:p>
      <w:pPr>
        <w:spacing w:after="0" w:line="6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2024, we entered into the Purchase Agreement with SPN, pursuant to which we agreed to sell our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Product to SPN and its designated affiliates, and SPN and its designated affiliates assumed certain liabilities from us. Our stockholders approved the Transaction at a special meeting of stockholders held on September 26, 2024, and the Transaction closed on September 30, 2024. As consideration for the Transaction, SPN agreed to pay us:</w:t>
      </w:r>
    </w:p>
    <w:p>
      <w:pPr>
        <w:spacing w:after="0" w:line="79" w:lineRule="exact"/>
        <w:rPr>
          <w:sz w:val="20"/>
          <w:szCs w:val="20"/>
          <w:color w:val="auto"/>
        </w:rPr>
      </w:pPr>
    </w:p>
    <w:p>
      <w:pPr>
        <w:ind w:left="1020" w:right="10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at Closing, of $100 million, less approximately $17.9 million owed by us to an affiliate of SPN as of March 31, 2024 under the prior license agreement between us and the SPN affiliate, less approximately CHF 2.0 million in satisfaction of fees due under an existing manufacturing agreement between us and Bacthera;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due on July 1, 2025, or the Second Installment Payment (to be reduced by approximately $1.5 million related to certain employment obligations assumed by SPN, as described below), conditioned on our material compliance with obligations under the TSA entered into at Closing between us and NESA;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(i) first, by set-off against all accrued interest on the Prepaid Milestone until the amount of such accrued interest has been paid in full, (ii) second, by set-off against the outstanding balance of the Prepaid Milestone until the Prepaid Milestone has been repaid in full and (iii)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Second Installment Payment due on July 1, 2025 will be reduced by approximately $1.5 million related to certain employment obligations assumed by SPN through the period prior to the Closing Date.</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and SPN share 50/50 in the net profit or net loss achieved during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we will reimburse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w:t>
      </w:r>
    </w:p>
    <w:p>
      <w:pPr>
        <w:spacing w:after="0" w:line="8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As a condition to Closing, we and SPN entered into the Securities Purchase Agreement, pursuant to which SPN purchased 14,285,715 shares of Common Stock at Closing, at a purchase price per share of $1.05, for an aggregate purchase price of $15.0 million.</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May 2021, we entered into a Sales Agreement, or the Sales Agreement, with Cowen and Company, LLC, or Cowen, to sell shares of our common stock with aggregate gross sales proceeds of up to $150.0 million, from time to time, through 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right="40"/>
        <w:spacing w:after="0" w:line="255" w:lineRule="auto"/>
        <w:rPr>
          <w:sz w:val="20"/>
          <w:szCs w:val="20"/>
          <w:color w:val="auto"/>
        </w:rPr>
      </w:pPr>
      <w:r>
        <w:rPr>
          <w:rFonts w:ascii="Times New Roman" w:cs="Times New Roman" w:eastAsia="Times New Roman" w:hAnsi="Times New Roman"/>
          <w:sz w:val="18"/>
          <w:szCs w:val="18"/>
          <w:color w:val="auto"/>
        </w:rPr>
        <w:t>"at-the-market" equity offering program under which Cowen acts as sales agent. During the year ended December 31, 2024, we sold 20,617,028 shares of common stock under the Sales Agreement, at an average price of approximately $1.18 per share, raising aggregate net proceeds of approximately $23.5 million after deducting an aggregate commission of approximately 3%. During the year ended December 31, 2023, we sold 7,711,199 shares of common stock under the Sales Agreement, at an average price of approximately $2.46 per share, raising aggregate net proceeds of approximately $18.2 million after deducting an aggregate commission of approximately 3% and other issuance costs. Between December 31, 2024 and January 31, 2025, we sold 1,096,134 shares of common stock under the 2021 Sales Agreement, at an average price of approximately $0.93 per share, raising aggregate net proceeds of approximately $1 million after deducting an aggregate commission of approximately 3% and other issuance costs.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we had cash and cash equivalents totaling $30.8 million and an accumulated deficit of $978.1 million. For </w:t>
      </w:r>
      <w:r>
        <w:rPr>
          <w:rFonts w:ascii="Times New Roman" w:cs="Times New Roman" w:eastAsia="Times New Roman" w:hAnsi="Times New Roman"/>
          <w:sz w:val="18"/>
          <w:szCs w:val="18"/>
          <w:color w:val="222222"/>
        </w:rPr>
        <w:t>the year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December 31, 2024, we incurred a net loss from continuing operations of $125.8 million, and used cash in operations of $148.6 million. We expect that our operating losses and negative cash flows will continue for the foreseeable future.</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applicable accounting standards, we have the responsibility to evaluate whether conditions or events raise substantial doubt about our ability to meet our future financial obligations as they become due within 12 months after the date the consolidated financial statements are issued. The ability to obtain the Second Installment Payment and sufficient additional equity, collaborations or other financing with terms favorable or acceptable to us cannot be considered probable, as these events are outside of our control. Based on our currently available cash resources, including the capital obtained from the Transaction, and the expected receipt of the Second Installment Payment, which is subject to material compliance with the TSA, and considering our future operating plans and our ongoing obligations related to the Transaction, we anticipate that we will require additional funding in the first quarter of 2026. Accordingly, management has concluded that these circumstances raise substantial doubt about our ability to continue as a going concern. 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We will need to generate significant revenues to achieve profitability, and we may never do so. Because of the numerous risks and uncertainties associated with the development of our current and any future product candidates, the development of our platform and technology and because the extent to which we may enter into collaborations with third parties for development of any of our product candidates is unknown, we are unable to estimate the amounts of increased capital outlays and operating expenses required for completing the research and development of our product candidates.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Oaktree Credit Agreement</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April 27, 2023 (the "Oaktree Closing Date"), we entered into the Oaktree Credit Agreement, among the Company, the subsidiary guarantors from time to time party thereto, the Oaktree Lenders, and the Agent. The Oaktree Credit Agreement established a term loan facility of $250.0 million (the "Oaktree Term Loan"), consisting of (i) $110.0 million, or the Tranche A Loan, funded on the Oaktree Closing Date. The Oaktree Term Loan also consisted of (i) $45.0 million, or the Tranche B Loan, (ii) $45.0 million, or the Tranche C Loan, and (iii) $50.0 million, or the Tranche D Loan, which were available upon satisfaction of certain conditions or in Oaktree’s sole discretion, but were not drawn before the extinguishment of the Oaktree Term Loan. The Oaktree Term Loan had a maturity date of April 27, 2029.</w:t>
      </w:r>
    </w:p>
    <w:p>
      <w:pPr>
        <w:spacing w:after="0" w:line="7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Borrowings under the Oaktree Term Loan bore interest at a rate per annum equal to the three-month term Secured Overnight Financing Rate (subject to a 2.500% floor and a 5.000% cap), plus an applicable margin of 7.875%, payable quarterly in arrears. We were required to make quarterly interest-only payments on the Oaktree Term Loan for the first three years after the Oaktree Closing Date.</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were obligated to pay the Lenders an exit fee equal to 1.50% of the aggregate amount of the Oaktree Term Loan funded, such exit fee was due and paid upon the prepayment of the outstanding Oaktree Term Loan. Such prepayment was subject to a customary make-whole for the first two years following the Oaktree Closing Date plus 4.0% of the principal amount of the Oaktree Term Loan prepaid.</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the Oaktree Closing Date, we issued to the Lenders warrants to purchase 647,589 shares (subject to certain adjustments) of our common stock (the "Tranche A Warrant"), at an exercise price per share of $6.69. The Tranche A Warrant was immediately exercisable and the exercise period expires on April 26, 2030. Upon the funding of each of the Tranche B Loan and the Tranche C Loan, we were required to issue to the Lenders warrants to purchase 264,922 shares (subject to certain adjustments) of our common stock on each such funding date at an exercise price equal to the trailing volume weighted average price of our common stock for the 30 trading days prior to the funding date for each tranche (the "Tranche B Warrant" and the "Tranche C Warrant", respectively, and together the "Additional Warrants").</w:t>
      </w:r>
    </w:p>
    <w:p>
      <w:pPr>
        <w:spacing w:after="0" w:line="7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further description of the Oaktree Term Loan, see Note 9,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to our consolidated financial statements included elsewhere in this Annual Report on Form 10-K.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cash equivalents and restricted cash for the years ended December 31, 2024 and 2023.</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(148,609 )</w:t>
            </w:r>
          </w:p>
        </w:tc>
        <w:tc>
          <w:tcPr>
            <w:tcW w:w="400" w:type="dxa"/>
            <w:vAlign w:val="bottom"/>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(117,354 )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142,293</w:t>
            </w:r>
          </w:p>
        </w:tc>
        <w:tc>
          <w:tcPr>
            <w:tcW w:w="240" w:type="dxa"/>
            <w:vAlign w:val="bottom"/>
          </w:tcPr>
          <w:p>
            <w:pPr>
              <w:spacing w:after="0"/>
              <w:rPr>
                <w:sz w:val="18"/>
                <w:szCs w:val="18"/>
                <w:color w:val="auto"/>
              </w:rPr>
            </w:pPr>
          </w:p>
        </w:tc>
        <w:tc>
          <w:tcPr>
            <w:tcW w:w="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(90,372 )</w:t>
            </w:r>
          </w:p>
        </w:tc>
        <w:tc>
          <w:tcPr>
            <w:tcW w:w="400" w:type="dxa"/>
            <w:vAlign w:val="bottom"/>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71,705</w:t>
            </w:r>
          </w:p>
        </w:tc>
        <w:tc>
          <w:tcPr>
            <w:tcW w:w="100" w:type="dxa"/>
            <w:vAlign w:val="bottom"/>
            <w:shd w:val="clear" w:color="auto" w:fill="CFF0FC"/>
          </w:tcPr>
          <w:p>
            <w:pPr>
              <w:spacing w:after="0"/>
              <w:rPr>
                <w:sz w:val="18"/>
                <w:szCs w:val="18"/>
                <w:color w:val="auto"/>
              </w:rPr>
            </w:pPr>
          </w:p>
        </w:tc>
      </w:tr>
      <w:tr>
        <w:trPr>
          <w:trHeight w:val="20"/>
        </w:trPr>
        <w:tc>
          <w:tcPr>
            <w:tcW w:w="6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(96,688 )</w:t>
            </w:r>
          </w:p>
        </w:tc>
        <w:tc>
          <w:tcPr>
            <w:tcW w:w="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(35,067 )</w:t>
            </w: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$148.6 million, primarily due to a net income of $0.1 million and non-cash income of $83.2 million, reduced by changes in our operating assets and liabilities of $65.5 million. Non-cash income consisted of the $146.7 million gain on sale of VOWST Business and $0.5 million decrease in the fair value of the Additional Warrants, partially offset by stock-based compensation expense of $21.0 million, $9.2 million related to the amortization of right-of-use assets, $5.5 million of depreciation and amortization, $1.4 million of amortization of debt issuance costs, $23.4 million of loss associated with the extinguishment of the Oaktree Term Loan, $0.3 million loss on disposal of fixed assets, and $3.3 million of impairment charges related to our long-lived assets. Changes in our operating assets and liabilities during the year ended December 31, 2024 consisted of a $1.0 million decrease in prepaid expenses and other current and non-current assets, a decrease in inventories of $33.8 million in connection with the sale of VOWST Business to SPN, a $2.9 million decrease in accounts payable, a decrease in deferred income - related party of $4.1 million, a decrease in collaboration receivable - related party of $8.7 million, a decrease in operating lease liabilities of $6.3 million, and a $10.2 million decrease in accrued expenses and other liabilities, partially offset by an increase in accrued liabilities due to SPN - related party of $15.7 million and an increase in accounts receivable due from SPN - related party of $2.1 million. The decrease in inventories, increase in accrued liabilities due to SPN - related party, increase in receivables due from SPN - related party, decrease in deferred income – related party and decrease in collaboration receivable – related party were all related to the sale of the VOWST Business. The decrease in operating lease liabilities was due to the cash payment of lease obligations and the decrease in accounts payable and accrued expenses were the results of payments to vendors and changes in the business following the sale of the VOWST Business.</w:t>
      </w:r>
    </w:p>
    <w:p>
      <w:pPr>
        <w:spacing w:after="0" w:line="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was $117.4 million, primarily due to a net loss of $113.7 million and changes in our operating assets and liabilities of $59.0 million, partially offset by non-cash charges of $55.3 million. Non-cash charges consisted of $34.1 million of stock-based compensation expense, loss sharing under the 2021 License Agreement with Nestlé of $5.2 million, $8.9 million related to the amortization of right-of-use assets, $6.2 million of depreciation, $0.9 million of net amortization of premiums related to our investments and amortization of debt issuance costs, and $1.6 million of loss from the extinguishment of the credit facility with Hercules. These were partially offset by a $1.6 million decrease in the fair value of the Additional Warrants. Changes in our operating assets and liabilities during the year ended December 31, 2023 primarily consisted of a $29.1 million increase in prepaid expenses and other current and non-current assets, an increase in inventories of $29.6 million and an increase in collaboration receivable - related party of $8.7 million, as a result of the commencement of our commercial operations since the FDA approval of VOWST in April 2023, an $11.6 million decrease in accounts payable, a $1.3 million decrease in deferred revenue and a $2.2 million decrease in operating lease liabilities, partially offset by a $15.8 million increase in accrued expenses and other liabilities and an increase in deferred income - related party of $7.7 million. The increase in prepaid expenses and other current and non-current assets and accrued expenses and other liabilities was primarily due to the achievement of the substantial completion milestone pursuant to the Bacthera Agreement. The decrease in deferred revenue was due to recognition of revenue during the year for services performed under both the 2021 License Agreement and the 2016 License Agreement. The decrease in operating lease liabilities was due to the cash payment of lease obligations.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was $142.3 million, primarily due to $141.3 million of proceeds from the sale of the VOWST Business and $1.4 million sale of a restricted investment relating to a security deposit on one of our leases that was reclassified as restricted cash, partially offset by $0.4 million of purchases of property and equipment.</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investing activities was $10.6 million, primarily due to maturities of investments of $23.0 million, partially offset by purchases of investments of $4.4 million and purchases of property and equipment of $8.0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was $90.4 million, consisting of $127.9 million repayment of the Oaktree Term Loan, partially offset by $23.5 million from the issuance of common stock under our at the market equity program, net of issuance costs, $13.5 million from the issuance of common stock in connection with the sale of the VOWST Business to SPN, and $0.5 million from the issuance of common stock under our 2015 Employee Stock Purchase Plan, or ESPP.</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$71.7 million, consisting of $103.4 million in proceeds from the issuance of the Oaktree Term Loan, offset by $52.9 million for the repayment of the credit facility with Hercules. Cash provided by financing activities also consisted of $18.2 million from the issuance of common stock under our at the market equity program, net of issuance costs. We also received $0.9 million from the issuance of common stock associated with the exercise of stock options, and $2.2 million in connection with the issuance of common stock under our 2015 Employee Stock Purchase Plan, or ESPP.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expenses may increase in connection with our ongoing clinical development activities and research and development activities. In addition, we expect to continue to incur additional costs associated with operating as a public company. We anticipate that our future expenses will increase if and as we:</w:t>
      </w:r>
    </w:p>
    <w:p>
      <w:pPr>
        <w:spacing w:after="0" w:line="68"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in patients undergoing allo-HSCT and for other medically vulnerable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the TSA;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other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any agreements with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68" w:lineRule="exact"/>
        <w:rPr>
          <w:sz w:val="20"/>
          <w:szCs w:val="20"/>
          <w:color w:val="auto"/>
        </w:rPr>
      </w:pPr>
    </w:p>
    <w:p>
      <w:pPr>
        <w:ind w:left="1020" w:right="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Second Installment Payment and Milestone Payments we may receive from the Transaction, and the amounts payable or due under the Profit Sharing Payments;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revenue, if any,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0" w:name="page91"/>
    <w:bookmarkEnd w:id="90"/>
    <w:p>
      <w:pPr>
        <w:ind w:right="320"/>
        <w:spacing w:after="0" w:line="266" w:lineRule="auto"/>
        <w:rPr>
          <w:sz w:val="20"/>
          <w:szCs w:val="20"/>
          <w:color w:val="auto"/>
        </w:rPr>
      </w:pPr>
      <w:r>
        <w:rPr>
          <w:rFonts w:ascii="Times New Roman" w:cs="Times New Roman" w:eastAsia="Times New Roman" w:hAnsi="Times New Roman"/>
          <w:sz w:val="18"/>
          <w:szCs w:val="18"/>
          <w:color w:val="auto"/>
        </w:rPr>
        <w:t>approval for our current or future product candidates and achieve product sales. In addition, our product candidates, if approved, may not achieve commercial success. Additionally, part of our commercial revenues, if any, will be derived from sales of product candidates that we do not expect to be commercially available for many years, if ever. Accordingly, we will need to obtain substantial additional funds to achieve our business objectives.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Additionally, market volatility resulting from macroeconomic conditions, or other factors could also adversely impact our ability to access capital as and when needed.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as common stockholders. Our Hercules Loan and Security Agreement and Oaktree Term Loan included and any additional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stockholders’ ownership interest.</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debt financings, or collaborations. When needed, we may be required to delay, limit, reduce or terminate our product development programs or any potential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included elsewhere in this Annual Report on Form 10-K, we have the responsibility to evaluate whether conditions or events raise substantial doubt about our ability to meet our future financial obligations as they become due within 12 months after the date the consolidated financial statements are issued. The receipt of contingent payments from the Transaction, collaborations or future equity issuances cannot be considered probable, as these events are outside of our control. Accordingly, management has concluded that these circumstances raise substantial doubt about our ability to continue as a going concern. Based on our currently available cash resources, including the capital obtained from the Transaction, and the expected receipt of the Second Installment Payment, which is subject to material compliance with the TSA, and considering our future operating plans and our ongoing obligations related to the Transaction, we anticipate that we will require additional funding in the first quarter of 2026.</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our lease commitments.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lease commitments reflect payments due under our operating lease agreements for our corporate headquarters, office and laboratory space, and donor collection facilities, that expire between November 2028 and April 2033. As of December 31, 2024, our contractual commitments for our leases were $137.9 million, of which $19.4 million is expected to be paid within one year, and $118.4 million will be paid over the remaining term of such leases. We do not have any commitment for leases that had not yet commenced as of December 31, 2024. For additional information on our leases and timing of future payments, please read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this Form 10-K.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Profit Sharing Payments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and SPN share 50/50 in the net profit or net loss achieved during the period from the Closing Date until December 31, 2025, or the Profit Sharing Period. During the Profit Sharing Period, we will reimburse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 As of December 31, 2024, our estimated costs associated with these future payments were $17.8 million, all of which is expected to be within one year.</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ind w:right="2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standards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in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Interest Rate Fluctuation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our cash and cash equivalents consisted of cash and money market accounts. Our interest income is sensitive to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as of the end of the period covered by this Annual Report on Form 10-K. Based on such evaluation, our principal executive officer and principal financial officer has concluded that as of December 31, 2024, our disclosure controls and procedures were effective at the reasonable assurance level.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Closing, we entered into a Transition Services Agreement, or the TSA, with NESA, which provides for services to be performed by us in order to facilitate a transition of the business associated with the VOWST Business to NESA and its affiliates. As a result, during the three months ended December 31, 2024, we made the following modifications to our internal control over financial reporting (as defined in Rules 13a-15(f) and 15d-15(f) under the Exchange Act):</w:t>
      </w:r>
    </w:p>
    <w:p>
      <w:pPr>
        <w:spacing w:after="0" w:line="72"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internal controls over the identification of accounts and transactions related to the TSA;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controls and documentation processes related to the accounting for the transition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controls to address the presentation of the manufacturing services under the TSA.</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Other than the items described above, there were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Securities Exchange Act of 1934, as amended.</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2024, our internal control over financial reporting was effective.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2" w:name="page93"/>
    <w:bookmarkEnd w:id="92"/>
    <w:p>
      <w:pPr>
        <w:ind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included in this Annual Report on Form 10-K on page F-2.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3"/>
          </w:tcPr>
          <w:p>
            <w:pPr>
              <w:jc w:val="center"/>
              <w:ind w:right="5112"/>
              <w:spacing w:after="0"/>
              <w:rPr>
                <w:sz w:val="20"/>
                <w:szCs w:val="20"/>
                <w:color w:val="auto"/>
              </w:rPr>
            </w:pPr>
            <w:r>
              <w:rPr>
                <w:rFonts w:ascii="Times New Roman" w:cs="Times New Roman" w:eastAsia="Times New Roman" w:hAnsi="Times New Roman"/>
                <w:sz w:val="18"/>
                <w:szCs w:val="18"/>
                <w:b w:val="1"/>
                <w:bCs w:val="1"/>
                <w:color w:val="auto"/>
                <w:w w:val="99"/>
              </w:rPr>
              <w:t>PART III</w:t>
            </w:r>
          </w:p>
        </w:tc>
      </w:tr>
      <w:tr>
        <w:trPr>
          <w:trHeight w:val="32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24"/>
        </w:trPr>
        <w:tc>
          <w:tcPr>
            <w:tcW w:w="3540" w:type="dxa"/>
            <w:vAlign w:val="bottom"/>
          </w:tcPr>
          <w:p>
            <w:pPr>
              <w:spacing w:after="0"/>
              <w:rPr>
                <w:sz w:val="24"/>
                <w:szCs w:val="24"/>
                <w:color w:val="auto"/>
              </w:rPr>
            </w:pPr>
          </w:p>
        </w:tc>
        <w:tc>
          <w:tcPr>
            <w:tcW w:w="7700" w:type="dxa"/>
            <w:vAlign w:val="bottom"/>
            <w:gridSpan w:val="6"/>
          </w:tcPr>
          <w:p>
            <w:pPr>
              <w:jc w:val="center"/>
              <w:ind w:right="3452"/>
              <w:spacing w:after="0"/>
              <w:rPr>
                <w:sz w:val="20"/>
                <w:szCs w:val="20"/>
                <w:color w:val="auto"/>
              </w:rPr>
            </w:pPr>
            <w:r>
              <w:rPr>
                <w:rFonts w:ascii="Times New Roman" w:cs="Times New Roman" w:eastAsia="Times New Roman" w:hAnsi="Times New Roman"/>
                <w:sz w:val="18"/>
                <w:szCs w:val="18"/>
                <w:b w:val="1"/>
                <w:bCs w:val="1"/>
                <w:color w:val="auto"/>
              </w:rPr>
              <w:t>Director Biographical Information</w:t>
            </w:r>
          </w:p>
        </w:tc>
      </w:tr>
      <w:tr>
        <w:trPr>
          <w:trHeight w:val="364"/>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5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Dennis A. Ausiello, M.D. (3)(4)</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left="219"/>
              <w:spacing w:after="0" w:line="191" w:lineRule="exact"/>
              <w:rPr>
                <w:sz w:val="20"/>
                <w:szCs w:val="20"/>
                <w:color w:val="auto"/>
              </w:rPr>
            </w:pPr>
            <w:r>
              <w:rPr>
                <w:rFonts w:ascii="Times New Roman" w:cs="Times New Roman" w:eastAsia="Times New Roman" w:hAnsi="Times New Roman"/>
                <w:sz w:val="18"/>
                <w:szCs w:val="18"/>
                <w:color w:val="auto"/>
                <w:w w:val="99"/>
              </w:rPr>
              <w:t>79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Berenson (3)</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R. Biondi (2)</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Willard H. Dere, M.D. (1)(4)</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Claire M. Fraser, Ph.D. (1)(4)</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Kurt C. Graves (2)</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N. Kender (1)(2)</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D. Shaff</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Hans-Juergen Woerle, M.D., Ph.D. (4)</w:t>
            </w:r>
          </w:p>
        </w:tc>
        <w:tc>
          <w:tcPr>
            <w:tcW w:w="1680" w:type="dxa"/>
            <w:vAlign w:val="bottom"/>
            <w:tcBorders>
              <w:bottom w:val="single" w:sz="8" w:color="auto"/>
            </w:tcBorders>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59</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90"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audit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compensation and talent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nominating and corporate governance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science and clinical development committee.</w:t>
      </w:r>
    </w:p>
    <w:p>
      <w:pPr>
        <w:spacing w:after="0" w:line="1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Dennis A. Ausiello, M.D., </w:t>
      </w:r>
      <w:r>
        <w:rPr>
          <w:rFonts w:ascii="Times New Roman" w:cs="Times New Roman" w:eastAsia="Times New Roman" w:hAnsi="Times New Roman"/>
          <w:sz w:val="18"/>
          <w:szCs w:val="18"/>
          <w:color w:val="231F20"/>
        </w:rPr>
        <w:t>has served as a member of our board of directors since April 2015. Dr. Ausiello has served as the Jackson Distinguished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as Vice Chairman of the board of directors of Spexis AG, a clinical-stage biopharmaceutical company, since December 2021,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Stephen A. Berenson </w:t>
      </w:r>
      <w:r>
        <w:rPr>
          <w:rFonts w:ascii="Times New Roman" w:cs="Times New Roman" w:eastAsia="Times New Roman" w:hAnsi="Times New Roman"/>
          <w:sz w:val="18"/>
          <w:szCs w:val="18"/>
          <w:color w:val="231F20"/>
        </w:rPr>
        <w:t>has served as Chairman of our board of directors since December 2019 and as a member of our board of directors since August 2019.</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Mr. Berenson has been a Managing Partner at Flagship Pioneering, a life sciences innovation firm which conceives, creates, resources and develops first-in-category bioplatform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a privately held pharmaceutical company, since July 2021, as chairman of SAIL Biomedicines, a privately held pharmaceutical company, since August 2024, and as a director of Inari, a privately held agricultural company, since January 2024. He previously served on the board of directors of Moderna, Inc., a pharmaceutical and biotechnology company, from October 2017 to August 2024.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8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Paul R. Biondi </w:t>
      </w:r>
      <w:r>
        <w:rPr>
          <w:rFonts w:ascii="Times New Roman" w:cs="Times New Roman" w:eastAsia="Times New Roman" w:hAnsi="Times New Roman"/>
          <w:sz w:val="18"/>
          <w:szCs w:val="18"/>
          <w:color w:val="231F20"/>
        </w:rPr>
        <w:t>has served as a member of our board of directors since March 2020. Mr. Biondi is a Managing Partner and President of Pioneering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Medicines at Flagship Pioneering, a life sciences innovation firm which conceives, creates, resources and develops first-in-category bioplatform companies, roles he has held since November 2019. Mr. Biondi joined Flagship Pioneering 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Willard H. Dere, M.D.</w:t>
      </w:r>
      <w:r>
        <w:rPr>
          <w:rFonts w:ascii="Times New Roman" w:cs="Times New Roman" w:eastAsia="Times New Roman" w:hAnsi="Times New Roman"/>
          <w:sz w:val="18"/>
          <w:szCs w:val="18"/>
          <w:color w:val="231F20"/>
        </w:rPr>
        <w:t>, has served as a member our board of directors since July 2017. Dr. Dere has served as Chief Advisor to the Chief Executive Officer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Chief Medical Officer of Angita Bio, a biotechnology company, since July 2022. Dr. Dere has also been Professor Emeritus, Department of Internal Medicine, at the University of Utah School of Medicine since July 2022. From November 2014 until June 2022,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Mersana Therapeutics, Inc. since 2018, and Metagenomi, Inc. since August 2021, and previously served on the boards of directors of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231F20"/>
        </w:rPr>
        <w:t>Claire M. Fraser, Ph.D.</w:t>
      </w:r>
      <w:r>
        <w:rPr>
          <w:rFonts w:ascii="Times New Roman" w:cs="Times New Roman" w:eastAsia="Times New Roman" w:hAnsi="Times New Roman"/>
          <w:sz w:val="18"/>
          <w:szCs w:val="18"/>
          <w:color w:val="231F20"/>
        </w:rPr>
        <w:t>, has served as a member of our board of directors since January 2023. Dr. Fraser has been a faculty member at the University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Maryland School of Medicine in Baltimore, Maryland for the past 18 years and is the Founding Director of the Institute for Genome Sciences and Professor Emerita of Medicine and Microbiology and Immunology. From 1998 to 2007, she served as President and Director of The Institute for Genomic Research, a not-for-profit research organization engaged in human and microbial genomics studies. Dr. Fraser has served on the Board of Directors of Becton, Dickinson, and Company, a medical technology company, since 2006, and previously served as the Chair of the Board and a director of the American Association for the Advancement of Science. Dr. Fraser received her bachelor’s degree in Biology from Rensselaer Polytechnic Institute, her Ph.D. in Pharmacology from State University of New York-Buffalo and is an elected member of both the National Academy of Sciences and the National Academy of Medicine. We believe Dr. Fraser is qualified to serve on our board of directors due to her extensive academic experience and her knowledge of the microbiome industry.</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Kurt C. Graves </w:t>
      </w:r>
      <w:r>
        <w:rPr>
          <w:rFonts w:ascii="Times New Roman" w:cs="Times New Roman" w:eastAsia="Times New Roman" w:hAnsi="Times New Roman"/>
          <w:sz w:val="18"/>
          <w:szCs w:val="18"/>
          <w:color w:val="231F20"/>
        </w:rPr>
        <w:t>has served as a member of our board of directors since November 2015. Mr. Graves has served as the Chairman, President and Chief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Executive Officer of i20 Therapeutics, Inc., a biotechnology company, since August 2023, and as a director since August 2021. He previously served as the Executive Chairman of i20 Therapeutics' board of directors from August 2021 to August 2023.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senior leadership positions at Novartis Pharmaceuticals Corporation, or Novartis Corp., from 1999 to June 2007, including the Global General Medicines Business Unit Head and Global Chief Marketing Officer for the pharmaceuticals division of Novartis Corp. from September 2003 to June 2007. Prior to Novartis Corp., Mr. Graves held senior leadership positions at Merck and Astra-Merck where he led the U.S. Business Unit responsible for Prilosec, Nexium and Prilosec OTC over a 10-year period. He served as Chairman on the board of directors of Radius Health, Inc. from May 2011 to March 2020, and as a director on Achillion Pharmaceuticals, Inc., or Achillion, from June 2012 to January 2020, when Achillion was acquired.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Richard N. Kender </w:t>
      </w:r>
      <w:r>
        <w:rPr>
          <w:rFonts w:ascii="Times New Roman" w:cs="Times New Roman" w:eastAsia="Times New Roman" w:hAnsi="Times New Roman"/>
          <w:sz w:val="18"/>
          <w:szCs w:val="18"/>
          <w:color w:val="231F20"/>
        </w:rPr>
        <w:t>has served as a member of our board of directors since October 2014. From October 1978 to September 2013, Mr. Kender held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positions in a variety of corporate areas at Merck &amp; Co., Inc., or Merck, a pharmaceutical company, most recently serving as Senior Vice President of Business Development and Corporate Licensing. Mr. Kender has served on the boards of directors of Poxel S.A. since March 2015, Bicycle Therapeutics PLC since July 2019, Longeveron Inc. since May 2024 and Omega Therapeutics since June 2024. He previously served on the boards of directors of INC Research Holdings, Inc. (now known as Syneos Health) between December 2014 and August 2017, Abide Therapeutics, Inc., a privately held company, between December 2015 and May 2019,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231F20"/>
        </w:rPr>
        <w:t xml:space="preserve">Eric D. Shaff </w:t>
      </w:r>
      <w:r>
        <w:rPr>
          <w:rFonts w:ascii="Times New Roman" w:cs="Times New Roman" w:eastAsia="Times New Roman" w:hAnsi="Times New Roman"/>
          <w:sz w:val="18"/>
          <w:szCs w:val="18"/>
          <w:color w:val="231F20"/>
        </w:rPr>
        <w:t>has served as our President and Chief Executive Officer and a member of our board of directors since January 2019. Previously, he served as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previously served on the board of directors of Sigilon Therapeutics, Inc. from 2017 to August 2023. Mr. Shaff received his B.A.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5" w:name="page96"/>
    <w:bookmarkEnd w:id="95"/>
    <w:p>
      <w:pPr>
        <w:ind w:right="100"/>
        <w:spacing w:after="0" w:line="282" w:lineRule="auto"/>
        <w:rPr>
          <w:sz w:val="20"/>
          <w:szCs w:val="20"/>
          <w:color w:val="auto"/>
        </w:rPr>
      </w:pPr>
      <w:r>
        <w:rPr>
          <w:rFonts w:ascii="Times New Roman" w:cs="Times New Roman" w:eastAsia="Times New Roman" w:hAnsi="Times New Roman"/>
          <w:sz w:val="18"/>
          <w:szCs w:val="18"/>
          <w:color w:val="231F20"/>
        </w:rPr>
        <w:t>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Hans-Juergen Woerle, M.D., Ph.D.</w:t>
      </w:r>
      <w:r>
        <w:rPr>
          <w:rFonts w:ascii="Times New Roman" w:cs="Times New Roman" w:eastAsia="Times New Roman" w:hAnsi="Times New Roman"/>
          <w:sz w:val="18"/>
          <w:szCs w:val="18"/>
          <w:color w:val="231F20"/>
        </w:rPr>
        <w:t>, has served as a member of our board of directors since February 2025. Dr. Woerle has served as Chief Medical Officer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Chief Scientific Officer at Nestlé Health Science S.A. since November 2018, where he is responsible for global research and development strategy. Dr. Woerle served on the board of directors of Cerecin Inc., a clinical-stage biotechnology company, from June 2020 to September 2024. He currently serves on the board of directors of Enterome, SA, a clinical-stage biopharmaceutical company, since June 2020. Dr. Woerle is a board-certified physician and a specialist in internal medicine and endocrinology, holding an adjunct professorship at University of Ulm. Dr. Woerle earned his bachelors degree, masters degree and medical degree from Ludwig Maximilian University. We believe Dr. Woerle is qualified to serve on our board of directors because of his extensive experience as a physician and in clinical research and development.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32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r>
      <w:tr>
        <w:trPr>
          <w:trHeight w:val="432"/>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9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Eric D. Shaff</w:t>
            </w:r>
            <w:r>
              <w:rPr>
                <w:rFonts w:ascii="Times New Roman" w:cs="Times New Roman" w:eastAsia="Times New Roman" w:hAnsi="Times New Roman"/>
                <w:sz w:val="22"/>
                <w:szCs w:val="22"/>
                <w:color w:val="auto"/>
                <w:vertAlign w:val="superscript"/>
              </w:rPr>
              <w:t>(1)</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Marella Thorell</w:t>
            </w:r>
          </w:p>
        </w:tc>
        <w:tc>
          <w:tcPr>
            <w:tcW w:w="260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DesRosier</w:t>
            </w:r>
          </w:p>
        </w:tc>
        <w:tc>
          <w:tcPr>
            <w:tcW w:w="260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196"/>
        </w:trPr>
        <w:tc>
          <w:tcPr>
            <w:tcW w:w="2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Matthew Henn, Ph.D.</w:t>
            </w:r>
          </w:p>
        </w:tc>
        <w:tc>
          <w:tcPr>
            <w:tcW w:w="2600" w:type="dxa"/>
            <w:vAlign w:val="bottom"/>
            <w:gridSpan w:val="3"/>
          </w:tcPr>
          <w:p>
            <w:pPr>
              <w:jc w:val="center"/>
              <w:ind w:left="1610"/>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7"/>
                <w:szCs w:val="17"/>
                <w:color w:val="auto"/>
              </w:rPr>
            </w:pPr>
          </w:p>
        </w:tc>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Executive Vice President and Chief Scientific Officer</w:t>
            </w:r>
          </w:p>
        </w:tc>
      </w:tr>
      <w:tr>
        <w:trPr>
          <w:trHeight w:val="236"/>
        </w:trPr>
        <w:tc>
          <w:tcPr>
            <w:tcW w:w="29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Lisa von Moltke, M.D.</w:t>
            </w:r>
            <w:r>
              <w:rPr>
                <w:rFonts w:ascii="Times New Roman" w:cs="Times New Roman" w:eastAsia="Times New Roman" w:hAnsi="Times New Roman"/>
                <w:sz w:val="24"/>
                <w:szCs w:val="24"/>
                <w:color w:val="auto"/>
                <w:vertAlign w:val="superscript"/>
              </w:rPr>
              <w:t>(2)</w:t>
            </w:r>
          </w:p>
        </w:tc>
        <w:tc>
          <w:tcPr>
            <w:tcW w:w="260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r>
      <w:tr>
        <w:trPr>
          <w:trHeight w:val="234"/>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Teresa L. Young, Ph.D.</w:t>
            </w: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Commercial and Strategy Officer</w:t>
            </w:r>
          </w:p>
        </w:tc>
      </w:tr>
    </w:tbl>
    <w:p>
      <w:pPr>
        <w:spacing w:after="0" w:line="99"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concerning Eric D. Shaff, our President and Chief Executive Officer, may be found above in the section entitled “Director Biographical Information.”</w:t>
      </w:r>
    </w:p>
    <w:p>
      <w:pPr>
        <w:spacing w:after="0" w:line="3"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22, 2025, Dr. von Moltke notified us of her resignation as Executive Vice President and Chief Medical Officer, effective as of March 14, 2025.</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Marella Thorell </w:t>
      </w:r>
      <w:r>
        <w:rPr>
          <w:rFonts w:ascii="Times New Roman" w:cs="Times New Roman" w:eastAsia="Times New Roman" w:hAnsi="Times New Roman"/>
          <w:sz w:val="18"/>
          <w:szCs w:val="18"/>
          <w:color w:val="auto"/>
        </w:rPr>
        <w:t>has served as our Executive Vice President and Chief Financial Officer since March 2024. Previously, she served as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Treasurer of Evelo Biosciences, Inc., a biotechnology company, from September 2022 to December 2023. From January 2021 to July 2022, Ms. Thorell served as Chief Accounting Officer and previously as Head of Finance at Centessa Pharmaceuticals PLC, or Centessa, a pharmaceutical company. In that role, she led the establishment of Centessa’s finance operations, led its public company readiness activities in connection with its initial public offering, and oversaw accounting operations. Previously, from October 2019 to December 2020, Ms. Thorell served as Chief Financial Officer at Palladio Biosciences, a biotechnology company, prior to its acquisition by Centessa. Before that, Ms. Thorell spent over ten years at Realm Therapeutics PLC, a biopharmaceutical company, serving in various roles of increasing responsibility, including Chief Financial Officer and Chief Operating Officer. Ms. Thorell has served on the boards of directors and as the Audit Committee Chair of ESSA Pharma Inc., a pharmaceutical company, since July 2019 and of Carisma Therapeutics, a biopharmaceutical company, since June 2024, and previously served on the board of directors of Vallon Pharmaceuticals, Inc., a pharmaceutical company, from February 2021 until its reverse-merger with GRI Bio in April 2023. Ms. Thorell holds a B.S. in Business from Lehigh University.</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J. DesRosier </w:t>
      </w:r>
      <w:r>
        <w:rPr>
          <w:rFonts w:ascii="Times New Roman" w:cs="Times New Roman" w:eastAsia="Times New Roman" w:hAnsi="Times New Roman"/>
          <w:sz w:val="18"/>
          <w:szCs w:val="18"/>
          <w:color w:val="auto"/>
        </w:rPr>
        <w:t>has served as our Chief Legal Officer, Executive Vice President, and Secretary since May 2016. Previously, he served as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Matthew Henn, Ph.D., </w:t>
      </w:r>
      <w:r>
        <w:rPr>
          <w:rFonts w:ascii="Times New Roman" w:cs="Times New Roman" w:eastAsia="Times New Roman" w:hAnsi="Times New Roman"/>
          <w:sz w:val="18"/>
          <w:szCs w:val="18"/>
          <w:color w:val="auto"/>
        </w:rPr>
        <w:t>has served as our Executive Vice President and Chief Scientific Officer since February 2019. He has been involved in the discovery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of multiple live biotherapeutics, including two breakthrough therapy designated biologics, across infectious, inflammatory, and oncology indications, and has authored over 75 peer-reviewed publications. He has extensive research experience in microbiology, genomics, and computational biology, as well as in drug pharmacology and clinical translation. His research has focused on microbial populations and the functional role of microbes in both environmental and human disease applications, and the development of genomic and functional screening technologies to study these populations. Prior to joining Seres in 2012, he was the Director of Viral Genomics and Assistant Director of the Genome Sequencing Center for Infectious Diseases at the Broad Institute of Massachusetts Institute of Technology and Harvard. He has served on various National Institutes of Health, or NIH, working groups on antimicrobial resistance and microbiome research, as a scientific advisor for NIH’s Viral Pathogen Bioinformatics Resource Center, as an ad-hoc reviewer and editor of various peer-reviewed journals, and as a scientific advisor to non-profit and for-profit organizations. He currently serves on the Microbiome Therapeutics Innovation Group board of directors, the World Microbiome Partnership steering committee, and Life Sciences Cares board of advisors. Dr. Henn is formally trained in ecology and evolutionary biology and earned his Ph.D. in ecosystem sciences from the University of California at Berkeley, where he was a NASA Earth Systems Sciences Fellow, and trained as a National Science Foundation Postdoctoral Fellow in Microbiology at Duke University.</w:t>
      </w:r>
    </w:p>
    <w:p>
      <w:pPr>
        <w:spacing w:after="0" w:line="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Lisa von Moltke, M.D., </w:t>
      </w:r>
      <w:r>
        <w:rPr>
          <w:rFonts w:ascii="Times New Roman" w:cs="Times New Roman" w:eastAsia="Times New Roman" w:hAnsi="Times New Roman"/>
          <w:sz w:val="18"/>
          <w:szCs w:val="18"/>
          <w:color w:val="auto"/>
        </w:rPr>
        <w:t>has served as our Executive Vice President and Chief Medical Officer since March 2020. Previously, Dr. von Moltke worked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ind w:right="340"/>
        <w:spacing w:after="0" w:line="261" w:lineRule="auto"/>
        <w:rPr>
          <w:sz w:val="20"/>
          <w:szCs w:val="20"/>
          <w:color w:val="auto"/>
        </w:rPr>
      </w:pPr>
      <w:r>
        <w:rPr>
          <w:rFonts w:ascii="Times New Roman" w:cs="Times New Roman" w:eastAsia="Times New Roman" w:hAnsi="Times New Roman"/>
          <w:sz w:val="18"/>
          <w:szCs w:val="18"/>
          <w:color w:val="auto"/>
        </w:rPr>
        <w:t>Moltke was Head, Translational Medicine for the Takeda Oncology Company, a biopharmaceutical company, in Cambridge, MA. Dr. von Moltke has served on the board of directors of Cara Therapeutics, Inc. since November 2022.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Teresa L. Young, Ph.D., </w:t>
      </w:r>
      <w:r>
        <w:rPr>
          <w:rFonts w:ascii="Times New Roman" w:cs="Times New Roman" w:eastAsia="Times New Roman" w:hAnsi="Times New Roman"/>
          <w:sz w:val="18"/>
          <w:szCs w:val="18"/>
          <w:color w:val="auto"/>
        </w:rPr>
        <w:t>has served as our Executive Vice President, Chief Commercial and Strategy Officer since June 2020. Previously, Dr.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officers, directors and employees, which is available on our website at www.serestherapeutics.com in the “Investors and News”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 The information contained on our website is not incorporated by reference into this Annual Report on Form 10-K.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640" w:firstLine="578"/>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required to be disclosed by this item will be contained in the Proxy Statement for our Annual Meeting of Stockholders to be held in 2025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2025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2025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2025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2025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all exhibits filed as a part of this Annual Report on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0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80" w:type="dxa"/>
            <w:vAlign w:val="bottom"/>
            <w:gridSpan w:val="1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3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5"/>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0"/>
        </w:trPr>
        <w:tc>
          <w:tcPr>
            <w:tcW w:w="10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Asset Purchase Agreement, dated August 5, 2024, by and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between the Registrant and Société des Produits Nestlé S.A.</w:t>
              </w:r>
            </w:hyperlink>
          </w:p>
        </w:tc>
        <w:tc>
          <w:tcPr>
            <w:tcW w:w="46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Restated Certificate of Incorporation</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7/1/15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Certificate of Amendment to Restated Certificate of</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6/28/23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Incorporation of Registrant, dated June 27, 2023</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Amendment to Restated Certificate of</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4/8/24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Incorporation of Registrant, dated April 5, 2024</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Bylaws</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Specimen Stock Certificate evidencing the shares of common</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4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Warrant, dated April 27, 2023, issued by the Registrant</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to the Lenders, together with a schedule of warrant holders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2015 Incentive Award Plan, as amended and forms of award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2015 Employee Stock Purchase Plan</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10.3#</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2012 Stock Incentive Plan, as amended and form of option</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2022 Employment Inducement Award Plan and forms of award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Non-Employee Director Compensation Program</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5/8/24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Lease, dated September 22, 2021, by and between the Registrant</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3/5/24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8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and HCP/KING 101 CPD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Second Amended and Restated Employment Agreement, dated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January 29, 2021, by and between the Registrant and Eric 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Shaff</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Employment Agreement, dated January</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29, 2021, by and between the Registrant and Thomas J.</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DesRosier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gridSpan w:val="1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10.9#</w:t>
            </w:r>
          </w:p>
        </w:tc>
        <w:tc>
          <w:tcPr>
            <w:tcW w:w="140" w:type="dxa"/>
            <w:vAlign w:val="bottom"/>
          </w:tcPr>
          <w:p>
            <w:pPr>
              <w:spacing w:after="0"/>
              <w:rPr>
                <w:sz w:val="24"/>
                <w:szCs w:val="24"/>
                <w:color w:val="auto"/>
              </w:rPr>
            </w:pPr>
          </w:p>
        </w:tc>
        <w:tc>
          <w:tcPr>
            <w:tcW w:w="4780" w:type="dxa"/>
            <w:vAlign w:val="bottom"/>
            <w:gridSpan w:val="2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Amended and Restated Employment Agreement, dated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440" w:type="dxa"/>
            <w:vAlign w:val="bottom"/>
            <w:gridSpan w:val="14"/>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January 29, 2021, by and between the Registrant and Matthew</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440" w:type="dxa"/>
            <w:vAlign w:val="bottom"/>
            <w:gridSpan w:val="1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 Henn, Ph.D.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3440" w:type="dxa"/>
            <w:vAlign w:val="bottom"/>
            <w:gridSpan w:val="1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Employment Agreement, dated January</w:t>
              </w:r>
            </w:hyperlink>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29, 2021, by and between the Registrant and Teresa L. Young</w:t>
              </w:r>
            </w:hyperlink>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Employment Agreement, dated January</w:t>
              </w:r>
            </w:hyperlink>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29, 2021, by and between the Registrant and Lisa von Moltke,</w:t>
              </w:r>
            </w:hyperlink>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M.D.</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Employment Agreement, dated February 24, 2024, by and</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between the Registrant and Marella Thorell</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Securities Purchase Agreement, dated September 30, 2024, by</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and between Seres Therapeutics, Inc. and Société des Produits</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Nestlé S.A.</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Transition Services Agreement, dated September 30, 2024, by</w:t>
            </w:r>
          </w:p>
        </w:tc>
      </w:tr>
      <w:tr>
        <w:trPr>
          <w:trHeight w:val="216"/>
        </w:trPr>
        <w:tc>
          <w:tcPr>
            <w:tcW w:w="1200" w:type="dxa"/>
            <w:vAlign w:val="bottom"/>
          </w:tcPr>
          <w:p>
            <w:pPr>
              <w:spacing w:after="0"/>
              <w:rPr>
                <w:sz w:val="18"/>
                <w:szCs w:val="18"/>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and between Seres Therapeutics, Inc. and Nestlé Enterprises</w:t>
            </w:r>
          </w:p>
        </w:tc>
      </w:tr>
      <w:tr>
        <w:trPr>
          <w:trHeight w:val="234"/>
        </w:trPr>
        <w:tc>
          <w:tcPr>
            <w:tcW w:w="1200" w:type="dxa"/>
            <w:vAlign w:val="bottom"/>
          </w:tcPr>
          <w:p>
            <w:pPr>
              <w:spacing w:after="0"/>
              <w:rPr>
                <w:sz w:val="20"/>
                <w:szCs w:val="20"/>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S.A.</w:t>
            </w:r>
          </w:p>
        </w:tc>
      </w:tr>
      <w:tr>
        <w:trPr>
          <w:trHeight w:val="27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Cross-License Agreement, dated September 30, 2024, by and</w:t>
            </w:r>
          </w:p>
        </w:tc>
      </w:tr>
      <w:tr>
        <w:trPr>
          <w:trHeight w:val="216"/>
        </w:trPr>
        <w:tc>
          <w:tcPr>
            <w:tcW w:w="1200" w:type="dxa"/>
            <w:vAlign w:val="bottom"/>
          </w:tcPr>
          <w:p>
            <w:pPr>
              <w:spacing w:after="0"/>
              <w:rPr>
                <w:sz w:val="18"/>
                <w:szCs w:val="18"/>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between Seres Therapeutics, Inc. and Société des Produits</w:t>
            </w:r>
          </w:p>
        </w:tc>
      </w:tr>
      <w:tr>
        <w:trPr>
          <w:trHeight w:val="234"/>
        </w:trPr>
        <w:tc>
          <w:tcPr>
            <w:tcW w:w="1200" w:type="dxa"/>
            <w:vAlign w:val="bottom"/>
          </w:tcPr>
          <w:p>
            <w:pPr>
              <w:spacing w:after="0"/>
              <w:rPr>
                <w:sz w:val="20"/>
                <w:szCs w:val="20"/>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Nestlé S.A.</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Securities Purchase Agreement, dated August 12, 2020 by and</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between the Company and Société des Produits Nestlé S.A.</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Employee Support Agreement, dated September 30, 2024, by</w:t>
            </w:r>
          </w:p>
        </w:tc>
      </w:tr>
      <w:tr>
        <w:trPr>
          <w:trHeight w:val="216"/>
        </w:trPr>
        <w:tc>
          <w:tcPr>
            <w:tcW w:w="1200" w:type="dxa"/>
            <w:vAlign w:val="bottom"/>
          </w:tcPr>
          <w:p>
            <w:pPr>
              <w:spacing w:after="0"/>
              <w:rPr>
                <w:sz w:val="18"/>
                <w:szCs w:val="18"/>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and between Seres Therapeutics, Inc. and Société des Produits</w:t>
            </w:r>
          </w:p>
        </w:tc>
      </w:tr>
      <w:tr>
        <w:trPr>
          <w:trHeight w:val="234"/>
        </w:trPr>
        <w:tc>
          <w:tcPr>
            <w:tcW w:w="1200" w:type="dxa"/>
            <w:vAlign w:val="bottom"/>
          </w:tcPr>
          <w:p>
            <w:pPr>
              <w:spacing w:after="0"/>
              <w:rPr>
                <w:sz w:val="20"/>
                <w:szCs w:val="20"/>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Nestlé S.A.</w:t>
            </w:r>
          </w:p>
        </w:tc>
      </w:tr>
      <w:tr>
        <w:trPr>
          <w:trHeight w:val="27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Assignment and Termination of Manufacturing Agreement,</w:t>
            </w:r>
          </w:p>
        </w:tc>
      </w:tr>
      <w:tr>
        <w:trPr>
          <w:trHeight w:val="216"/>
        </w:trPr>
        <w:tc>
          <w:tcPr>
            <w:tcW w:w="1200" w:type="dxa"/>
            <w:vAlign w:val="bottom"/>
          </w:tcPr>
          <w:p>
            <w:pPr>
              <w:spacing w:after="0"/>
              <w:rPr>
                <w:sz w:val="18"/>
                <w:szCs w:val="18"/>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dated August 5, 2024, by and between Seres Therapeutics, Inc.</w:t>
            </w:r>
          </w:p>
        </w:tc>
      </w:tr>
      <w:tr>
        <w:trPr>
          <w:trHeight w:val="234"/>
        </w:trPr>
        <w:tc>
          <w:tcPr>
            <w:tcW w:w="1200" w:type="dxa"/>
            <w:vAlign w:val="bottom"/>
          </w:tcPr>
          <w:p>
            <w:pPr>
              <w:spacing w:after="0"/>
              <w:rPr>
                <w:sz w:val="20"/>
                <w:szCs w:val="20"/>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and Bacthera AG</w:t>
            </w:r>
          </w:p>
        </w:tc>
      </w:tr>
      <w:tr>
        <w:trPr>
          <w:trHeight w:val="27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Mutual Termination of License Agreement dated September 30,</w:t>
            </w:r>
          </w:p>
        </w:tc>
      </w:tr>
      <w:tr>
        <w:trPr>
          <w:trHeight w:val="216"/>
        </w:trPr>
        <w:tc>
          <w:tcPr>
            <w:tcW w:w="1200" w:type="dxa"/>
            <w:vAlign w:val="bottom"/>
          </w:tcPr>
          <w:p>
            <w:pPr>
              <w:spacing w:after="0"/>
              <w:rPr>
                <w:sz w:val="18"/>
                <w:szCs w:val="18"/>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2024, by and between Seres Therapeutics, Inc. and NHSc Rx</w:t>
            </w:r>
          </w:p>
        </w:tc>
      </w:tr>
      <w:tr>
        <w:trPr>
          <w:trHeight w:val="234"/>
        </w:trPr>
        <w:tc>
          <w:tcPr>
            <w:tcW w:w="1200" w:type="dxa"/>
            <w:vAlign w:val="bottom"/>
          </w:tcPr>
          <w:p>
            <w:pPr>
              <w:spacing w:after="0"/>
              <w:rPr>
                <w:sz w:val="20"/>
                <w:szCs w:val="20"/>
                <w:color w:val="auto"/>
              </w:rPr>
            </w:pP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License GmbH</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Mutual Termination of Collaboration and License Agreement</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dated September 30, 2024, by and between Seres Therapeutics,</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 and Société des Produits Nestlé S.A.</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Placement Agency Agreement, dated June 29, 2022, by and</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between Registrant and J.P. Morgan Securities LLC</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Performance Option Agreement under the 2015</w:t>
              </w:r>
            </w:hyperlink>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Incentive Award Plan</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Seres Therapeutics, Inc. Insider Trading Compliance Policy</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600" w:type="dxa"/>
            <w:vAlign w:val="bottom"/>
            <w:gridSpan w:val="1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Subsidiaries of Seres Therapeutics, Inc.</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w:t>
            </w: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Officer</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r>
      <w:tr>
        <w:trPr>
          <w:trHeight w:val="20"/>
        </w:trPr>
        <w:tc>
          <w:tcPr>
            <w:tcW w:w="1200" w:type="dxa"/>
            <w:vAlign w:val="bottom"/>
          </w:tcPr>
          <w:p>
            <w:pPr>
              <w:spacing w:after="0" w:line="20" w:lineRule="exact"/>
              <w:rPr>
                <w:sz w:val="1"/>
                <w:szCs w:val="1"/>
                <w:color w:val="auto"/>
              </w:rPr>
            </w:pPr>
          </w:p>
        </w:tc>
        <w:tc>
          <w:tcPr>
            <w:tcW w:w="3800" w:type="dxa"/>
            <w:vAlign w:val="bottom"/>
            <w:gridSpan w:val="10"/>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Officer</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800" w:type="dxa"/>
            <w:vAlign w:val="bottom"/>
            <w:gridSpan w:val="10"/>
            <w:shd w:val="clear" w:color="auto" w:fill="0000FF"/>
          </w:tcPr>
          <w:p>
            <w:pPr>
              <w:spacing w:after="0" w:line="20" w:lineRule="exact"/>
              <w:rPr>
                <w:sz w:val="1"/>
                <w:szCs w:val="1"/>
                <w:color w:val="auto"/>
              </w:rPr>
            </w:pPr>
          </w:p>
        </w:tc>
        <w:tc>
          <w:tcPr>
            <w:tcW w:w="500" w:type="dxa"/>
            <w:vAlign w:val="bottom"/>
            <w:tcBorders>
              <w:left w:val="single" w:sz="8" w:color="0000FF"/>
            </w:tcBorders>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800" w:type="dxa"/>
            <w:vAlign w:val="bottom"/>
            <w:gridSpan w:val="10"/>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Policy for Recovery of Erroneously Awarded Compensation</w:t>
            </w:r>
          </w:p>
        </w:tc>
      </w:tr>
      <w:tr>
        <w:trPr>
          <w:trHeight w:val="20"/>
        </w:trPr>
        <w:tc>
          <w:tcPr>
            <w:tcW w:w="1200" w:type="dxa"/>
            <w:vAlign w:val="bottom"/>
          </w:tcPr>
          <w:p>
            <w:pPr>
              <w:spacing w:after="0" w:line="20" w:lineRule="exact"/>
              <w:rPr>
                <w:sz w:val="1"/>
                <w:szCs w:val="1"/>
                <w:color w:val="auto"/>
              </w:rPr>
            </w:pPr>
          </w:p>
        </w:tc>
        <w:tc>
          <w:tcPr>
            <w:tcW w:w="4300" w:type="dxa"/>
            <w:vAlign w:val="bottom"/>
            <w:gridSpan w:val="15"/>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1200" w:type="dxa"/>
            <w:vAlign w:val="bottom"/>
          </w:tcPr>
          <w:p>
            <w:pPr>
              <w:spacing w:after="0"/>
              <w:rPr>
                <w:sz w:val="24"/>
                <w:szCs w:val="24"/>
                <w:color w:val="auto"/>
              </w:rPr>
            </w:pPr>
          </w:p>
        </w:tc>
        <w:tc>
          <w:tcPr>
            <w:tcW w:w="448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51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51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8/14/20</w:t>
            </w:r>
          </w:p>
        </w:tc>
      </w:tr>
      <w:tr>
        <w:trPr>
          <w:trHeight w:val="51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8/13/24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11/13/24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7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11/13/24</w:t>
            </w:r>
          </w:p>
        </w:tc>
      </w:tr>
      <w:tr>
        <w:trPr>
          <w:trHeight w:val="7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6/30/22</w:t>
            </w:r>
          </w:p>
        </w:tc>
      </w:tr>
      <w:tr>
        <w:trPr>
          <w:trHeight w:val="51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513"/>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w:t>
            </w:r>
          </w:p>
        </w:tc>
      </w:tr>
      <w:tr>
        <w:trPr>
          <w:trHeight w:val="29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3/2/20</w:t>
            </w:r>
          </w:p>
        </w:tc>
      </w:tr>
      <w:tr>
        <w:trPr>
          <w:trHeight w:val="297"/>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w:t>
            </w:r>
          </w:p>
        </w:tc>
      </w:tr>
      <w:tr>
        <w:trPr>
          <w:trHeight w:val="513"/>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w:t>
            </w:r>
          </w:p>
        </w:tc>
      </w:tr>
      <w:tr>
        <w:trPr>
          <w:trHeight w:val="513"/>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w:t>
            </w:r>
          </w:p>
        </w:tc>
      </w:tr>
      <w:tr>
        <w:trPr>
          <w:trHeight w:val="513"/>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w:t>
            </w:r>
          </w:p>
        </w:tc>
      </w:tr>
      <w:tr>
        <w:trPr>
          <w:trHeight w:val="297"/>
        </w:trPr>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w:t>
            </w:r>
          </w:p>
        </w:tc>
      </w:tr>
      <w:tr>
        <w:trPr>
          <w:trHeight w:val="29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7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3/5/24</w:t>
            </w:r>
          </w:p>
        </w:tc>
      </w:tr>
    </w:tbl>
    <w:p>
      <w:pPr>
        <w:sectPr>
          <w:pgSz w:w="11900" w:h="16838" w:orient="portrait"/>
          <w:cols w:equalWidth="0" w:num="2">
            <w:col w:w="5800" w:space="200"/>
            <w:col w:w="4740"/>
          </w:cols>
          <w:pgMar w:left="340" w:top="972" w:right="819" w:bottom="1440" w:gutter="0" w:footer="0" w:header="0"/>
        </w:sectPr>
      </w:pPr>
    </w:p>
    <w:bookmarkStart w:id="100" w:name="page101"/>
    <w:bookmarkEnd w:id="10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not appear in the interactive data file because its XBRL tags are</w:t>
            </w:r>
          </w:p>
        </w:tc>
        <w:tc>
          <w:tcPr>
            <w:tcW w:w="24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embedded within the Inline XBRL document</w:t>
            </w:r>
          </w:p>
        </w:tc>
        <w:tc>
          <w:tcPr>
            <w:tcW w:w="2480" w:type="dxa"/>
            <w:vAlign w:val="bottom"/>
          </w:tcPr>
          <w:p>
            <w:pPr>
              <w:spacing w:after="0"/>
              <w:rPr>
                <w:sz w:val="20"/>
                <w:szCs w:val="20"/>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Inline XBRL Taxonomy Extension Schema Document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Cover Page Interactive Data File (formatted as Inline XBRL and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20" w:type="dxa"/>
            <w:vAlign w:val="bottom"/>
          </w:tcPr>
          <w:p>
            <w:pPr>
              <w:spacing w:after="0"/>
              <w:rPr>
                <w:sz w:val="20"/>
                <w:szCs w:val="20"/>
                <w:color w:val="auto"/>
              </w:rPr>
            </w:pPr>
          </w:p>
        </w:tc>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contained in Exhibit 101)</w:t>
            </w:r>
          </w:p>
        </w:tc>
        <w:tc>
          <w:tcPr>
            <w:tcW w:w="2480" w:type="dxa"/>
            <w:vAlign w:val="bottom"/>
          </w:tcPr>
          <w:p>
            <w:pPr>
              <w:spacing w:after="0"/>
              <w:rPr>
                <w:sz w:val="20"/>
                <w:szCs w:val="20"/>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firstLine="8"/>
        <w:spacing w:after="0" w:line="250" w:lineRule="auto"/>
        <w:tabs>
          <w:tab w:leader="none" w:pos="1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hereby undertakes to furnish supplemental copies of any of the omitted schedules upon request by the SEC.</w:t>
      </w: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Regulation S-K, Item 601(b)(10)(iv). Such omitted information is both (i) not material and (ii) the type that the Registrant treats as private or confidential.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SERES THERAPEUTICS,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75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Eric D. Shaff</w:t>
            </w:r>
          </w:p>
        </w:tc>
      </w:tr>
      <w:tr>
        <w:trPr>
          <w:trHeight w:val="189"/>
        </w:trPr>
        <w:tc>
          <w:tcPr>
            <w:tcW w:w="37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Eric D. Shaff</w:t>
            </w:r>
          </w:p>
        </w:tc>
      </w:tr>
      <w:tr>
        <w:trPr>
          <w:trHeight w:val="236"/>
        </w:trPr>
        <w:tc>
          <w:tcPr>
            <w:tcW w:w="3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bl>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981" w:right="33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Signature</w:t>
            </w:r>
          </w:p>
        </w:tc>
        <w:tc>
          <w:tcPr>
            <w:tcW w:w="342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36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D. Shaff</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President, Chief Executive Officer</w:t>
            </w:r>
          </w:p>
        </w:tc>
      </w:tr>
      <w:tr>
        <w:trPr>
          <w:trHeight w:val="191"/>
        </w:trPr>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Eric D. Shaff</w:t>
            </w:r>
          </w:p>
        </w:tc>
        <w:tc>
          <w:tcPr>
            <w:tcW w:w="34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231F20"/>
              </w:rPr>
              <w:t>and Director</w:t>
            </w:r>
          </w:p>
        </w:tc>
      </w:tr>
      <w:tr>
        <w:trPr>
          <w:trHeight w:val="216"/>
        </w:trPr>
        <w:tc>
          <w:tcPr>
            <w:tcW w:w="41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(Principal Executive Officer)</w:t>
            </w:r>
          </w:p>
        </w:tc>
      </w:tr>
      <w:tr>
        <w:trPr>
          <w:trHeight w:val="216"/>
        </w:trPr>
        <w:tc>
          <w:tcPr>
            <w:tcW w:w="414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w w:val="99"/>
              </w:rPr>
              <w:t>Executive Vice President and Chief Financial</w:t>
            </w:r>
          </w:p>
        </w:tc>
      </w:tr>
      <w:tr>
        <w:trPr>
          <w:trHeight w:val="23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Marella Thorell</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Officer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Marella Thorell</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(Principal Financial and Accounting Officer)</w:t>
            </w:r>
          </w:p>
        </w:tc>
      </w:tr>
      <w:tr>
        <w:trPr>
          <w:trHeight w:val="37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231F20"/>
              </w:rPr>
              <w:t>Stephen Berenson</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Chairman of the Board</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Stephen Berenson</w:t>
            </w:r>
          </w:p>
        </w:tc>
        <w:tc>
          <w:tcPr>
            <w:tcW w:w="3420" w:type="dxa"/>
            <w:vAlign w:val="bottom"/>
          </w:tcPr>
          <w:p>
            <w:pPr>
              <w:spacing w:after="0"/>
              <w:rPr>
                <w:sz w:val="19"/>
                <w:szCs w:val="19"/>
                <w:color w:val="auto"/>
              </w:rPr>
            </w:pPr>
          </w:p>
        </w:tc>
      </w:tr>
      <w:tr>
        <w:trPr>
          <w:trHeight w:val="31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A. Ausiello</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Dennis A. Ausiello, M.D.</w:t>
            </w:r>
          </w:p>
        </w:tc>
        <w:tc>
          <w:tcPr>
            <w:tcW w:w="3420" w:type="dxa"/>
            <w:vAlign w:val="bottom"/>
          </w:tcPr>
          <w:p>
            <w:pPr>
              <w:spacing w:after="0"/>
              <w:rPr>
                <w:sz w:val="19"/>
                <w:szCs w:val="19"/>
                <w:color w:val="auto"/>
              </w:rPr>
            </w:pPr>
          </w:p>
        </w:tc>
      </w:tr>
      <w:tr>
        <w:trPr>
          <w:trHeight w:val="31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R. Biondi</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R. Biondi</w:t>
            </w:r>
          </w:p>
        </w:tc>
        <w:tc>
          <w:tcPr>
            <w:tcW w:w="3420" w:type="dxa"/>
            <w:vAlign w:val="bottom"/>
          </w:tcPr>
          <w:p>
            <w:pPr>
              <w:spacing w:after="0"/>
              <w:rPr>
                <w:sz w:val="19"/>
                <w:szCs w:val="19"/>
                <w:color w:val="auto"/>
              </w:rPr>
            </w:pPr>
          </w:p>
        </w:tc>
      </w:tr>
      <w:tr>
        <w:trPr>
          <w:trHeight w:val="41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Willard H. Dere</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Willard H. Dere, M.D.</w:t>
            </w:r>
          </w:p>
        </w:tc>
        <w:tc>
          <w:tcPr>
            <w:tcW w:w="3420" w:type="dxa"/>
            <w:vAlign w:val="bottom"/>
          </w:tcPr>
          <w:p>
            <w:pPr>
              <w:spacing w:after="0"/>
              <w:rPr>
                <w:sz w:val="19"/>
                <w:szCs w:val="19"/>
                <w:color w:val="auto"/>
              </w:rPr>
            </w:pPr>
          </w:p>
        </w:tc>
      </w:tr>
      <w:tr>
        <w:trPr>
          <w:trHeight w:val="31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Claire M. Fraser</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Claire M. Fraser, Ph.D.</w:t>
            </w:r>
          </w:p>
        </w:tc>
        <w:tc>
          <w:tcPr>
            <w:tcW w:w="3420" w:type="dxa"/>
            <w:vAlign w:val="bottom"/>
          </w:tcPr>
          <w:p>
            <w:pPr>
              <w:spacing w:after="0"/>
              <w:rPr>
                <w:sz w:val="19"/>
                <w:szCs w:val="19"/>
                <w:color w:val="auto"/>
              </w:rPr>
            </w:pPr>
          </w:p>
        </w:tc>
      </w:tr>
      <w:tr>
        <w:trPr>
          <w:trHeight w:val="31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/s/ Kurt C. Graves</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Kurt C. Graves</w:t>
            </w:r>
          </w:p>
        </w:tc>
        <w:tc>
          <w:tcPr>
            <w:tcW w:w="3420" w:type="dxa"/>
            <w:vAlign w:val="bottom"/>
          </w:tcPr>
          <w:p>
            <w:pPr>
              <w:spacing w:after="0"/>
              <w:rPr>
                <w:sz w:val="19"/>
                <w:szCs w:val="19"/>
                <w:color w:val="auto"/>
              </w:rPr>
            </w:pPr>
          </w:p>
        </w:tc>
      </w:tr>
      <w:tr>
        <w:trPr>
          <w:trHeight w:val="319"/>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N. Kender</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Richard N. Kender</w:t>
            </w:r>
          </w:p>
        </w:tc>
        <w:tc>
          <w:tcPr>
            <w:tcW w:w="3420" w:type="dxa"/>
            <w:vAlign w:val="bottom"/>
          </w:tcPr>
          <w:p>
            <w:pPr>
              <w:spacing w:after="0"/>
              <w:rPr>
                <w:sz w:val="19"/>
                <w:szCs w:val="19"/>
                <w:color w:val="auto"/>
              </w:rPr>
            </w:pPr>
          </w:p>
        </w:tc>
      </w:tr>
      <w:tr>
        <w:trPr>
          <w:trHeight w:val="30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Hans-Juergen Woerle, M.D., Ph.D.</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Hans-Juergen Woerle, M.D., Ph.D.</w:t>
            </w:r>
          </w:p>
        </w:tc>
        <w:tc>
          <w:tcPr>
            <w:tcW w:w="3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Date</w:t>
      </w:r>
    </w:p>
    <w:p>
      <w:pPr>
        <w:spacing w:after="0" w:line="16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200" w:lineRule="exact"/>
        <w:rPr>
          <w:sz w:val="20"/>
          <w:szCs w:val="20"/>
          <w:color w:val="auto"/>
        </w:rPr>
      </w:pPr>
    </w:p>
    <w:p>
      <w:pPr>
        <w:spacing w:after="0" w:line="2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200" w:lineRule="exact"/>
        <w:rPr>
          <w:sz w:val="20"/>
          <w:szCs w:val="20"/>
          <w:color w:val="auto"/>
        </w:rPr>
      </w:pPr>
    </w:p>
    <w:p>
      <w:pPr>
        <w:spacing w:after="0" w:line="2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231F20"/>
        </w:rPr>
        <w:t>March 13, 2025</w:t>
      </w:r>
    </w:p>
    <w:p>
      <w:pPr>
        <w:spacing w:after="0" w:line="34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March 13, 2025</w:t>
      </w:r>
    </w:p>
    <w:p>
      <w:pPr>
        <w:spacing w:after="0" w:line="443" w:lineRule="exact"/>
        <w:rPr>
          <w:sz w:val="20"/>
          <w:szCs w:val="20"/>
          <w:color w:val="auto"/>
        </w:rPr>
      </w:pPr>
    </w:p>
    <w:p>
      <w:pPr>
        <w:sectPr>
          <w:pgSz w:w="11900" w:h="16838" w:orient="portrait"/>
          <w:cols w:equalWidth="0" w:num="2">
            <w:col w:w="8840" w:space="720"/>
            <w:col w:w="1680"/>
          </w:cols>
          <w:pgMar w:left="320" w:top="981"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840" w:type="dxa"/>
            <w:vAlign w:val="bottom"/>
            <w:gridSpan w:val="4"/>
            <w:vMerge w:val="restart"/>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60" w:type="dxa"/>
            <w:vAlign w:val="bottom"/>
            <w:tcBorders>
              <w:bottom w:val="single" w:sz="8" w:color="0000FF"/>
            </w:tcBorders>
            <w:gridSpan w:val="3"/>
            <w:vMerge w:val="continue"/>
          </w:tcPr>
          <w:p>
            <w:pPr>
              <w:spacing w:after="0"/>
              <w:rPr>
                <w:sz w:val="14"/>
                <w:szCs w:val="14"/>
                <w:color w:val="auto"/>
              </w:rPr>
            </w:pPr>
          </w:p>
        </w:tc>
        <w:tc>
          <w:tcPr>
            <w:tcW w:w="4840" w:type="dxa"/>
            <w:vAlign w:val="bottom"/>
            <w:gridSpan w:val="4"/>
            <w:vMerge w:val="continue"/>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04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2024, 2023 and 2022</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9440" w:type="dxa"/>
            <w:vAlign w:val="bottom"/>
            <w:tcBorders>
              <w:top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 as of December 31, 2024, 2023 and 2022</w:t>
            </w:r>
          </w:p>
        </w:tc>
        <w:tc>
          <w:tcPr>
            <w:tcW w:w="9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7240" w:type="dxa"/>
            <w:vAlign w:val="bottom"/>
            <w:tcBorders>
              <w:top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316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8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669"/>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Seres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Seres Therapeutics, Inc. and its subsidiaries (the “Company”) as of December 31, 2024 and 2023, and the related consolidated statements of operations and comprehensive income (loss), of stockholders' equity (deficit)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incurred a net loss from operations and had negative cash flows from operations and will require additional funding,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ind w:right="560"/>
        <w:spacing w:after="0" w:line="282" w:lineRule="auto"/>
        <w:rPr>
          <w:sz w:val="20"/>
          <w:szCs w:val="20"/>
          <w:color w:val="auto"/>
        </w:rPr>
      </w:pPr>
      <w:r>
        <w:rPr>
          <w:rFonts w:ascii="Times New Roman" w:cs="Times New Roman" w:eastAsia="Times New Roman" w:hAnsi="Times New Roman"/>
          <w:sz w:val="18"/>
          <w:szCs w:val="18"/>
          <w:color w:val="auto"/>
        </w:rPr>
        <w:t>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 – Operating Expenses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on September 30, 2024, the Company completed the sale of its VOWST microbiome therapeutic business (VOWST Business). The Company has determined the sale of the VOWST Business represents a strategic shift that will have a major effect on its business and therefore met the criteria for classification as discontinued operations on September 30, 2024. The related assets and liabilities of the VOWST Business are classified as assets and liabilities of discontinued operations in the consolidated balance sheets and the results of operations from the VOWST Business as discontinued operations in the consolidated statements of operations, and applicable amounts in prior years have been recast to conform to this discontinued operations presentation. The Company has included in net income (loss) from discontinued operations, $5.8 million in research and development expenses and $4.1 million in general and administrative expenses for the year ended December 31, 2024.</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discontinued operations – operating expenses is a critical audit matter is a high degree of auditor effort in performing procedures related to management’s determination of operating expenses incurred by the VOWST Business and classification of operating expenses between discontinued operations and continuing operations.</w:t>
      </w:r>
    </w:p>
    <w:p>
      <w:pPr>
        <w:spacing w:after="0" w:line="17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discontinued operations, including controls over management’s determination of the operating expenses incurred by the VOWST Business and the classification of operating expenses between discontinued operations and continuing operations. These procedures also included, among others (i) reading the purchase agreement; (ii) evaluating management’s determination of the operating expenses incurred by the VOWST Business; (iii) testing, on a sample basis, the completeness, accuracy, and classification of the operating expenses between discontinued operations and continuing operations by obtaining and inspecting source documents, such as contracts, purchase orders, invoices and payroll information; and (iv) evaluating the sufficiency of the disclosures in the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2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due from SPN - related party</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 (1)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38,674</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investments</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 (2)</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139,810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 of discontinued operations (3)</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41,222</w:t>
            </w:r>
          </w:p>
        </w:tc>
        <w:tc>
          <w:tcPr>
            <w:tcW w:w="2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portion of note payable, net of discount</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126,026</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2024 and 2023;</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shares issued and outstanding at December 31, 2024 and 2023</w:t>
            </w:r>
          </w:p>
        </w:tc>
        <w:tc>
          <w:tcPr>
            <w:tcW w:w="3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8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360,000,000 and 240,000,000 shares authorized at December 31,</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2023, respectively; 173,008,198 and 135,041,467 shares issued and outstanding at December</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991,710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(978,099 )</w:t>
            </w:r>
          </w:p>
        </w:tc>
        <w:tc>
          <w:tcPr>
            <w:tcW w:w="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(978,235 )</w:t>
            </w:r>
          </w:p>
        </w:tc>
        <w:tc>
          <w:tcPr>
            <w:tcW w:w="0" w:type="dxa"/>
            <w:vAlign w:val="bottom"/>
          </w:tcPr>
          <w:p>
            <w:pPr>
              <w:spacing w:after="0"/>
              <w:rPr>
                <w:sz w:val="1"/>
                <w:szCs w:val="1"/>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(44,856 )</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139,810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-3522345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-3505200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-2536825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-1559560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-316230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firstLine="8"/>
        <w:spacing w:after="0" w:line="241" w:lineRule="auto"/>
        <w:tabs>
          <w:tab w:leader="none" w:pos="185"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$2,683 as of December 31, 2024 of unbilled receivable from SPN (related party) related to certain costs of the transition services performed by the Company. See Note 3, </w:t>
      </w:r>
      <w:r>
        <w:rPr>
          <w:rFonts w:ascii="Times New Roman" w:cs="Times New Roman" w:eastAsia="Times New Roman" w:hAnsi="Times New Roman"/>
          <w:sz w:val="17"/>
          <w:szCs w:val="17"/>
          <w:i w:val="1"/>
          <w:iCs w:val="1"/>
          <w:color w:val="auto"/>
        </w:rPr>
        <w:t>Discontinued Operations and TSA</w:t>
      </w:r>
      <w:r>
        <w:rPr>
          <w:rFonts w:ascii="Times New Roman" w:cs="Times New Roman" w:eastAsia="Times New Roman" w:hAnsi="Times New Roman"/>
          <w:sz w:val="17"/>
          <w:szCs w:val="17"/>
          <w:color w:val="auto"/>
        </w:rPr>
        <w:t>, for further details.</w:t>
      </w:r>
    </w:p>
    <w:p>
      <w:pPr>
        <w:ind w:firstLine="8"/>
        <w:spacing w:after="0" w:line="238" w:lineRule="auto"/>
        <w:tabs>
          <w:tab w:leader="none" w:pos="185"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$38,877 as of December 31, 2023 of milestones related to the construction of the Company's dedicated manufacturing suite at BacThera AG, or Bacthera.</w:t>
      </w:r>
    </w:p>
    <w:p>
      <w:pPr>
        <w:ind w:left="200" w:hanging="192"/>
        <w:spacing w:after="0" w:line="199" w:lineRule="auto"/>
        <w:tabs>
          <w:tab w:leader="none" w:pos="20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related party amounts of $35,783 at December 31,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80" w:type="dxa"/>
            <w:vAlign w:val="bottom"/>
          </w:tcPr>
          <w:p>
            <w:pPr>
              <w:spacing w:after="0"/>
              <w:rPr>
                <w:sz w:val="18"/>
                <w:szCs w:val="18"/>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117,597</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109,651</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Manufacturing services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121,315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195,097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(121,315 )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(195,097 )</w:t>
            </w: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(179,914 )</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(2,468 )</w:t>
            </w: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(6,020 )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(14,107 )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(705 )</w:t>
            </w:r>
          </w:p>
        </w:tc>
      </w:tr>
      <w:tr>
        <w:trPr>
          <w:trHeight w:val="20"/>
        </w:trPr>
        <w:tc>
          <w:tcPr>
            <w:tcW w:w="6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(4,456 )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(3,667 )</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(125,771 )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(190,130 )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(183,581 )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(66,576 )</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(113,724 )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(250,157 )</w:t>
            </w:r>
          </w:p>
        </w:tc>
      </w:tr>
      <w:tr>
        <w:trPr>
          <w:trHeight w:val="178"/>
        </w:trPr>
        <w:tc>
          <w:tcPr>
            <w:tcW w:w="664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basic</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(0.81 )</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198"/>
        </w:trPr>
        <w:tc>
          <w:tcPr>
            <w:tcW w:w="66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from discontinued operations per share attributable to common</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(0.89 )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155,400,760</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128,003,294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108,077,043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investments, net of tax of $0</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(113,712 )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(250,109 )</w:t>
            </w: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-3042285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-3042285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-2202815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-2202815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-1628140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-1610995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-1628140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-1610995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-753745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-736600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-753745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-736600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2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10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720" w:type="dxa"/>
            <w:vAlign w:val="bottom"/>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2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91,889,418</w:t>
            </w:r>
          </w:p>
        </w:tc>
        <w:tc>
          <w:tcPr>
            <w:tcW w:w="960" w:type="dxa"/>
            <w:vAlign w:val="bottom"/>
            <w:gridSpan w:val="2"/>
            <w:shd w:val="clear" w:color="auto" w:fill="CFF0FC"/>
          </w:tcPr>
          <w:p>
            <w:pPr>
              <w:jc w:val="right"/>
              <w:ind w:right="55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745,829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(60 )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(614,354 )</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131,507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326,864</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00" w:type="dxa"/>
            <w:vAlign w:val="bottom"/>
            <w:shd w:val="clear" w:color="auto" w:fill="CFF0FC"/>
          </w:tcPr>
          <w:p>
            <w:pPr>
              <w:ind w:left="200"/>
              <w:spacing w:after="0" w:line="182"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PSUs, net of tax withholdings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282,401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322,560</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offering, net of issuance costs of $310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655,000</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Issuance of common stock net of issuance costs of</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$3,279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31,746,030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(250,157 )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(250,157 )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125,222,273</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875,181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(12 )</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(864,511 )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FF0FC"/>
          </w:tcPr>
          <w:p>
            <w:pPr>
              <w:ind w:left="200"/>
              <w:spacing w:after="0" w:line="174"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260,640</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PSUs, net of tax withholdings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1,244,663</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(1 )</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602,692</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offering, net of issuance costs of $772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7,711,199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warrants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(113,724 )</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(113,724 )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135,041,467</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933,244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(978,235 )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(44,856 )</w:t>
            </w:r>
          </w:p>
        </w:tc>
        <w:tc>
          <w:tcPr>
            <w:tcW w:w="0" w:type="dxa"/>
            <w:vAlign w:val="bottom"/>
          </w:tcPr>
          <w:p>
            <w:pPr>
              <w:spacing w:after="0"/>
              <w:rPr>
                <w:sz w:val="1"/>
                <w:szCs w:val="1"/>
                <w:color w:val="auto"/>
              </w:rPr>
            </w:pPr>
          </w:p>
        </w:tc>
      </w:tr>
      <w:tr>
        <w:trPr>
          <w:trHeight w:val="174"/>
        </w:trPr>
        <w:tc>
          <w:tcPr>
            <w:tcW w:w="4000" w:type="dxa"/>
            <w:vAlign w:val="bottom"/>
            <w:tcBorders>
              <w:top w:val="single" w:sz="8" w:color="CFF0FC"/>
            </w:tcBorders>
          </w:tcPr>
          <w:p>
            <w:pPr>
              <w:ind w:left="200"/>
              <w:spacing w:after="0" w:line="174"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PSUs, net of tax withholdings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2,475,553</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(2 )</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588,435</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offering, net of issuance costs of $867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20,617,028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00" w:type="dxa"/>
            <w:vAlign w:val="bottom"/>
            <w:shd w:val="clear" w:color="auto" w:fill="CFF0FC"/>
          </w:tcPr>
          <w:p>
            <w:pPr>
              <w:ind w:left="200"/>
              <w:spacing w:after="0" w:line="182" w:lineRule="exact"/>
              <w:rPr>
                <w:sz w:val="20"/>
                <w:szCs w:val="20"/>
                <w:color w:val="auto"/>
              </w:rPr>
            </w:pPr>
            <w:r>
              <w:rPr>
                <w:rFonts w:ascii="Times New Roman" w:cs="Times New Roman" w:eastAsia="Times New Roman" w:hAnsi="Times New Roman"/>
                <w:sz w:val="17"/>
                <w:szCs w:val="17"/>
                <w:color w:val="auto"/>
              </w:rPr>
              <w:t>Issuance of common stock from Securities Purchase</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Agreement - related party</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14,285,715</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13,502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173,008,198</w:t>
            </w:r>
          </w:p>
        </w:tc>
        <w:tc>
          <w:tcPr>
            <w:tcW w:w="960" w:type="dxa"/>
            <w:vAlign w:val="bottom"/>
            <w:gridSpan w:val="2"/>
          </w:tcPr>
          <w:p>
            <w:pPr>
              <w:jc w:val="right"/>
              <w:ind w:right="55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991,710</w:t>
            </w:r>
          </w:p>
        </w:tc>
        <w:tc>
          <w:tcPr>
            <w:tcW w:w="20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(978,099 )</w:t>
            </w: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-3034030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-3034030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-3034030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-3034030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-3034030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-1336675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-1336675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-1336675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-1336675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-1336675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-170815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6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r>
      <w:tr>
        <w:trPr>
          <w:trHeight w:val="155"/>
        </w:trPr>
        <w:tc>
          <w:tcPr>
            <w:tcW w:w="6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440" w:type="dxa"/>
            <w:vAlign w:val="bottom"/>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136</w:t>
            </w:r>
          </w:p>
        </w:tc>
        <w:tc>
          <w:tcPr>
            <w:tcW w:w="280" w:type="dxa"/>
            <w:vAlign w:val="bottom"/>
          </w:tcPr>
          <w:p>
            <w:pPr>
              <w:spacing w:after="0"/>
              <w:rPr>
                <w:sz w:val="14"/>
                <w:szCs w:val="14"/>
                <w:color w:val="auto"/>
              </w:rPr>
            </w:pP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(113,724 )</w:t>
            </w: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(250,157 )</w:t>
            </w: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20,971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34,101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25,482</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Depreciation and amortization expense</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5,468</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6,243</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6,629</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Non-cash operating lease cost</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9,230</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8,871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5,224</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Net (accretion) amortization of (discounts) premiums on investments</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(236 )</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688</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Gain on sale of VOWST Business, net of transaction costs</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(146,707 )</w:t>
            </w:r>
          </w:p>
        </w:tc>
        <w:tc>
          <w:tcPr>
            <w:tcW w:w="44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1,413</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1,139</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705</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Loss associated with extinguishment of debt</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23,351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1,625</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Loss on disposal of fixed assets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Impairment of long-lived assets</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3,267</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(546 )</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(1,554 )</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Collaboration (profit) loss sharing - related party</w:t>
            </w:r>
          </w:p>
        </w:tc>
        <w:tc>
          <w:tcPr>
            <w:tcW w:w="440" w:type="dxa"/>
            <w:vAlign w:val="bottom"/>
          </w:tcPr>
          <w:p>
            <w:pPr>
              <w:spacing w:after="0"/>
              <w:rPr>
                <w:sz w:val="14"/>
                <w:szCs w:val="14"/>
                <w:color w:val="auto"/>
              </w:rPr>
            </w:pPr>
          </w:p>
        </w:tc>
        <w:tc>
          <w:tcPr>
            <w:tcW w:w="118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5,158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1,004</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Accounts receivable due from SPN - related party</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(2,068 )</w:t>
            </w:r>
          </w:p>
        </w:tc>
        <w:tc>
          <w:tcPr>
            <w:tcW w:w="44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56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and non-current assets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987</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(29,124 )</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(12,599 )</w:t>
            </w:r>
          </w:p>
        </w:tc>
      </w:tr>
      <w:tr>
        <w:trPr>
          <w:trHeight w:val="162"/>
        </w:trPr>
        <w:tc>
          <w:tcPr>
            <w:tcW w:w="660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Collaboration receivable - related party</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8,674</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(8,674 )</w:t>
            </w: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56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(33,795 )</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(29,647 )</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Deferred income - related party</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(4,124 )</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7,730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560"/>
              <w:spacing w:after="0" w:line="162" w:lineRule="exact"/>
              <w:rPr>
                <w:sz w:val="20"/>
                <w:szCs w:val="20"/>
                <w:color w:val="auto"/>
              </w:rPr>
            </w:pPr>
            <w:r>
              <w:rPr>
                <w:rFonts w:ascii="Times New Roman" w:cs="Times New Roman" w:eastAsia="Times New Roman" w:hAnsi="Times New Roman"/>
                <w:sz w:val="15"/>
                <w:szCs w:val="15"/>
                <w:color w:val="auto"/>
              </w:rPr>
              <w:t>Deferred revenue - related party</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(1,325 )</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(7,128 )</w:t>
            </w:r>
          </w:p>
        </w:tc>
      </w:tr>
      <w:tr>
        <w:trPr>
          <w:trHeight w:val="162"/>
        </w:trPr>
        <w:tc>
          <w:tcPr>
            <w:tcW w:w="660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(2,940 )</w:t>
            </w:r>
          </w:p>
        </w:tc>
        <w:tc>
          <w:tcPr>
            <w:tcW w:w="44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(11,578 )</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2,203</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560"/>
              <w:spacing w:after="0" w:line="162" w:lineRule="exact"/>
              <w:rPr>
                <w:sz w:val="20"/>
                <w:szCs w:val="20"/>
                <w:color w:val="auto"/>
              </w:rPr>
            </w:pPr>
            <w:r>
              <w:rPr>
                <w:rFonts w:ascii="Times New Roman" w:cs="Times New Roman" w:eastAsia="Times New Roman" w:hAnsi="Times New Roman"/>
                <w:sz w:val="15"/>
                <w:szCs w:val="15"/>
                <w:color w:val="auto"/>
              </w:rPr>
              <w:t>Accrued liabilities due to SPN - related party</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(15,708 )</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(6,339 )</w:t>
            </w:r>
          </w:p>
        </w:tc>
        <w:tc>
          <w:tcPr>
            <w:tcW w:w="44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(2,197 )</w:t>
            </w:r>
          </w:p>
        </w:tc>
        <w:tc>
          <w:tcPr>
            <w:tcW w:w="440" w:type="dxa"/>
            <w:vAlign w:val="bottom"/>
          </w:tcPr>
          <w:p>
            <w:pPr>
              <w:spacing w:after="0"/>
              <w:rPr>
                <w:sz w:val="14"/>
                <w:szCs w:val="14"/>
                <w:color w:val="auto"/>
              </w:rPr>
            </w:pPr>
          </w:p>
        </w:tc>
        <w:tc>
          <w:tcPr>
            <w:tcW w:w="10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(4,203 )</w:t>
            </w:r>
          </w:p>
        </w:tc>
      </w:tr>
      <w:tr>
        <w:trPr>
          <w:trHeight w:val="162"/>
        </w:trPr>
        <w:tc>
          <w:tcPr>
            <w:tcW w:w="6600" w:type="dxa"/>
            <w:vAlign w:val="bottom"/>
            <w:shd w:val="clear" w:color="auto" w:fill="CFF0FC"/>
          </w:tcPr>
          <w:p>
            <w:pPr>
              <w:ind w:left="56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and long-term liabilities (1)</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(10,196 )</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15,838</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3,336</w:t>
            </w:r>
          </w:p>
        </w:tc>
        <w:tc>
          <w:tcPr>
            <w:tcW w:w="100" w:type="dxa"/>
            <w:vAlign w:val="bottom"/>
            <w:shd w:val="clear" w:color="auto" w:fill="CFF0FC"/>
          </w:tcPr>
          <w:p>
            <w:pPr>
              <w:spacing w:after="0"/>
              <w:rPr>
                <w:sz w:val="14"/>
                <w:szCs w:val="14"/>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600" w:type="dxa"/>
            <w:vAlign w:val="bottom"/>
          </w:tcPr>
          <w:p>
            <w:pPr>
              <w:ind w:left="38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440" w:type="dxa"/>
            <w:vAlign w:val="bottom"/>
          </w:tcPr>
          <w:p>
            <w:pPr>
              <w:spacing w:after="0"/>
              <w:rPr>
                <w:sz w:val="13"/>
                <w:szCs w:val="13"/>
                <w:color w:val="auto"/>
              </w:rPr>
            </w:pPr>
          </w:p>
        </w:tc>
        <w:tc>
          <w:tcPr>
            <w:tcW w:w="1180" w:type="dxa"/>
            <w:vAlign w:val="bottom"/>
            <w:gridSpan w:val="2"/>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(148,609 )</w:t>
            </w:r>
          </w:p>
        </w:tc>
        <w:tc>
          <w:tcPr>
            <w:tcW w:w="440" w:type="dxa"/>
            <w:vAlign w:val="bottom"/>
          </w:tcPr>
          <w:p>
            <w:pPr>
              <w:spacing w:after="0"/>
              <w:rPr>
                <w:sz w:val="13"/>
                <w:szCs w:val="13"/>
                <w:color w:val="auto"/>
              </w:rPr>
            </w:pPr>
          </w:p>
        </w:tc>
        <w:tc>
          <w:tcPr>
            <w:tcW w:w="114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(117,354 )</w:t>
            </w:r>
          </w:p>
        </w:tc>
        <w:tc>
          <w:tcPr>
            <w:tcW w:w="440" w:type="dxa"/>
            <w:vAlign w:val="bottom"/>
          </w:tcPr>
          <w:p>
            <w:pPr>
              <w:spacing w:after="0"/>
              <w:rPr>
                <w:sz w:val="13"/>
                <w:szCs w:val="13"/>
                <w:color w:val="auto"/>
              </w:rPr>
            </w:pPr>
          </w:p>
        </w:tc>
        <w:tc>
          <w:tcPr>
            <w:tcW w:w="10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(228,816 )</w:t>
            </w:r>
          </w:p>
        </w:tc>
      </w:tr>
      <w:tr>
        <w:trPr>
          <w:trHeight w:val="156"/>
        </w:trPr>
        <w:tc>
          <w:tcPr>
            <w:tcW w:w="6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4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(380 )</w:t>
            </w:r>
          </w:p>
        </w:tc>
        <w:tc>
          <w:tcPr>
            <w:tcW w:w="44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(7,975 )</w:t>
            </w:r>
          </w:p>
        </w:tc>
        <w:tc>
          <w:tcPr>
            <w:tcW w:w="440" w:type="dxa"/>
            <w:vAlign w:val="bottom"/>
          </w:tcPr>
          <w:p>
            <w:pPr>
              <w:spacing w:after="0"/>
              <w:rPr>
                <w:sz w:val="14"/>
                <w:szCs w:val="14"/>
                <w:color w:val="auto"/>
              </w:rPr>
            </w:pPr>
          </w:p>
        </w:tc>
        <w:tc>
          <w:tcPr>
            <w:tcW w:w="10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(9,821 )</w:t>
            </w: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Purchases of investments</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(4,426 )</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(48,221 )</w:t>
            </w: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Sales and maturities of investments</w:t>
            </w:r>
          </w:p>
        </w:tc>
        <w:tc>
          <w:tcPr>
            <w:tcW w:w="440" w:type="dxa"/>
            <w:vAlign w:val="bottom"/>
          </w:tcPr>
          <w:p>
            <w:pPr>
              <w:spacing w:after="0"/>
              <w:rPr>
                <w:sz w:val="14"/>
                <w:szCs w:val="14"/>
                <w:color w:val="auto"/>
              </w:rPr>
            </w:pPr>
          </w:p>
        </w:tc>
        <w:tc>
          <w:tcPr>
            <w:tcW w:w="118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22,983</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140,470</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Sales of restricted investments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1,401</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sale of VOWST Business</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141,272</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660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Net cash provided by investing activities</w:t>
            </w:r>
          </w:p>
        </w:tc>
        <w:tc>
          <w:tcPr>
            <w:tcW w:w="4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142,293</w:t>
            </w:r>
          </w:p>
        </w:tc>
        <w:tc>
          <w:tcPr>
            <w:tcW w:w="28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10,582</w:t>
            </w:r>
          </w:p>
        </w:tc>
        <w:tc>
          <w:tcPr>
            <w:tcW w:w="24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82,428</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66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 net of issuance costs</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96,721</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at the market equity offering, net of issuance costs</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23,530</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18,159</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4,447</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877</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966</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Securities Purchase Agreement - related party</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13,516</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Issuance of common stock under ESPP</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487</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2,151</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1,769</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issuance of debt, net of issuance costs</w:t>
            </w:r>
          </w:p>
        </w:tc>
        <w:tc>
          <w:tcPr>
            <w:tcW w:w="440" w:type="dxa"/>
            <w:vAlign w:val="bottom"/>
          </w:tcPr>
          <w:p>
            <w:pPr>
              <w:spacing w:after="0"/>
              <w:rPr>
                <w:sz w:val="14"/>
                <w:szCs w:val="14"/>
                <w:color w:val="auto"/>
              </w:rPr>
            </w:pPr>
          </w:p>
        </w:tc>
        <w:tc>
          <w:tcPr>
            <w:tcW w:w="118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103,378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27,606</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4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(127,905 )</w:t>
            </w:r>
          </w:p>
        </w:tc>
        <w:tc>
          <w:tcPr>
            <w:tcW w:w="4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(52,860 )</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(1,907 )</w:t>
            </w:r>
          </w:p>
        </w:tc>
      </w:tr>
      <w:tr>
        <w:trPr>
          <w:trHeight w:val="20"/>
        </w:trPr>
        <w:tc>
          <w:tcPr>
            <w:tcW w:w="66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600" w:type="dxa"/>
            <w:vAlign w:val="bottom"/>
          </w:tcPr>
          <w:p>
            <w:pPr>
              <w:ind w:left="380"/>
              <w:spacing w:after="0" w:line="156" w:lineRule="exact"/>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440" w:type="dxa"/>
            <w:vAlign w:val="bottom"/>
          </w:tcPr>
          <w:p>
            <w:pPr>
              <w:spacing w:after="0"/>
              <w:rPr>
                <w:sz w:val="13"/>
                <w:szCs w:val="13"/>
                <w:color w:val="auto"/>
              </w:rPr>
            </w:pPr>
          </w:p>
        </w:tc>
        <w:tc>
          <w:tcPr>
            <w:tcW w:w="1180" w:type="dxa"/>
            <w:vAlign w:val="bottom"/>
            <w:gridSpan w:val="2"/>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(90,372 )</w:t>
            </w:r>
          </w:p>
        </w:tc>
        <w:tc>
          <w:tcPr>
            <w:tcW w:w="44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71,705</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129,602</w:t>
            </w:r>
          </w:p>
        </w:tc>
        <w:tc>
          <w:tcPr>
            <w:tcW w:w="100" w:type="dxa"/>
            <w:vAlign w:val="bottom"/>
          </w:tcPr>
          <w:p>
            <w:pPr>
              <w:spacing w:after="0"/>
              <w:rPr>
                <w:sz w:val="13"/>
                <w:szCs w:val="13"/>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Net decrease in cash, cash equivalents and restricted cash</w:t>
            </w:r>
          </w:p>
        </w:tc>
        <w:tc>
          <w:tcPr>
            <w:tcW w:w="4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(96,688 )</w:t>
            </w:r>
          </w:p>
        </w:tc>
        <w:tc>
          <w:tcPr>
            <w:tcW w:w="4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(35,067 )</w:t>
            </w:r>
          </w:p>
        </w:tc>
        <w:tc>
          <w:tcPr>
            <w:tcW w:w="4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(16,786 )</w:t>
            </w:r>
          </w:p>
        </w:tc>
      </w:tr>
      <w:tr>
        <w:trPr>
          <w:trHeight w:val="162"/>
        </w:trPr>
        <w:tc>
          <w:tcPr>
            <w:tcW w:w="66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440" w:type="dxa"/>
            <w:vAlign w:val="bottom"/>
          </w:tcPr>
          <w:p>
            <w:pPr>
              <w:spacing w:after="0"/>
              <w:rPr>
                <w:sz w:val="14"/>
                <w:szCs w:val="14"/>
                <w:color w:val="auto"/>
              </w:rPr>
            </w:pPr>
          </w:p>
        </w:tc>
        <w:tc>
          <w:tcPr>
            <w:tcW w:w="118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(1 )</w:t>
            </w:r>
          </w:p>
        </w:tc>
        <w:tc>
          <w:tcPr>
            <w:tcW w:w="4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(1 )</w:t>
            </w:r>
          </w:p>
        </w:tc>
      </w:tr>
      <w:tr>
        <w:trPr>
          <w:trHeight w:val="162"/>
        </w:trPr>
        <w:tc>
          <w:tcPr>
            <w:tcW w:w="660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4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136,150</w:t>
            </w:r>
          </w:p>
        </w:tc>
        <w:tc>
          <w:tcPr>
            <w:tcW w:w="2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171,215</w:t>
            </w:r>
          </w:p>
        </w:tc>
        <w:tc>
          <w:tcPr>
            <w:tcW w:w="24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188,002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6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44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39,461</w:t>
            </w:r>
          </w:p>
        </w:tc>
        <w:tc>
          <w:tcPr>
            <w:tcW w:w="280" w:type="dxa"/>
            <w:vAlign w:val="bottom"/>
          </w:tcPr>
          <w:p>
            <w:pPr>
              <w:spacing w:after="0"/>
              <w:rPr>
                <w:sz w:val="13"/>
                <w:szCs w:val="13"/>
                <w:color w:val="auto"/>
              </w:rPr>
            </w:pPr>
          </w:p>
        </w:tc>
        <w:tc>
          <w:tcPr>
            <w:tcW w:w="44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136,150</w:t>
            </w:r>
          </w:p>
        </w:tc>
        <w:tc>
          <w:tcPr>
            <w:tcW w:w="240" w:type="dxa"/>
            <w:vAlign w:val="bottom"/>
          </w:tcPr>
          <w:p>
            <w:pPr>
              <w:spacing w:after="0"/>
              <w:rPr>
                <w:sz w:val="13"/>
                <w:szCs w:val="13"/>
                <w:color w:val="auto"/>
              </w:rPr>
            </w:pPr>
          </w:p>
        </w:tc>
        <w:tc>
          <w:tcPr>
            <w:tcW w:w="44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171,215</w:t>
            </w:r>
          </w:p>
        </w:tc>
        <w:tc>
          <w:tcPr>
            <w:tcW w:w="100" w:type="dxa"/>
            <w:vAlign w:val="bottom"/>
          </w:tcPr>
          <w:p>
            <w:pPr>
              <w:spacing w:after="0"/>
              <w:rPr>
                <w:sz w:val="13"/>
                <w:szCs w:val="13"/>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6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4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440" w:type="dxa"/>
            <w:vAlign w:val="bottom"/>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10,858</w:t>
            </w:r>
          </w:p>
        </w:tc>
        <w:tc>
          <w:tcPr>
            <w:tcW w:w="280" w:type="dxa"/>
            <w:vAlign w:val="bottom"/>
          </w:tcPr>
          <w:p>
            <w:pPr>
              <w:spacing w:after="0"/>
              <w:rPr>
                <w:sz w:val="14"/>
                <w:szCs w:val="14"/>
                <w:color w:val="auto"/>
              </w:rPr>
            </w:pP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12,547</w:t>
            </w:r>
          </w:p>
        </w:tc>
        <w:tc>
          <w:tcPr>
            <w:tcW w:w="240" w:type="dxa"/>
            <w:vAlign w:val="bottom"/>
          </w:tcPr>
          <w:p>
            <w:pPr>
              <w:spacing w:after="0"/>
              <w:rPr>
                <w:sz w:val="14"/>
                <w:szCs w:val="14"/>
                <w:color w:val="auto"/>
              </w:rPr>
            </w:pP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4,926</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Property and equipment purchases included in accounts payable and accrued expenses</w:t>
            </w:r>
          </w:p>
        </w:tc>
        <w:tc>
          <w:tcPr>
            <w:tcW w:w="440" w:type="dxa"/>
            <w:vAlign w:val="bottom"/>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4"/>
                <w:szCs w:val="14"/>
                <w:color w:val="auto"/>
              </w:rPr>
            </w:pP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2,276</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Lease liability arising from obtaining right-of-use assets</w:t>
            </w:r>
          </w:p>
        </w:tc>
        <w:tc>
          <w:tcPr>
            <w:tcW w:w="44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3,046</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91,412</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Prepaid rent reclassified to right-of-use assets</w:t>
            </w:r>
          </w:p>
        </w:tc>
        <w:tc>
          <w:tcPr>
            <w:tcW w:w="440" w:type="dxa"/>
            <w:vAlign w:val="bottom"/>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4,634</w:t>
            </w:r>
          </w:p>
        </w:tc>
        <w:tc>
          <w:tcPr>
            <w:tcW w:w="240" w:type="dxa"/>
            <w:vAlign w:val="bottom"/>
          </w:tcPr>
          <w:p>
            <w:pPr>
              <w:spacing w:after="0"/>
              <w:rPr>
                <w:sz w:val="14"/>
                <w:szCs w:val="14"/>
                <w:color w:val="auto"/>
              </w:rPr>
            </w:pPr>
          </w:p>
        </w:tc>
        <w:tc>
          <w:tcPr>
            <w:tcW w:w="44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6,822</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Recognition of warrant liabilities</w:t>
            </w:r>
          </w:p>
        </w:tc>
        <w:tc>
          <w:tcPr>
            <w:tcW w:w="44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98"/>
        </w:trPr>
        <w:tc>
          <w:tcPr>
            <w:tcW w:w="66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Warrants issued related to Oaktree Term Loan and recorded as debt discount (Note 9)</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2,785</w:t>
            </w:r>
          </w:p>
        </w:tc>
        <w:tc>
          <w:tcPr>
            <w:tcW w:w="24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-3091180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-3091180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-3091180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-2242820</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-2242820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-1410970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-1410970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-1410970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-982345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-982345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firstLine="8"/>
        <w:spacing w:after="0" w:line="223" w:lineRule="auto"/>
        <w:tabs>
          <w:tab w:leader="none" w:pos="199"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non-cash collaboration profits and losses related to pre-launch activities; subsequent to the approval of VOWST in April 2023, collaboration (profit) loss sharing - related party is included within changes in operating assets and liabilities.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62"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clinical-stage company focused on improving patient outcomes in medically vulnerable populations through novel live biotherapeutics. The Company led the successful development and approval of VOWST (previously referred to as SER-109), the first FDA-approved orally administered microbiome therapeutic, which was sold to Nestlé Health Science (as defined below) in September 2024. The Company is progressing the development of SER-155, an investigational, oral, live biotherapeutic designed to decolonize gastrointestinal (“GI”) pathogens, improve epithelial barrier integrity, and regulate immune response to prevent bacterial bloodstream infections, as well as other pathogen-associated negative clinical outcomes in patients undergoing allogeneic hematopoietic stem cell transplantation (“allo-HSCT”). SER-155 and the Company's other pipeline programs are designed to target multiple disease-relevant pathways and are manufactured from standard clonal cell banks via cultivation, rather than from the donor-sourced production process used for VOWST.</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Company's placebo-controlled Phase 1b study of SER-155 in allo-HSCT, Cohort 2 results demonstrated that SER-155 was associated with a significant reduction in both bloodstream infections and systemic antibiotic exposure as well as a lower incidence of febrile neutropenia, as compared to placebo through day 100 post hematopoietic stem cell transplantation (“HSCT”). SER-155 was generally well tolerated, with no observed treatment-related serious adverse events. In addition to allo-HSCT, the Company intends to evaluate SER-155 and other cultivated live biotherapeutic candidates in other medically vulnerable patient populations, including autologous-HSCT patients, cancer patients with neutropenia, chimeric antigen receptors therapy recipients, individuals with chronic liver disease, solid organ transplant recipients, as well as patients in the intensive care unit and long-term acute care facilities.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built and deploys a reverse translational platform and knowledge base for the discovery and development of live biotherapeutics, and maintains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microbiological capabilities and a strain library that spans broad biological and functional breadth to both identify specific microbes and microbial metabolites that are associated with disease and to design consortia of bacteria with specific pharmacological properties. In addition, the Company owns a valuable intellectual property estate related to the development and manufacture of live biotherapeutics.</w:t>
      </w:r>
    </w:p>
    <w:p>
      <w:pPr>
        <w:spacing w:after="0" w:line="8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12529"/>
        </w:rPr>
        <w:t xml:space="preserve">At a special meeting of stockholders held on September 26, 2024, the Company’s stockholders approved, and on September 30, 2024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"Closing Date")</w:t>
      </w:r>
      <w:r>
        <w:rPr>
          <w:rFonts w:ascii="Times New Roman" w:cs="Times New Roman" w:eastAsia="Times New Roman" w:hAnsi="Times New Roman"/>
          <w:sz w:val="18"/>
          <w:szCs w:val="18"/>
          <w:color w:val="212529"/>
        </w:rPr>
        <w:t>, the Company completed, the sale (the “Transaction”) of its VOWST microbiome therapeutic business (the “VOWST Business”),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as provided for in accordance with the terms of the Purchase Agreement (the “Product”), to Société des Produits Nestlé S.A. (“SPN”), a wholly-owned subsidiary of Nestlé S.A., and its designated affiliates (collectively, “Nestlé Health Science”) pursuant to the Asset Purchase Agreement, dated as of August 5, 2024 (the “Purchase Agreement”), by and among the Company and SPN, and a wholly-owned subsidiary of Nestlé S.A. </w:t>
      </w:r>
      <w:r>
        <w:rPr>
          <w:rFonts w:ascii="Times New Roman" w:cs="Times New Roman" w:eastAsia="Times New Roman" w:hAnsi="Times New Roman"/>
          <w:sz w:val="18"/>
          <w:szCs w:val="18"/>
          <w:color w:val="000000"/>
        </w:rPr>
        <w:t>As consideration for the Transaction, SPN paid or agreed to pay, as applicable,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following Transaction Consideration:</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upon completion of the Transaction (“Closing”), of $100,000, less approximately $17,857 owed by the Company to an affiliate of SPN as of March 31, 2024 under the prior license agreement between the Company and the SPN affiliate, less approximately CHF 2,000 in satisfaction of fees due under the Bacthera Manufacturing Agreement (defined below);</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$50,000, which was received on January 15, 2025 and $25,000 due on July 1, 2025 (the “Installment Payments”) (to be reduced by approximately $1,500 related to certain employment obligations assumed by SPN, as described below), conditioned on the Company’s material compliance with obligations under the Transition Services Agreement (the “TSA”) (as described below) entered into at Closing between the Company and Nestlé Enterprises S.A., an affiliate of SPN, or NESA;</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$60,000 milestone payment tied to the achievement of worldwide annual net sales of the Product of $150,000 (the “First Sales Milestone”), which was paid in cash at Closing (the “Prepaid Milestone”),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(as defined below); and</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$125,000 tied to the achievement of worldwide annual net sales of the Product of $400,000 and (y) $150,000 tied to the achievement of worldwide annual net sales of the Product of $750,000, during the period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Closing until December 31 of the calendar year in which the tenth anniversary of Closing occurs (the “Milestone Period”) (together, the “Future Milestone Payments” and, together with the Prepaid Milestone, the “Milestone Payments”).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(i) first, by set-off against all accrued interest on the Prepaid Milestone until the amount of such accrued interest has been paid in full, (ii) second, by set-off against the outstanding balance of the Prepaid Milestone until the Prepaid Milestone has been repaid in full and (iii)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Installment Payment due on July 1, 2025 will be reduced by approximately $1,500 related to certain employment obligations assumed by SPN with respect to the period ended as of the Closing Date.</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and SPN share 50/50 in the net profit or net loss (the “Profit Sharing Payments”) achieved during the period from the date of Closing until December 31, 2025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the Company will reimburse SPN for (i) certain payments under the exclusive license agreement between the Company and Memorial Sloan Kettering Cancer Center, (ii) certain costs incurred in connection with an ongoing post-marketing safety study of VOWST and (iii) 80.1% of all rent and other costs due to the landlord under the lease for the Company’s Waltham facility.</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Closing, in exchange for a payment to be made by SPN to Bacthera AG, the Long Term Manufacturing Agreement, dated November 8, 2021 between the Company and Bacthera AG (the “Bacthera Manufacturing Agreement”) was terminated and each of Bacthera and Seres released one another from any and all losses, liabilities or other obligations arising thereunder with respect to the period ending at the Closing Date, including without limitation any milestone payments required to be paid to Bacthera thereunder.</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the Closing Date, the Company and SPN entered into a securities purchase agreement (the “Securities Purchase Agreement”) pursuant to which SPN purchased 14,285,715 shares (the “Shares”) of common stock at Closing, at a purchase price per share of $1.05, for an aggregate purchase price of $15,000. Under the terms of the Securities Purchase Agreement, SPN agreed not to sell or transfer the Shares for a period of six months after Closing, subject to certain customary exceptions. The Company agreed to register the resale of the Shares by SPN within 90 days of Closing. On October 1, 2024, the Company filed a registration statement to register the Shares, which became effective on October 11, 2024. In addition, under the terms of the Securities Purchase Agreement, for as long as SPN, together with its affiliates, beneficially owns at least 10% of the Company’s outstanding shares of common stock, the Company has agreed to take such action within its control to include one individual designated by SPN in the slate of nominees recommended by the Company’s board of directors (or the applicable committee of the board of directors) to the Company’s stockholders for election to the board of directors at the applicable stockholder meeting. SPN designated Hans-Juergen Woerle, M.D., Ph.D. and on February 4, 2025, the Company’s board of directors appointed Dr. Woerle to the board as a Class III director, with a term expiring at the Company’s 2027 annual meeting of stockholders. The Securities Purchase Agreement contains customary representations and warranties and closing conditions.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the Closing Date, the Company entered into a TSA with NESA, which provides for services to be performed by the Company in order to facilitate a transition of the business associated with the VOWST Business to NESA and its affiliates. The scope of the transition services includes the provision of certain manufacturing services and certain administrative functions related to the VOWST Business and operations, including the maintenance of certain manufacturing services and the related facility in which such services are currently conducted. The Company will provide the manufacturing services until December 31, 2025, which period may be extended by up to six months (solely to ensure the manufacturing facility is in a state of compliance with the biologics license application for VOWST and readiness for potential regulatory inspection), and other services for the duration specified in the schedule to the TSA for each service. NESA has agreed to pay the Company for certain fixed costs, including a monthly fixed fee and a variable per batch fee for preserved raw material suspension ("PRMS") manufacturing, and will reimburse the Company for certain costs of the transition services performed by the Company under the TSA, including labor. The know-how and other intellectual property generated in connection with the performance of the TSA will be owned by NESA with the Company having a non-exclusive license to such know-how and other intellectual property under the Cross-License Agreement. During the term of the TSA, upon NESA's request, the Company will transfer the specifications for materials and documentation necessary to enable PRMS manufacturing services to a third party service provider designated by NESA. In the event of a material failure by the Company to deliver PRMS under the TSA, NESA will have step-in rights to negotiate to enter into a direct lease with the landlord of the manufacturing facility with respect to the portion of such facility used in connection with the VOWST Business or to cause such services to be performed, with any reasonable out-of-pocket costs and expenses incurred in connection therewith reimbursed by the Company.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At the Closing Date, the Company entered into a cross-license agreement with SPN under which the Company granted to SPN a perpetual, worldwide, non-exclusive, fully paid-up license under certain Company patents that have been issued or will issue in the future and current know-how controlled by the Company that is not transferred to SPN pursuant to the Purchase Agreement. In the field of the treatment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infections ("CDI") and recurrent CDI and associated complications (collectively, the “CDI Field”) the license to SPN under such Company patents and know-how will be exclusive to SPN for five years after Closing and co-exclusive between SPN and the Company following that five year period. The license from the Company to SPN is to issued Company patents that currently or in the future cover the Product or improvements thereof, and know-how that is used or reasonably useful in connection with the exploitation of the VOWST Business. The Company also granted SPN an exclusive, perpetual, worldwide, fully paid-up license under issued Company patents that currently or in the future cover the Product and improvements thereof and know-how that is used or reasonably useful in connection with the exploitation of the Product to exploit SER-262 in the CDI Field. SPN granted to the Company a perpetual, worldwide, non-exclusive license under the patents and know-how that are transferred to SPN pursuant to the Purchase Agreement or developed under the TSA, for the Company’s products for use outside of the CDI Field, and after five years from Closing for Company products containing designed, cultivated, bacterial consortia not manufactured using human stool (excluding SER-262) in the CDI Field. From and after Closing, certain license agreements between the Company, SPN, and/or their respective affiliates terminated and are of no further force or effect, except as contemplated by the Purchase Agreement. For example, on September 30, 2024, in connection with the Transaction, the 2016 License Agreement (the “2016 License Agreement”) with Nestec, Ltd., as succeeded by SPN (together with NHSc Rx License GmbH, their affiliates, and their subsidiaries “Nestlé”), and the 2021 License Agreement (the “2021 License Agreement”) with NHSc Pharma Partners, succeeded by NHSc Rx License GmbH (together with Société des Produits Nestlé S.A, their affiliates, and their subsidiaries “Nestlé”) were terminated upon mutual agreement of the parties, with provisions related to record retention, confidentiality obligations, indemnification obligations, intellectual property ownership, and any outstanding payment obligations surviving the termination of each of the 2016 License Agreement and 2021 License Agreement, respectively.</w:t>
      </w:r>
    </w:p>
    <w:p>
      <w:pPr>
        <w:spacing w:after="0" w:line="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the Closing Date, the parties entered into assignment and assumption of lease agreements (the “Assignment and Assumption Agreements”). Under the Assignment and Assumption Agreements, the Company assigned to SPN the Company’s rights in, to and under certain real property leases, and SPN assumed the liabilities related thereto.</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the Closing Date, the parties entered into an employee support agreement (the “Employee Support Agreement”). Under the Employee Support Agreement, among other things and subject to the terms and conditions therein, certain employees of the Company related to the VOWST Business who accepted employment with SPN or one of its designated affiliates provided the services they provided to the Company prior to the Transaction to SPN, as well as other services as SPN may reasonably request, from Closing until the day prior to the beginning of SPN’s or its designated affiliate’s next pay period following the Closing. SPN reimbursed the Company’s out of pocket costs in connection with such employees’ services, including certain compensation and benefits paid or provided to such employees pursuant to the terms of the Employee Support Agreement. All such employees have transferred to SPN as of December 31, 2024.</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 fully retired its senior secured debt facility with Oaktree Capital Management. The Company intends to use the remaining proceeds to support the further advancement of SER-155 and the Company’s other wholly-owned cultivated live biotherapeutic candidates for medically vulnerable patient populations with potential to address large commercial opportunities.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incurred certain significant costs relating to the Transaction, such as legal, accounting, financial advisory, printing and other professional services fees, as well as other customary payments. Through December 31, 2024, these costs amounted to approximately $9,016, which is included within the net income (loss) from discontinued operations, net of tax line item on the Company's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 operates in an environment of rapid change in technology and substantial competition from pharmaceutical and biotechnology companies. In addition, the Company is dependent upon the services of its employees and consultants.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which assumes that the Company will continue as a going concern and which contemplates the realization of assets and satisfaction of liabilities and commitments in the normal course of business. As of December 31, 2024, the Company had an accumulated deficit of $978,099 and cash and cash equivalents of $30,793.</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potential commercialization. There can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assurance that the Company’s research and development will be successfully completed, that adequate protection for the Company’s intellectual property will be obtained, or maintained, that any product candidate developed will obtain necessary government regulatory approval, or that any approved product will be commercially viable. Even if the Company’s product development efforts are successful, it is uncertain when, if ever, the Company will generate significant revenue from product sales.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Primarily as a result of the costs associated with continuing the research and development efforts for other product candidates and preclinical programs, </w:t>
      </w:r>
      <w:r>
        <w:rPr>
          <w:rFonts w:ascii="Times New Roman" w:cs="Times New Roman" w:eastAsia="Times New Roman" w:hAnsi="Times New Roman"/>
          <w:sz w:val="18"/>
          <w:szCs w:val="18"/>
          <w:color w:val="222222"/>
        </w:rPr>
        <w:t>the Company incurred a net loss from continuing operations of $125,771, and had net operating cash outflows of $148,609 for the year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December 31, 2024. The Company expects that its operating losses and negative cash flows will continue for the foreseeable future. Based on the Company's currently available cash resources, current and forecasted level of operations, and forecasted cash flows for the 12-month period subsequent to the date of issuance of these consolidated financial statements, the Company will req</w:t>
      </w:r>
      <w:r>
        <w:rPr>
          <w:rFonts w:ascii="Times New Roman" w:cs="Times New Roman" w:eastAsia="Times New Roman" w:hAnsi="Times New Roman"/>
          <w:sz w:val="18"/>
          <w:szCs w:val="18"/>
          <w:color w:val="000000"/>
        </w:rPr>
        <w:t>uire additional funding to support its ongoing operations and meet its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obligations as they come due. These conditions raise substantial doubt about the Company's ability to continue as a going concern.</w:t>
      </w:r>
    </w:p>
    <w:p>
      <w:pPr>
        <w:spacing w:after="0" w:line="7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Company’s ability to continue as a going concern is dependent upon its ability to obtain the necessary financing to meet its obligations and repay its liabilities arising from normal business operations when they come due, and to generate profitable operations in the future. Management plans to provide for the Company’s capital requirements through financing or other strategic transactions, including potential business development transactions, and selling shares under the Company's at the market equity offering. There can be no assurance that the Company will be able to raise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Accounting Standards Codification (“ASC”) 205-40, </w:t>
      </w:r>
      <w:r>
        <w:rPr>
          <w:rFonts w:ascii="Times New Roman" w:cs="Times New Roman" w:eastAsia="Times New Roman" w:hAnsi="Times New Roman"/>
          <w:sz w:val="18"/>
          <w:szCs w:val="18"/>
          <w:i w:val="1"/>
          <w:iCs w:val="1"/>
          <w:color w:val="auto"/>
        </w:rPr>
        <w:t xml:space="preserve">Going Concern </w:t>
      </w:r>
      <w:r>
        <w:rPr>
          <w:rFonts w:ascii="Times New Roman" w:cs="Times New Roman" w:eastAsia="Times New Roman" w:hAnsi="Times New Roman"/>
          <w:sz w:val="18"/>
          <w:szCs w:val="18"/>
          <w:color w:val="auto"/>
        </w:rPr>
        <w:t>("ASC 205-40"), and therefore cannot be considered in the evaluation of mitigating factors. As a result, management has concluded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exists about the Company’s ability to continue as a going concern for 12 months from the date these consolidated financial statements are issued. The accompanying consolidated financial statements do not include any adjustments that may result from the outcome of this uncertainty.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late September 2024, the Company’s VOWST Business met all the conditions to be classified as held for sale and, because the Company considers the disposal of the VOWST Business to be a strategic shift that will have a major effect on its operations and financial results, represented a discontinued operation. All assets and liabilities associated with the Company’s VOWST Business were therefore classified as assets and liabilities of discontinued operations in our consolidated balance sheets for the periods presented. Further, all historical operating results for the Company’s VOWST Business are reflected within discontinued operations in the consolidated statements of operations for all periods presented. For additional information, see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reflect the impact of the discontinued operations treatment of the VOWST Business in order to conform to the current period presentation.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80" w:lineRule="exact"/>
        <w:rPr>
          <w:sz w:val="20"/>
          <w:szCs w:val="20"/>
          <w:color w:val="auto"/>
        </w:rPr>
      </w:pPr>
    </w:p>
    <w:p>
      <w:pPr>
        <w:ind w:right="7340" w:firstLine="8"/>
        <w:spacing w:after="0" w:line="376" w:lineRule="auto"/>
        <w:tabs>
          <w:tab w:leader="none" w:pos="50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Discontinued Operations</w:t>
      </w:r>
    </w:p>
    <w:p>
      <w:pPr>
        <w:spacing w:after="0" w:line="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sale of its VOWST Business in accordance with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and ASU No. 2014-08, </w:t>
      </w:r>
      <w:r>
        <w:rPr>
          <w:rFonts w:ascii="Times New Roman" w:cs="Times New Roman" w:eastAsia="Times New Roman" w:hAnsi="Times New Roman"/>
          <w:sz w:val="18"/>
          <w:szCs w:val="18"/>
          <w:i w:val="1"/>
          <w:iCs w:val="1"/>
          <w:color w:val="auto"/>
        </w:rPr>
        <w:t>Reporting of Discontinued Operations and Disclosures of Disposals of Components of an Entity</w:t>
      </w:r>
      <w:r>
        <w:rPr>
          <w:rFonts w:ascii="Times New Roman" w:cs="Times New Roman" w:eastAsia="Times New Roman" w:hAnsi="Times New Roman"/>
          <w:sz w:val="18"/>
          <w:szCs w:val="18"/>
          <w:color w:val="auto"/>
        </w:rPr>
        <w:t>. The Company followed the held-for-sale criteria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ASC 205. ASC 205 requires that a component of an entity that has been disposed of or is classified as held for sale and has operations and cash flows that can be clearly distinguished from the rest of the entity be reported as assets held for sale and discontinued operations. In the period a component of an entity has been disposed of, the results of operations for the periods presented are reclassified into separate line items in the consolidated statements of operations. In the period a discontinued operation is classified for sale, the assets and liabilities of the discontinued operation are also reclassified into separate line items on the related consolidated balance sheets for the periods presented.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Due to the sale of the VOWST Business during the third quarter of 2024 (see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xml:space="preserve">), in accordance with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Company has classified the results of the VOWST Business as discontinued operations in its consolidated statements of operations and cash flows for all periods presented. All assets and liabilities associated with the Company's VOWST Business were therefore classified as assets and liabilities of discontinued operations in its consolidated balance sheets for the periods presented. All amounts included in the notes to the consolidated financial statements relate to continuing operations unless otherwise noted.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In these consolidated financial statements, the Company uses estimates and assumptions related to the accrual of research and development expenses. Estimates are periodically reviewed in light of changes in circumstances, facts and experience. Actual results could differ from the Company’s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acquisition date to be cash equivalents. Cash equivalents, which consist of money market accounts, commercial paper and corporate bonds purchased with original maturities of less than 90 days from the date of purchase, are stated at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investments of $0 and $1,401 as of December 31, 2024 and 2023, respectively, in a separate restricted bank account as a security deposit for the lease of the Company’s headquarters in Cambridge, Massachusetts. The Company has classified these deposits as long-term restricted investments on its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restricted cash of $8,668 and $8,185 as of December 31, 2024 and 2023, respectively, which represents cash held for the benefit of the landlord for the Company's other leases. The Company has classified the restricted cash as long-term on its consolidated balance sheets as the underlying leases are greater than 1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were comprised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66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7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investments. The Company has all cash, cash equivalents and investments balances at financial institutions, in amounts that exceed federally insured limits. The Company does not believe that it is subject to unusual credit risk beyond the normal credit risk associated with commercial banking relationships.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in accordance with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cash equivalents and investments are carried at fair value, determined according to the fair value hierarchy described above. The Company’s investments in certificates of deposit are carried at amortized cost, which approximates fair value. The carrying values of the Company’s prepaid expenses and other current and non-current assets, accounts payable and accrued expenses approximate their respective fair values due to the short-term nature of these assets and liabilities. The carrying value of the Company’s long-term debt approximates its fair value (a level 2 measurement) at each balance sheet date due to its variable interest rate, which approximates a market interest rate. The warrant liabilities associated with the Company's credit facility with Oaktree for which there is no current market and the determination of fair value requires significant estimation are classified as Level 3 financial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asset, which are as follows: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w:t>
            </w:r>
          </w:p>
        </w:tc>
      </w:tr>
      <w:tr>
        <w:trPr>
          <w:trHeight w:val="173"/>
        </w:trPr>
        <w:tc>
          <w:tcPr>
            <w:tcW w:w="654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furniture and office equipment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198"/>
        </w:trPr>
        <w:tc>
          <w:tcPr>
            <w:tcW w:w="654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Lesser of useful life</w:t>
            </w:r>
          </w:p>
        </w:tc>
      </w:tr>
      <w:tr>
        <w:trPr>
          <w:trHeight w:val="234"/>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or lease term</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Long-lived assets consist of property and equipment and right-of-use assets associated with our lease agreements. All of the Company's long-lived assets are to be held and used and have definitive lives and accordingly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or asset group to its carrying value. An impairment loss would be recognized when estimated undiscounted future cash flows expected to result from the use of an asset or asset group are less than its carrying amount. The impairment loss would be based on the excess of the carrying value of the impaired asset over its fair value, determined based on discounted cash flows. For the years ended December 31, 2024, 2023 and 2022, the Company recorded an impairment loss on long-lived assets of $3,267, $0 and $0,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benefits of employees, third-party license fees and other operational costs related to the Company’s research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activities, including allocated facility-related expenses and external costs of outside vendors engaged to conduct both preclinical studies and clinical trials, and beginning in the fourth quarter of 2024 certain costs of fulfilling the Company's obligations under the TSA which are reimbursable by Nestlé.</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Contract Costs and Accruals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based on reporting provided by third parties, typically contract research organizations. When evaluating the adequacy of the accrued liabilities,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income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rather than applying an estimated forfeiture rate to stock-based compensation expense.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 Scholes option-pricing model. The Company estimates its expected common stock volatility based on its historical common stock volatility for the same time period. The Company uses the simplified method prescribed by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and thus reports as a single reportable segment. The Company’s singular focus is on developing live biotherapeutics for medically vulnerable patient populations to prevent bacterial bloodstream and antimicrobial resistant (AMR) infections as well as to treat GI-related immune diseases. Revenue to date has been generated solely through the Company's agreements with its collaborators, all of which has been earned in the United States. All tangible assets are held in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(deficit) that result from transactions and economic events other than those with stockholders. For the years ended December 31, 2024, 2023 and 2022, other comprehensive income consisted of changes in unrealized gains from available-for-sale investments and a currency translation adjustment.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and a lease liability on the consolidated balance sheets for all leases with an initial lease term of greater than 12 months. Leases with an initial term of 12 months or less are not recorded on the balance sheets, but payments are recognized as expense on a straight-line basis over the lease term. The Company has elected not to record a right-of-use asset or lease liability for leases with terms of 12 months or less.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an estimate of its incremental borrowing rate based upon the available information at the lease commencement date. Operating lease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Right-of-use assets and lease liabilities are reassessed and remeasured when amendments to the terms of the lease agreement require reassessment and remeasurement of the lease payments and other inputs to the calculation of right-of-use assets and lease liabilities. The Company accounts for remeasurements and modifications to lease liabilities using the present value of remaining lease payments and estimated incremental borrowing rate at the date of remeasurement. The adjustment to the lease liability is recognized as a gain or loss in operating expenses, or as an adjustment to the right-of-use asset, as appropriate, based on the terms and conditions within the lease that are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public entities to disclose significant segment expenses and other segment items on an interim and annual basis, and provide in interim periods all disclosures about a reportable segment's profit or loss and assets that are currently required annually. The ASU does not change how a public entity identifies its operating segments, aggregates them, or applies the quantitative threshold to determine its reportable segments. The new disclosure requirements are also applicable to entities that account and report as a single operating segment entity. ASU 2023-07 is effective for fiscal years beginning after December 15, 2023, and for interim periods within fiscal years beginning after December 15, 2024. </w:t>
      </w:r>
      <w:r>
        <w:rPr>
          <w:rFonts w:ascii="Times New Roman" w:cs="Times New Roman" w:eastAsia="Times New Roman" w:hAnsi="Times New Roman"/>
          <w:sz w:val="18"/>
          <w:szCs w:val="18"/>
          <w:color w:val="212529"/>
        </w:rPr>
        <w:t>The Company adopted the guidance for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reporting period ended December 31, 2024. There was no impact on the Company’s reportable segments identified and additional required disclosures have been included in Note 18, </w:t>
      </w:r>
      <w:r>
        <w:rPr>
          <w:rFonts w:ascii="Times New Roman" w:cs="Times New Roman" w:eastAsia="Times New Roman" w:hAnsi="Times New Roman"/>
          <w:sz w:val="18"/>
          <w:szCs w:val="18"/>
          <w:i w:val="1"/>
          <w:iCs w:val="1"/>
          <w:color w:val="212529"/>
        </w:rPr>
        <w:t>Segment Reporting</w:t>
      </w:r>
      <w:r>
        <w:rPr>
          <w:rFonts w:ascii="Times New Roman" w:cs="Times New Roman" w:eastAsia="Times New Roman" w:hAnsi="Times New Roman"/>
          <w:sz w:val="18"/>
          <w:szCs w:val="18"/>
          <w:color w:val="212529"/>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effective tax rate reconciliation, as well as expanded disclosures on income taxes paid by jurisdictions. ASU 2023-09 is effective for fiscal years beginning after December 15, 2024, with early adoption permitted. The Company is currently evaluating the impact related to the adoption of ASU 2023-09 on its financial statement disclosures.</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(Topic 220)</w:t>
      </w:r>
      <w:r>
        <w:rPr>
          <w:rFonts w:ascii="Times New Roman" w:cs="Times New Roman" w:eastAsia="Times New Roman" w:hAnsi="Times New Roman"/>
          <w:sz w:val="18"/>
          <w:szCs w:val="18"/>
          <w:color w:val="auto"/>
        </w:rPr>
        <w:t>, which requires disclosure in the notes to financial statements about specific types of expenses included in the expense captions presented on the face of the statement of operations. The requirements of the ASU are effective for annual periods beginning after December 15, 2026, and for interim periods beginning after December 15, 2027, with early adoption permitted. The requirements will be applied prospectively with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option for retrospective application. The Company is currently evaluating the impact related to the adoption of ASU 2024-03 on its financial statement disclosures.</w:t>
      </w: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and TSA</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On September 30, 2024, the Company completed the sale of its VOWST Business to SPN. The Company has determined the sale of the VOWST Business represents a strategic shift that will have a major effect on its business and therefore met the criteria for classification as discontinued operations on September 30, 2024. Accordingly, the VOWST Business is reported as discontinued operations in accordance with ASC 205-20,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The related assets and liabilities of the VOWST Business are classified as assets and liabilities of discontinued operations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and the results of operations from the VOWST Business as discontinued operations in the consolidated statements of operations. Applicable amounts in prior years have been recast to conform to this discontinued operations presentation. The Company recognized a gain on the sale of the VOWST Business upon closing.</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assets and liabilities of the discontinued operations as of December 31, 2023:</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receivable - related party</w:t>
            </w:r>
          </w:p>
        </w:tc>
        <w:tc>
          <w:tcPr>
            <w:tcW w:w="48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12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12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120" w:type="dxa"/>
            <w:vAlign w:val="bottom"/>
          </w:tcPr>
          <w:p>
            <w:pPr>
              <w:spacing w:after="0"/>
              <w:rPr>
                <w:sz w:val="18"/>
                <w:szCs w:val="18"/>
                <w:color w:val="auto"/>
              </w:rPr>
            </w:pPr>
          </w:p>
        </w:tc>
      </w:tr>
      <w:tr>
        <w:trPr>
          <w:trHeight w:val="250"/>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48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102,782</w:t>
            </w:r>
          </w:p>
        </w:tc>
        <w:tc>
          <w:tcPr>
            <w:tcW w:w="120" w:type="dxa"/>
            <w:vAlign w:val="bottom"/>
            <w:shd w:val="clear" w:color="auto" w:fill="CFF0FC"/>
          </w:tcPr>
          <w:p>
            <w:pPr>
              <w:spacing w:after="0"/>
              <w:rPr>
                <w:sz w:val="21"/>
                <w:szCs w:val="21"/>
                <w:color w:val="auto"/>
              </w:rPr>
            </w:pPr>
          </w:p>
        </w:tc>
      </w:tr>
      <w:tr>
        <w:trPr>
          <w:trHeight w:val="197"/>
        </w:trPr>
        <w:tc>
          <w:tcPr>
            <w:tcW w:w="47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58,102</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 related party</w:t>
            </w: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tcPr>
          <w:p>
            <w:pPr>
              <w:spacing w:after="0"/>
              <w:rPr>
                <w:sz w:val="18"/>
                <w:szCs w:val="18"/>
                <w:color w:val="auto"/>
              </w:rPr>
            </w:pPr>
          </w:p>
        </w:tc>
      </w:tr>
      <w:tr>
        <w:trPr>
          <w:trHeight w:val="21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4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2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 - related party</w:t>
            </w:r>
          </w:p>
        </w:tc>
        <w:tc>
          <w:tcPr>
            <w:tcW w:w="4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109,427</w:t>
            </w:r>
          </w:p>
        </w:tc>
        <w:tc>
          <w:tcPr>
            <w:tcW w:w="120" w:type="dxa"/>
            <w:vAlign w:val="bottom"/>
          </w:tcPr>
          <w:p>
            <w:pPr>
              <w:spacing w:after="0"/>
              <w:rPr>
                <w:sz w:val="18"/>
                <w:szCs w:val="18"/>
                <w:color w:val="auto"/>
              </w:rPr>
            </w:pPr>
          </w:p>
        </w:tc>
      </w:tr>
      <w:tr>
        <w:trPr>
          <w:trHeight w:val="250"/>
        </w:trPr>
        <w:tc>
          <w:tcPr>
            <w:tcW w:w="4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44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176,349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29"/>
        </w:trPr>
        <w:tc>
          <w:tcPr>
            <w:tcW w:w="4740" w:type="dxa"/>
            <w:vAlign w:val="bottom"/>
          </w:tcPr>
          <w:p>
            <w:pPr>
              <w:spacing w:after="0"/>
              <w:rPr>
                <w:sz w:val="24"/>
                <w:szCs w:val="24"/>
                <w:color w:val="auto"/>
              </w:rPr>
            </w:pPr>
          </w:p>
        </w:tc>
        <w:tc>
          <w:tcPr>
            <w:tcW w:w="4800" w:type="dxa"/>
            <w:vAlign w:val="bottom"/>
            <w:gridSpan w:val="2"/>
          </w:tcPr>
          <w:p>
            <w:pPr>
              <w:jc w:val="right"/>
              <w:ind w:right="3650"/>
              <w:spacing w:after="0"/>
              <w:rPr>
                <w:sz w:val="20"/>
                <w:szCs w:val="20"/>
                <w:color w:val="auto"/>
              </w:rPr>
            </w:pPr>
            <w:r>
              <w:rPr>
                <w:rFonts w:ascii="Times New Roman" w:cs="Times New Roman" w:eastAsia="Times New Roman" w:hAnsi="Times New Roman"/>
                <w:sz w:val="18"/>
                <w:szCs w:val="18"/>
                <w:color w:val="auto"/>
              </w:rPr>
              <w:t>F-17</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-3205480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-2357120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-2339340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there were no assets or liabilities of discontinued operations.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gain on the sale of the VOWST Business as of December 31, 2024, pursuant to the Purchase Agreement: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received</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Upfront payment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milestone</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from termination of 2016 License Agreement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Settlement of net collaboration payable at close</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on equity financing</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from termination of 2021 License Agreement</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3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(33,458 )</w:t>
            </w: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fair value transferred for business</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234,249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63,442</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(31,547 )</w:t>
            </w:r>
          </w:p>
        </w:tc>
      </w:tr>
      <w:tr>
        <w:trPr>
          <w:trHeight w:val="21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(14,413 )</w:t>
            </w: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80,924</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costs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shd w:val="clear" w:color="auto" w:fill="CFF0FC"/>
          </w:tcPr>
          <w:p>
            <w:pPr>
              <w:spacing w:after="0"/>
              <w:rPr>
                <w:sz w:val="18"/>
                <w:szCs w:val="18"/>
                <w:color w:val="auto"/>
              </w:rPr>
            </w:pPr>
          </w:p>
        </w:tc>
      </w:tr>
      <w:tr>
        <w:trPr>
          <w:trHeight w:val="432"/>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pre-tax</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100" w:type="dxa"/>
            <w:vAlign w:val="bottom"/>
          </w:tcPr>
          <w:p>
            <w:pPr>
              <w:spacing w:after="0"/>
              <w:rPr>
                <w:sz w:val="24"/>
                <w:szCs w:val="24"/>
                <w:color w:val="auto"/>
              </w:rPr>
            </w:pPr>
          </w:p>
        </w:tc>
      </w:tr>
      <w:tr>
        <w:trPr>
          <w:trHeight w:val="216"/>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Gain on sale, net of tax</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firstLine="8"/>
        <w:spacing w:after="0" w:line="242" w:lineRule="auto"/>
        <w:tabs>
          <w:tab w:leader="none" w:pos="184" w:val="left"/>
        </w:tabs>
        <w:numPr>
          <w:ilvl w:val="0"/>
          <w:numId w:val="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upfront payment consists of $100,000, less $17,857 owed by the Company to an affiliate of SPN under the prior license agreement between the Company and the SPN affiliate, less approximately $2,355 in satisfaction of costs due under the Bacthera Manufacturing Agreement.</w:t>
      </w:r>
    </w:p>
    <w:p>
      <w:pPr>
        <w:spacing w:after="0" w:line="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the twelve months ended December 31, 2024, the gain from sale of the VOWST Business, net of tax of $146,707 was included in the net income (loss) from discontinued operations, net of tax line item of the Company’s consolidated statements of operations and comprehensive income (loss). While the Company has net income from discontinued operations for the twelve months ended December 31, 2024, the Company realized a tax loss for the full year ended December 31, 2024, for which it is more likely than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that the Company will not realize a benefit. The Company has recorded a full valuation allowance against its net deferred tax assets as of December 31, 2024 and 2023.</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financial results of the discontinued operations: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3"/>
                <w:szCs w:val="13"/>
                <w:color w:val="auto"/>
              </w:rPr>
            </w:pPr>
          </w:p>
        </w:tc>
        <w:tc>
          <w:tcPr>
            <w:tcW w:w="1360" w:type="dxa"/>
            <w:vAlign w:val="bottom"/>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(1,496 )</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(8,379 )</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(66,576 )</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(12,192 )</w:t>
            </w: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(10,708 )</w:t>
            </w:r>
          </w:p>
        </w:tc>
        <w:tc>
          <w:tcPr>
            <w:tcW w:w="4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(229 )</w:t>
            </w: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pre-tax</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30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(66,576 )</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1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30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(66,576 )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-1996440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-1996440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-1302385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-1302385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-1010920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-1010920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-453390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-453390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ASC 205-20, only expenses specifically identifiable and related to a business to be disposed may be presented in discontinued operations. As such, the research and development and general and administrative expenses in discontinued operations include corporate costs incurred directly to solely support the VOWST Business.</w:t>
      </w:r>
    </w:p>
    <w:p>
      <w:pPr>
        <w:spacing w:after="0" w:line="6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has also entered into a Transition Services Agreement ("TSA") with NESA, an affiliate of SPN, in connection with the Transaction, through which the Company will provide certain manufacturing services until December 31, 2025, and other transition services, for the duration specified in the schedule to the TSA for each service. For the year ended December 31, 2024, the Company recognized $6,292 of TSA reimbursement income in other (expense) income, net in the Company’s consolidated statements of operations and comprehensive income (loss). For the year ended December 31, 2024, the Company has incurred $3,532 of expenses related to manufacturing services and $3,136 of TSA labor and passthrough expenses to support the transition services, including finance and accounting, information technology, human resources, operations, and other services. The difference between the TSA reimbursement income and the TSA expenses incurred is primarily due to certain non-cash expenses not reimbursed under the TSA.</w:t>
      </w:r>
    </w:p>
    <w:p>
      <w:pPr>
        <w:spacing w:after="0" w:line="8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$3,724 has been billed to NESA related to transition services performed by the Company, of which $1,656 has been paid, consistent with TSA payment terms. As of December 31, 2024, the Company has $2,068 in accounts receivable due from SPN - related party and $2,443 unbilled receivable included in prepaid expenses and other current asset in the Company’s consolidated balance sheets.</w:t>
      </w:r>
    </w:p>
    <w:p>
      <w:pPr>
        <w:spacing w:after="0" w:line="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estimated costs associated with certain accrued liabilities due to SPN - related party as a loss contingency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These contingent liabilities are presented as Accrued Liabilities due to SPN - related party from continuing operations on the consolidated balance sheets as of December 31, 2024 and consist of the following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Profit Sharing Payments</w:t>
            </w: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2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associated with the MSK Agreement</w:t>
            </w:r>
          </w:p>
        </w:tc>
        <w:tc>
          <w:tcPr>
            <w:tcW w:w="58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VOWST post-marketing safety surveillance study</w:t>
            </w:r>
          </w:p>
        </w:tc>
        <w:tc>
          <w:tcPr>
            <w:tcW w:w="58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80.1% of lease cost of Waltham facility</w:t>
            </w:r>
          </w:p>
        </w:tc>
        <w:tc>
          <w:tcPr>
            <w:tcW w:w="58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Employment-related costs for conveying employees</w:t>
            </w:r>
          </w:p>
        </w:tc>
        <w:tc>
          <w:tcPr>
            <w:tcW w:w="580" w:type="dxa"/>
            <w:vAlign w:val="bottom"/>
            <w:tcBorders>
              <w:bottom w:val="single" w:sz="8" w:color="auto"/>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 due to SPN - related party</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contingent liabilities accrued on the Company's consolidated balance sheets are remeasured at December 31, 2024 based on i) cash payments made by the Company to reduce the accrued liabilities due to SPN - related party and ii) revised estimates of the total remaining liabilities due to SPN - related party. For the year ended December 31, 2024, the Company recognized a gain on sale of VOWST Business of $5,684 as a result of the change in the accrued liabilities due to SPN - related party.</w:t>
      </w:r>
    </w:p>
    <w:p>
      <w:pPr>
        <w:spacing w:after="0" w:line="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excluded from its consolidated balance sheets the effects of i) future fixed installment payments to be received by the Company after it performs services and is determined by SPN to be in material compliance with the terms and conditions of the TSA and ii) certain milestone payments received by the Company after the Product has achieved net sales-based milestones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contingent receivables will be recognized as a gain contingency, in accordance with </w:t>
      </w:r>
      <w:r>
        <w:rPr>
          <w:rFonts w:ascii="Times New Roman" w:cs="Times New Roman" w:eastAsia="Times New Roman" w:hAnsi="Times New Roman"/>
          <w:sz w:val="18"/>
          <w:szCs w:val="18"/>
          <w:i w:val="1"/>
          <w:iCs w:val="1"/>
          <w:color w:val="auto"/>
        </w:rPr>
        <w:t>ASC 450, Contingencies,</w:t>
      </w:r>
      <w:r>
        <w:rPr>
          <w:rFonts w:ascii="Times New Roman" w:cs="Times New Roman" w:eastAsia="Times New Roman" w:hAnsi="Times New Roman"/>
          <w:sz w:val="18"/>
          <w:szCs w:val="18"/>
          <w:color w:val="auto"/>
        </w:rPr>
        <w:t xml:space="preserve"> in continuing operations in the period when the contingencies are resolved.</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consolidated statements of cash flows. For the years ended December 31, 2024, 2023 and 2022, capital expenditures related to the VOWST Business were $112, $2,272 and $2,971, respectively. Depreciation expense related to the VOWST Business for the same periods was $989, $2,019 and $1,459, respectively. Non-cash operating lease costs related to the VOWST Business for the years ended December 31, 2024, 2023 and 2022 were $1,447, $2,123 and $1,554, respectively, while the share based compensation expense for the same periods were $1,884, $2,773 and $1,247, respectively. The collaboration loss sharing (related party) related to the VOWST Business was $0, $5,158 and $1,004 for the years ended December 31, 2024, 2023 and 2022, respectively. Excluding the gain of $146,707 recognized on the sale of the VOWST Business presented in the consolidated statements of cash flows for the twelve months ended December 31, 2024, there were no other material operating or investing non-cash items related to the VOWST Business for either period presented.</w:t>
      </w:r>
    </w:p>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00" w:type="dxa"/>
            <w:vAlign w:val="bottom"/>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 Using:</w:t>
            </w: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there were no assets or liabilities that are measured at fair value on a recurring basis.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Money market funds are valued by the Company based on quoted market prices, which represent a Level 1 measurement within the fair value hierarchy.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held a restricted investment of $0 and $1,401, respectively, which represents a certificate of deposit that is classified as Level 2 in the fair value hierarchy.</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Level 3 financial liabilities as of December 31, 2023 consisted of the warrant liabilities for which there is no current market such that the determination of fair value requires significant judgment or estimation. Changes in fair value measurements categorized within Level 3 of the fair value hierarchy were analyzed each period based on changes in estimates or assumptions and recorded through other income (expense). The Company used a Monte-Carlo simulation model which includes the Black-Scholes option pricing model to value the Level 3 warrant liabilities at inception and on each subsequent reporting date. This model incorporates transaction details such as the Company’s stock price, contractual terms of the underlying warrants, maturity, risk free rates, volatility, as well as the term to achievement of estimated sales targets. The unobservable inputs for all of the Level 3 warrant liabilities are volatility and the term to achievement of estimated sales targets. The Company utilized its historical and implied volatility, using its closing common stock prices and market data, to reflect future volatility over the expected term of the warrants. The Company estimated the time to achievement of sales targets of VOWST using information and forecasts generated by the Company in consideration of the terms of the 2021 License Agreement. As of December 31, 2024, given the repayment of the Oaktree Term Loan, the fair value of the warrant liabilities was deemed to be $0.</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Level 3 inputs to the warrant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6644640</wp:posOffset>
            </wp:positionH>
            <wp:positionV relativeFrom="paragraph">
              <wp:posOffset>210185</wp:posOffset>
            </wp:positionV>
            <wp:extent cx="14541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145415" cy="137160"/>
                    </a:xfrm>
                    <a:prstGeom prst="rect">
                      <a:avLst/>
                    </a:prstGeom>
                    <a:noFill/>
                  </pic:spPr>
                </pic:pic>
              </a:graphicData>
            </a:graphic>
          </wp:anchor>
        </w:drawing>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72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4"/>
                <w:szCs w:val="14"/>
                <w:color w:val="auto"/>
              </w:rPr>
            </w:pPr>
          </w:p>
        </w:tc>
      </w:tr>
      <w:tr>
        <w:trPr>
          <w:trHeight w:val="21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101.0 %</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r>
    </w:tbl>
    <w:p>
      <w:pPr>
        <w:spacing w:after="0" w:line="2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year ended December 31, 2024 for liabilities measured at fair value on a recurring basis using significant unobservable inputs (Level 3) is as follows (in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Adjustment to fair value</w:t>
      </w:r>
    </w:p>
    <w:p>
      <w:pPr>
        <w:spacing w:after="0" w:line="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340"/>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(546 )</w:t>
            </w: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720"/>
            <w:col w:w="2500"/>
          </w:cols>
          <w:pgMar w:left="320" w:top="765" w:right="339" w:bottom="1440" w:gutter="0" w:footer="0" w:header="0"/>
          <w:type w:val="continuous"/>
        </w:sectPr>
      </w:pPr>
    </w:p>
    <w:p>
      <w:pPr>
        <w:spacing w:after="0" w:line="10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recurring basis using significant unobservable inputs (Level 3) during the year ended December 31, 2024. There were no transfers between Level 1, Level 2, or Level 3 during the years ended December 31, 2024 and 2023.</w:t>
      </w:r>
    </w:p>
    <w:p>
      <w:pPr>
        <w:spacing w:after="0" w:line="266"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8"/>
          <w:szCs w:val="18"/>
          <w:color w:val="auto"/>
        </w:rPr>
        <w:t>As of December 31, 2024 and 2023, the Company held restricted investments of $0 and $1,401, respectively, the cost of which approximates current fair value. The Company did not hold any other investments as of December 31, 2024 and 2023.</w:t>
      </w:r>
    </w:p>
    <w:p>
      <w:pPr>
        <w:spacing w:after="0" w:line="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Investments with original maturities of less than 90 days are included in cash and cash equivalents on the consolidated balance sheets. Investments with maturities of less than 12 months are considered current assets and those investments with maturities greater than 12 months are considered non-current assets.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78"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32,489</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66,692</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(53,196 )</w:t>
            </w:r>
          </w:p>
        </w:tc>
        <w:tc>
          <w:tcPr>
            <w:tcW w:w="5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(49,078 )</w:t>
            </w:r>
          </w:p>
        </w:tc>
      </w:tr>
      <w:tr>
        <w:trPr>
          <w:trHeight w:val="210"/>
        </w:trPr>
        <w:tc>
          <w:tcPr>
            <w:tcW w:w="61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26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80" w:type="dxa"/>
            <w:vAlign w:val="bottom"/>
            <w:tcBorders>
              <w:top w:val="single" w:sz="8" w:color="CFF0FC"/>
            </w:tcBorders>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-453390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-453390</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Depreciation and amortization expense was $5,468, $6,243 and $6,629 for the years ended December 31, 2024, 2023 and 2022, respectively, which includes amounts related to both continuing and discontinued operations. During the years ended December 31, 2024 and 2023, the Company disposed of certain fully-depreciated assets with a cost basis of $679 and $145, respectively. In addition, during the year ended December 31, 2024, the Company recorded an impairment loss of $1,536 related to leasehold improvements at one of the Company's locations for which impairment indicators were determined to exist as of December 31, 2024.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details.</w:t>
      </w:r>
    </w:p>
    <w:p>
      <w:pPr>
        <w:spacing w:after="0" w:line="368"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7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shd w:val="clear" w:color="auto" w:fill="CFF0FC"/>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quality costs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tcPr>
          <w:p>
            <w:pPr>
              <w:spacing w:after="0"/>
              <w:rPr>
                <w:sz w:val="18"/>
                <w:szCs w:val="18"/>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80" w:type="dxa"/>
            <w:vAlign w:val="bottom"/>
            <w:shd w:val="clear" w:color="auto" w:fill="CFF0FC"/>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18"/>
                <w:szCs w:val="18"/>
                <w:color w:val="auto"/>
              </w:rPr>
            </w:pPr>
          </w:p>
        </w:tc>
      </w:tr>
      <w:tr>
        <w:trPr>
          <w:trHeight w:val="250"/>
        </w:trPr>
        <w:tc>
          <w:tcPr>
            <w:tcW w:w="6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real estate, primarily laboratory, office and manufacturing space. The Company’s leases have remaining terms ranging from approximately one to eight years. Certain leases include one or more options to renew, exercisable at the Company’s sole discretion, with renewal terms that can extend the lease from approximately one year to ten years. The Company evaluated the renewal options in its leases to determine if it was reasonably certain that the renewal option would be exercised,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2024, the Company entered into a sublease agreement with an unrelated third party to sublease a portion of its office and laboratory space in Cambridge, Massachusetts. The term of the sublease agreement commenced in March 2024 and ends on January 13, 2030. The Company will receive lease payments over the sublease term totaling $10,400. The sublessee is obligated to pay all real estate taxes and costs related to the subleased premises, including cost of operations, maintenance, repair, replacement and property management. Sublease income is recorded as Other (expense) income, net in the Company’s consolidated statements of operations and comprehensive income (loss).</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identified an indicator of impairment of its donor collection facility in Cambridge, Massachusetts, as the facility is no longer being used by the Company as a result of operational efficiencies implemented related to the production process and is being marketed for sublease. The Company determined that this represents a significant adverse change in the extent in which the long-lived asset was being used. The Company determined that the location contains multiple asset groups for the purpose of the long-lived asset impairment assessment. The Company concluded that the carrying value of each asset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group was not recoverable as it exceeded the future net undiscounted cash flows that are expected to be generated from the assets within the asset group. In the first quarter of 2024, the Company recognized an impairment loss of $3,267, consisting of $1,731 on the operating lease right-of-use asset and $1,536 on the leasehold improvements. $2,727 of the total impairment loss is included in research and development expenses and the remaining $540 is included in general and administrative expenses in the accompanying consolidated statements of operations and comprehensive income (loss).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consolidated balance sheets of its operating leases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88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Variable lease costs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Sublease income</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r>
      <w:tr>
        <w:trPr>
          <w:trHeight w:val="243"/>
        </w:trPr>
        <w:tc>
          <w:tcPr>
            <w:tcW w:w="2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8"/>
        </w:trPr>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34"/>
        </w:trPr>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(2,708 )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-779145</wp:posOffset>
            </wp:positionV>
            <wp:extent cx="641223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-471170</wp:posOffset>
            </wp:positionV>
            <wp:extent cx="641223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-162560</wp:posOffset>
            </wp:positionV>
            <wp:extent cx="6412230"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765" w:right="339" w:bottom="1440" w:gutter="0" w:footer="0" w:header="0"/>
          <w:type w:val="continuous"/>
        </w:sectPr>
      </w:pPr>
    </w:p>
    <w:p>
      <w:pPr>
        <w:spacing w:after="0" w:line="65"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made cash payments for operating leases of $17,330, $15,656 and $7,809,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future payments of operating lease liabilities are as follows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9"/>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top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10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10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36,850</w:t>
            </w:r>
          </w:p>
        </w:tc>
        <w:tc>
          <w:tcPr>
            <w:tcW w:w="100" w:type="dxa"/>
            <w:vAlign w:val="bottom"/>
          </w:tcPr>
          <w:p>
            <w:pPr>
              <w:spacing w:after="0"/>
              <w:rPr>
                <w:sz w:val="18"/>
                <w:szCs w:val="18"/>
                <w:color w:val="auto"/>
              </w:rPr>
            </w:pPr>
          </w:p>
        </w:tc>
      </w:tr>
      <w:tr>
        <w:trPr>
          <w:trHeight w:val="210"/>
        </w:trPr>
        <w:tc>
          <w:tcPr>
            <w:tcW w:w="8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future payments of operating lease liabilities</w:t>
            </w:r>
          </w:p>
        </w:tc>
        <w:tc>
          <w:tcPr>
            <w:tcW w:w="62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137,851</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(46,211 )</w:t>
            </w:r>
          </w:p>
        </w:tc>
      </w:tr>
      <w:tr>
        <w:trPr>
          <w:trHeight w:val="250"/>
        </w:trPr>
        <w:tc>
          <w:tcPr>
            <w:tcW w:w="8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620" w:type="dxa"/>
            <w:vAlign w:val="bottom"/>
            <w:tcBorders>
              <w:top w:val="single" w:sz="8" w:color="auto"/>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weighted average remaining lease term was 6.98 years and the weighted average incremental borrowing rate used to determine the operating lease liability was 13%. As of December 31, 2023, the weighted average remaining lease term was 7.95 years and the weighted average incremental borrowing rate used to determine the operating lease liability was 13%.</w:t>
      </w:r>
    </w:p>
    <w:p>
      <w:pPr>
        <w:spacing w:after="0" w:line="280"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27, 2023 (the “Oaktree Closing Date”), the Company entered into the Credit Agreement and Guaranty (the “Oaktree Credit Agreement”) among the Company, the subsidiary guarantors from time to time party thereto, the lenders from time to time party thereto (the “Lenders”), and Oaktree Fund Administration, LLC, in its capacity as administrative agent for the Lenders (in such capacity, the “Agent”). The Oaktree Credit Agreement established a term loan facility of $250,000 (the “Oaktree Term Loan”) consisting of (i) $80,000 (“Tranche A-1”) and (ii) $30,000 (“Tranche A-2” and collectively, “Tranche A Loan”), funded on the Oaktree Closing Date. The Oaktree Term Loan also consisted of (i) $45,000 (the “Tranche B Loan”), (iii) $45,000 (the “Tranche C Loan”), and (iv) $50,000 (the “Tranche D Loan”), which were available upon satisfaction of certain conditions or in Oaktree’s sole discretion, but were not drawn before the extinguishment of the Oaktree Term Loan. The Oaktree Term Loan had a maturity date of April 27, 2029 (the “Maturity 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Of the $110,000 Tranche A Loan advanced by the Lenders at closing, approximately $53,380 repaid the Company’s then existing credit facility with Hercules Capital, Inc. ("Hercules"). After deducting other transaction expenses and fees, the Company received net proceeds of approximately $50,446. The Company accounted for the repayment of the credit facility with Hercules as an extinguishment in accordance with the guidance in ASC 470-50, and recognized a loss on extinguishment of $1,625 in other income (expense) in the accompanying consolidated statements of operations and comprehensive loss for the year ended December 31, 2023.</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Borrowings under the Oaktree Term Loan bore interest at a rate per annum equal to the three-month term Secured Overnight Financing Rate (“SOFR”) (subject to a 2.50% floor and a 5.00% cap), plus an applicable margin of 7.875%, payable quarterly in arrears. The Company was required to make quarterly interest-only payments on the Oaktree Term Loan for the first three years after the Oaktree Closing Date. The Company was obligated to pay the Lenders an exit fee equal to 1.50% of the aggregate amount of the Oaktree Term Loan funded, such exit fee was due and paid upon the prepayment of the outstanding Oaktree Term Loan. Such payment was subject to a customary make-whole for the first two years following the Closing Date plus 4.0% of the principal amount of the Oaktree Term Loan prepaid.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the Oaktree Closing Date, the Company issued to the Lenders warrants to purchase 647,589 shares (subject to certain adjustments) of the Company’s common stock (the “Tranche A Warrant”), at an exercise price per share of $6.69. The Tranche A Warrant is immediately exercisable and the exercise period expires on April 26, 2030. Upon the funding of each of the Tranche B Loan and the Tranche C Loan, the Company was required to issue to the Lenders warrants to purchase 264,922 shares (subject to certain adjustments) of the Company’s common stock on each such funding date at an exercise price equal to the trailing volume weighted average price of the Company’s common stock for the 30 trading days prior to the funding date for each tranche (the “Tranche B Warrant” and the “Tranche C Warrant,” respectively, and together the “Additional Warrants”).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determined that the Tranche A Loan, the Tranche A Warrant, the commitment by the Lenders to fund the Tranche B Loan and the Tranche C Loan, and the Tranche B Warrant and Tranche C Warrant, are all freestanding financial instruments. On the Oaktree Closing Date, the Company evaluated the Tranche A Warrant and determined that it meets the requirements for equity classification under ASC 815, Derivatives and Hedging (“ASC 815”). The net proceeds from the Tranche A Loan were allocated to the Tranche A Warrant and the Tranche A Loan using the relative fair value method, and the relative fair value of the Tranche A Warrant, $2,785, is recorded as an increase to additional paid-in-capital on the consolidated statements of stockholder’s equity (deficit), and as a discount to the Tranche A Loan that will be amortized over the life of the Tranche A Loan using the effective interest method. The Company used the Black-Scholes option pricing model to determine the fair value of the Tranche A Warrant. Assumptions used in the Black-Scholes model included the fair market value per share of common stock on the valuation date of $5.32, the exercise price per warrant equal to $6.69, the expected volatility of 111.6%, the risk-free interest rate of 3.57%, the expected term of 7 years and the absence of a dividend.</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Additional Warrants were considered outstanding instruments at the Oaktree Closing Date of the Oaktree Credit Agreement and in accordance with ASC 815, were initially recognized at their respective fair values as derivative liabilities given the variable settlement amount of their respective aggregate exercise prices. The Company adjusted the carrying values of the Additional Warrants to their respective fair values at each reporting period, until such time that the Additional Warrants were issued and their respective exercise prices became fixed, and the value of the Additional Warrants was reclassified to additional paid-in capital. The Company used a simulation model to determine the fair value of the Additional Warrants, 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 of December 31, 2024, given the Transaction and the repayment of the Oaktree Term Loan, the probability of drawing the Tranche B and C Loans that would trigger the issuance of these warrants was deemed to be remote. As a result, the fair value of Tranche B and C Warrants was deemed to be $0. The fair value of the Tranche B Warrant and Tranche C Warrant derivative liabilities was $276 and $270 as of December 31, 2023, respectively.</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Changes in the fair values of the Additional Warrants were recorded as other income (expense) in the consolidated statements of operations and comprehensive income (loss). In addition to the relative fair value of the Tranche A Warrant, the original issue discount and certain debt issuance costs were recorded as a discount to the Tranche A Loan, the total of which will be accreted to the Tranche A Loan as interest expense over the life of the Tranche A Loan using the effective interest method. The fair values of the derivative liabilities associated with the Tranche B Warrant and Tranche C Warrant are recorded as loan commitment prepaid assets on the Oaktree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Closing Date, which are included in the consolidated balance sheets in other non-current assets, and will be reclassified as discounts to the associated Oaktree Term Loan balances at such time that they are drawn.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carrying value of the Term Loan was $101,544, which was classified as a long-term liability on the consolidated balance sheets.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$2,468 of interest expense related to the Loan and Security Agreement with Hercules, which is reflected in interest expense on the consolidated statements of operations and comprehensive income (loss).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On September 30, 2024, in connection with the sale of the VOWST Business to SPN, the Company terminated and prepaid in full all outstanding amounts due under the Oaktree Credit Agreement. The Company paid $127,905 to Oaktree, representing $110,000 of principal, $3,698 of accrued interest, $12,457 of yield protection premium, $1,650 in exit fee, and $100 in third-party fees and expenses. In connection with the termination and repayment in full of all outstanding amounts under the Oaktree Credit Agreement, Oaktree terminated and released its liens and security interests in the collateral securing the Company's obligations under the Credit Agreement. </w:t>
      </w:r>
      <w:r>
        <w:rPr>
          <w:rFonts w:ascii="Times New Roman" w:cs="Times New Roman" w:eastAsia="Times New Roman" w:hAnsi="Times New Roman"/>
          <w:sz w:val="18"/>
          <w:szCs w:val="18"/>
          <w:color w:val="000000"/>
        </w:rPr>
        <w:t>The Company accounted for the repayment of the Oaktree Term Loan as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extinguishment in accordance with the guidance in ASC 470-50, and recognized a loss associated with the extinguishment of $23,351 in other (expense) income, net in the accompanying consolidated statements of operations and comprehensive income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 and Stock-Based Awards</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212529"/>
        </w:rPr>
        <w:t>On September 30, 2024, the Company entered into the Securities Purchase Agreement with SPN, pursuant to which SPN purchased 14,285,715 shares at the Closing at a purchase price per share of $1.05, for an aggregate purchase price of $15,000. Under the terms of the Securities Purchase Agreement, SPN has agreed not to sell or transfer the shares for a period of six months after Closing, subject to certain customary exceptions. The Company agreed to register the resale of the Shares by SPN within 90 days of Closing. On October 1, 2024, the Company filed a registration statement to register the Shares, which became effective on October 11, 2024. In addition, under the terms of the Securities Purchase Agreement, for as long as SPN, together with its affiliates, beneficially owns at least 10% of the Company's outstanding shares of common stock, the Company has agreed to take such action within its control to include one individual designated by SPN in the slate of nominees recommended by the Company's board of directors (or the applicable committee of the board) to the Company's stockholders for election to the board at the applicable stockholder meeting. The Securities Purchase Agreement contains customary representations and warranties and closing conditions. The aggregate fair value of $13,516 for the common stock issued to SPN was recorded in equity, with the remaining $1,484 cash received from SPN under the Securities Purchase Agreement allocated to the consideration transferred for the VOWST Business.</w:t>
      </w:r>
    </w:p>
    <w:p>
      <w:pPr>
        <w:spacing w:after="0" w:line="8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22, 2024, the Company’s board of directors adopted a resolution to amend the Restated Certificate of Incorporation, subject to stockholder approval, by increasing the number of authorized shares of the Company’s Common Stock from 240,000,000 shares to 360,000,000 shares (the “Share Increase Amendment”). At the Company’s annual meeting of stockholders held on April 4, 2024, the Company’s stockholders approved the Share Increase Amendment. On April 5, 2024, the Company amended its Restated Certificate of Incorporation to reflect the Share Increase Amendment.</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 Sales Agreement (the "Sales Agreement") with Cowen and Company, LLC ("Cowen") to sell shares of the Company's common stock, with aggregate gross sales proceeds of up to $150,000, from time to time, through an "at-the-market" equity offering program ("ATM") under which Cowen acts as sales agent. During the year ended December 31, 2024, the Company sold 20,617,028 shares of common stock under the 2021 Sales Agreement, at an average price of approximately $1.18 per share, raising aggregate net proceeds of approximately $23,530 after deducting an aggregate commission of approximately 3% and other issuance costs. During the year ended December 31, 2023, the Company sold 7,711,199 shares of common stock under the 2021 Sales Agreement, at an average price of approximately $2.46 per share, raising aggregate net proceeds of approximately $18,159 after deducting an aggregate commission of approximately 3% and other issuance costs. During the year ended December 31, 2021, the Company did not sell any shares of common stock under the 2020 Sales Agreement or the 2021 Sales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Between December 31, 2024 and January 31, 2025, the Company sold 1,096,134 shares of common stock under the 2021 Sales Agreement, at an average price of approximately $0.93 per share, raising aggregate net proceeds of approximately $996 after deducting an aggregate commission of approximately 3% and other issuance costs.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29, 2022, the Company entered into securities purchase agreements with new and existing investors and certain directors and officers in a registered direct offering, or the Registered Direct Offering, of an aggregate of 31,746,030 shares of its common stock at a purchase price of $3.15 per share for total net proceeds of approximately $96,721, after deducting placement agent’s fees and other estimated offering expenses. Net proceeds included an aggregate of $27,525 received from Flagship Pioneering Fund VII, L.P. and Nutritional Health LTP Fund, L.P., affiliates of Flagship Pioneering, or Flagship, one of its significant stockholders, in exchange for 8,738,243 shares. The closing date of the Registered Direct Offering was July 5,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Stock Incentive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2012 Plan generally vest over four years and expire after ten years, although options have been granted with vesting terms less than four years. As of December 31, 2024, there were no shares available for future grant under the 2012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Incentive Award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Incentive Award Plan (the “2015 Plan”), which became effective on June 25, 2015. The 2015 Plan was subsequently amended on December 14, 2022, and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awards granted under the 2015 Plan generally vest over four years and expire after ten years, although options have been granted with vesting terms less than four years. As of December 31, 2024, there were 4,925,721 shares available for future grant under the 2015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automatically increase on the first day of each calendar year, beginning in 2016 and ending in 2025, by an amount equal to the lesser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During the year ended and as of December 31, 2024, there were 588,435 shares issued and 2,078,077 shares were reserved and available for issuance under the ESPP, respectively.</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ESPP provides that eligible employees may contribute up to 15% of their eligible earnings toward the semi-annual purchase of the Company's common stock. Purchase rights issued under the ESPP are intended to be qualified under Section 423 of the Internal Revenue Code ("IRC").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at the commencement of the applicable six-month offering period or (ii) the fair market value of the Company's common stock on the purchase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Employment Inducement Award Plan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14, 2022, the Company’s board of directors approved the 2022 Employment Inducement Award Plan (the "2022 Plan"), which became effective on such date without stockholder approval pursuant to Rule 5635(c)(4) of The Nasdaq Stock Market LLC listing rules (“Rule 5635(c)</w:t>
      </w:r>
    </w:p>
    <w:p>
      <w:pPr>
        <w:jc w:val="both"/>
        <w:spacing w:after="0" w:line="251" w:lineRule="auto"/>
        <w:rPr>
          <w:sz w:val="20"/>
          <w:szCs w:val="20"/>
          <w:color w:val="auto"/>
        </w:rPr>
      </w:pPr>
      <w:r>
        <w:rPr>
          <w:rFonts w:ascii="Times New Roman" w:cs="Times New Roman" w:eastAsia="Times New Roman" w:hAnsi="Times New Roman"/>
          <w:sz w:val="18"/>
          <w:szCs w:val="18"/>
          <w:color w:val="auto"/>
        </w:rPr>
        <w:t>(4)”). The 2022 Plan provides for the grant of nonqualified stock options, stock appreciation rights, restricted stock awards, restricted stock units and other stock- or cash-based awards. In accordance with Rule 5635(c)(4), awards under the 2022 Plan may only be made to a newly hired employee who has not previously been a member of our board of directors, or an employee who is being rehired following a bona fide period of non-employment by us as a material inducement to the employee’s entering into employment with us. A total of 2,500,000 shares of common stock were reserved for issuance under the 2022 Plan. Any shares subject to awards previously granted under the 2022 Plan that expire, terminate or are otherwise surrendered, canceled, or forfeited in any case, in a manner that results in the Company acquiring the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2022 Plan.</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there were 1,696,205 shares available for future grant under the 2022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2024:</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14,844,112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7,817,641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(4,941,438 )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17,720,315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Vested or expected to vest as of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17,720,315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9,850,537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December 31, 2024, 2023, and 2022 was $0.93, $4.51, and $5.53 per share, respectively. The total intrinsic value of stock options exercised during the years ended December 31, 2024, 2023, and 2022 was $0, $438, and $981,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performance-based stock options to employees for the purchase of an aggregate of 562,000 shares of common stock with a grant date fair value of $5.53 per share. These stock options are exercisable only upon achievement of specified performance targets. In April 2023, the performance target associated with 50% of the performance-based stock options was achieved. Accordingly, the Company recorded $8 and $2,051 of compensation expense during the year ended December 31, 2024 and 2023, respectively, with respect to these performance-based stock options, which represents a cumulative catch-up from the grant date through the achievement of the performance targets, and vesting of the remaining 50% of the options beginning in April 2023. The remaining compensation expense associated with these performance-based stock options was recognized as of April 2024, for all such options for which ongoing performance targets were achieved and service requirements were met.</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stock options to certain executives for the purchase of an aggregate of 2,550,010 shares of common stock. These awards will vest only to the extent that the 30-day trailing simple average public market closing price of the Company's common stock reaches certain price thresholds. These awards have an exercise price of $1.10 and vest and become exercisable when the market conditions are satisfied or, if later, on the first anniversary of the grant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These awards expire 10 years from the date of grant. The fair value of these market-based stock options was estimated using a Monte Carlo valuation method. During the twelve months ended December 31, 2024, the Company recognized $775 of compensation expense related to these awards.</w:t>
      </w:r>
    </w:p>
    <w:p>
      <w:pPr>
        <w:spacing w:after="0" w:line="14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forfeitures primarily consisted of the unvested options of certain employees of the Company related to the VOWST Business who accepted employment with SPN or one of its designated affiliates that were forfeited upon transfer.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 ("RSUs") and restricted stock units with performance-based vesting conditions ("PSUs"). RSUs and PSUs represent the right to receive shares of common stock upon meeting specified vesting requirements. Restricted stock units may not be sold or transferred by the holder and vest according to the vesting conditions of each award. The table below summarizes the Company’s RSU and PSU activity for the year ended December 31, 2024: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2023</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3,377,804</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1,503,127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(1,053,587 )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(2,195,572 )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2024</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1,631,772</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granted 1,503,127, 3,101,764 and 1,302,844 RSUs, respectively. During the year ended December 31, 2024, 2023, and 2022, the Company granted 0, 1,322,715, and 0 PSUs, respectively. RSUs generally vest over four years, with 25% vesting after one year, and the remaining 75% vesting quarterly over the next 3 years, subject to continued service to the Company through the applicable vesting date. PSUs vest according to the performance requirements of the awards, generally when the Company has determined that the specified performance targets have been achieved.</w:t>
      </w:r>
    </w:p>
    <w:p>
      <w:pPr>
        <w:spacing w:after="0" w:line="183" w:lineRule="exact"/>
        <w:rPr>
          <w:sz w:val="20"/>
          <w:szCs w:val="20"/>
          <w:color w:val="auto"/>
        </w:rPr>
      </w:pPr>
    </w:p>
    <w:p>
      <w:pPr>
        <w:jc w:val="both"/>
        <w:ind w:right="20" w:firstLine="509"/>
        <w:spacing w:after="0" w:line="313" w:lineRule="auto"/>
        <w:rPr>
          <w:sz w:val="20"/>
          <w:szCs w:val="20"/>
          <w:color w:val="auto"/>
        </w:rPr>
      </w:pPr>
      <w:r>
        <w:rPr>
          <w:rFonts w:ascii="Times New Roman" w:cs="Times New Roman" w:eastAsia="Times New Roman" w:hAnsi="Times New Roman"/>
          <w:sz w:val="18"/>
          <w:szCs w:val="18"/>
          <w:color w:val="auto"/>
        </w:rPr>
        <w:t>The aggregate intrinsic value of RSUs, including PSUs for which the performance conditions have been met, that vested during the years ended December 31, 2024, 2023 and 2022 was $1,899, $4,729, and $1,809, respectively.</w:t>
      </w:r>
    </w:p>
    <w:p>
      <w:pPr>
        <w:spacing w:after="0" w:line="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as part of the corporate restructuring described in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the Company issued retention awards to employees of the Company in the form of RSUs which vested as to the first tranche on August 15, 2024, and which will vest as to the second tranche on May 15, 2025, subject to remaining actively employed with the Company through such date. The compensation expense associated with these awards will be recognized ratably over the vesting period. For the years ended December 31, 2024 and 2023, the Company recognized $655 and $92, respectively, in compensation expense with respect to the retention awards.</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PSUs to employees for the purchase of an aggregate of 1,322,715 shares of common stock with a grant date fair value of $5.50. These PSUs begin to vest ratably only upon achievement of specified performance targets, which were achieved in April 2023. Accordingly, the Company recorded $792 and $4,293 in compensation expense during the year ended December 31, 2024 and 2023, respectively, with respect to these PSUs. The remaining compensation expense associated with these PSUs was fully recognized as of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Valuation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directors were as follows, presented on a weighted average basis:</w:t>
      </w:r>
    </w:p>
    <w:p>
      <w:pPr>
        <w:spacing w:after="0" w:line="15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57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3.64 %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1.67 %</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76.2 %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107.2 %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104.0 %</w:t>
            </w: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rights to acquire common stock under the ESPP using a Black-Scholes valuation model on the date of grant and the straight-line attribution approach to recognize the expense. The assumptions that the Company used to determine the fair value of rights to acquire common stock under the ESPP were as follows, presented on a weighted average basis:</w:t>
      </w:r>
    </w:p>
    <w:p>
      <w:pPr>
        <w:spacing w:after="0" w:line="16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210"/>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5.16 %</w:t>
            </w:r>
          </w:p>
        </w:tc>
        <w:tc>
          <w:tcPr>
            <w:tcW w:w="10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5.01 %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118.3 %</w:t>
            </w:r>
          </w:p>
        </w:tc>
        <w:tc>
          <w:tcPr>
            <w:tcW w:w="10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79.1 %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0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stock units in the following expense categories of its consolidated statements of operations and comprehensive income (loss):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34,101</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an aggregate of $15,335 of unrecognized stock-based compensation cost, which is expected to be recognized over a weighted average period of 3.7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attributable to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(125,771 )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(190,130 )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(183,581 )</w:t>
            </w:r>
          </w:p>
        </w:tc>
        <w:tc>
          <w:tcPr>
            <w:tcW w:w="0" w:type="dxa"/>
            <w:vAlign w:val="bottom"/>
          </w:tcPr>
          <w:p>
            <w:pPr>
              <w:spacing w:after="0"/>
              <w:rPr>
                <w:sz w:val="1"/>
                <w:szCs w:val="1"/>
                <w:color w:val="auto"/>
              </w:rPr>
            </w:pPr>
          </w:p>
        </w:tc>
      </w:tr>
      <w:tr>
        <w:trPr>
          <w:trHeight w:val="198"/>
        </w:trPr>
        <w:tc>
          <w:tcPr>
            <w:tcW w:w="544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(loss) from discontinuing operations attributable to</w:t>
            </w:r>
          </w:p>
        </w:tc>
        <w:tc>
          <w:tcPr>
            <w:tcW w:w="2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8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spacing w:after="0"/>
              <w:rPr>
                <w:sz w:val="17"/>
                <w:szCs w:val="17"/>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240" w:type="dxa"/>
            <w:vAlign w:val="bottom"/>
            <w:shd w:val="clear" w:color="auto" w:fill="CFF0FC"/>
          </w:tcPr>
          <w:p>
            <w:pPr>
              <w:spacing w:after="0"/>
              <w:rPr>
                <w:sz w:val="17"/>
                <w:szCs w:val="17"/>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(66,576 )</w:t>
            </w:r>
          </w:p>
        </w:tc>
        <w:tc>
          <w:tcPr>
            <w:tcW w:w="0" w:type="dxa"/>
            <w:vAlign w:val="bottom"/>
          </w:tcPr>
          <w:p>
            <w:pPr>
              <w:spacing w:after="0"/>
              <w:rPr>
                <w:sz w:val="1"/>
                <w:szCs w:val="1"/>
                <w:color w:val="auto"/>
              </w:rPr>
            </w:pPr>
          </w:p>
        </w:tc>
      </w:tr>
      <w:tr>
        <w:trPr>
          <w:trHeight w:val="221"/>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28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(113,724 )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(250,157 )</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155,400,760</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128,003,294</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108,077,043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54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from continuing operations per share attributable to common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(0.81 )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198"/>
        </w:trPr>
        <w:tc>
          <w:tcPr>
            <w:tcW w:w="5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discontinued operations per share attributable to</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potential common stock equivalents excluded from the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calculation of net (loss) income per share: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17,720,315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14,844,112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14,940,034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3,377,804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143,214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297,784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1,177,433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-2265680</wp:posOffset>
            </wp:positionV>
            <wp:extent cx="596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-2265680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-2265680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-1691005</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-1691005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-1691005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utilizes the control number concept in the computation of diluted earnings per share to determine whether potential common stock equivalents are dilutive. The control number used is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Since the Company had a net loss from continuing operations for all periods presented, no dilutive effect has been recognized in the calculation of income from discontinued operations per share. Therefore, the weighted average number of common shares outstanding used to calculate both basic and diluted net loss per share attributable to common stockholders is the same.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unvested restricted common stock and shares issuable under the 2015 Employee Stock Purchase Plan, have been excluded from the computation of diluted net loss per share as the effect would be to reduce the net loss per share and therefore been anti-dilutive. Additionally, for the years ended December 31, 2024 and 2023, the warrants to purchase common stock were excluded because the exercise price of the Tranche A Warrants was greater than the average fair value of the Company's common shares, and the necessary conditions for exercise of the Tranche B and Tranche C Warrants had not been met.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2, 2023, the Company announced a restructuring plan to prioritize the commercialization of VOWST and the completion of the SER-155 Phase 1b study, while significantly reducing costs and supporting longer-term business sustainability. The restructuring plan included (i) a reduction of the Company’s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restructuring charge of $5,606, which was incurred entirely in the fourth quarter of 2023, and which represents all restructuring charges expected to be incurred. $3,481 of the total restructuring charges was included in research and development expenses and the remaining $2,125 in general and administrative expenses in the accompanying consolidated statements of operations and comprehensive income (loss) for the year ended December 31, 2023. Restructuring charges included approximately $5,345 of employee related termination costs in the form of salary continuation and cash severance payments, and $261 related to the acceleration of vesting of certain previously granted RSUs and PSUs.</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unpaid restructuring charge is included in accrued expenses and other current liabilities in the Company’s consolidated balance sheets. The following table presents changes in the restructuring liability for the year ended December 31, 2024 (in thousands):</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1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(261 )</w:t>
            </w:r>
          </w:p>
        </w:tc>
      </w:tr>
      <w:tr>
        <w:trPr>
          <w:trHeight w:val="216"/>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made</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(5,325 )</w:t>
            </w:r>
          </w:p>
        </w:tc>
      </w:tr>
      <w:tr>
        <w:trPr>
          <w:trHeight w:val="209"/>
        </w:trPr>
        <w:tc>
          <w:tcPr>
            <w:tcW w:w="8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Remaining liability included in 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expects the remaining accrued restructuring charges to be paid in cash by March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Awards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upon recommendation of the Company's Compensation Committee, the Board of Directors approved retention awards for employees of the Company in the form of RSUs, which vested as to the first tranche on August 15, 2024, and which will vest as to the second tranche on May 15, 2025, subject to remaining actively employed with the Company through such date. The $1,255 in compensation expense associated with these awards will be recognized ratably over the vesting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discussion of the commitments associated with the Company’s lease portfolio.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2024 or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did not accrue any liabilities related to legal contingencies in its consolidated financial statements as of December 31, 2024 or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no income tax benefits for the net operating losses incurred in each year or interim period, due to its uncertainty of realizing a benefit from those items.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9"/>
        </w:trPr>
        <w:tc>
          <w:tcPr>
            <w:tcW w:w="4960" w:type="dxa"/>
            <w:vAlign w:val="bottom"/>
          </w:tcPr>
          <w:p>
            <w:pPr>
              <w:spacing w:after="0"/>
              <w:rPr>
                <w:sz w:val="16"/>
                <w:szCs w:val="16"/>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40" w:type="dxa"/>
            <w:vAlign w:val="bottom"/>
            <w:tcBorders>
              <w:bottom w:val="single" w:sz="8" w:color="auto"/>
            </w:tcBorders>
          </w:tcPr>
          <w:p>
            <w:pPr>
              <w:jc w:val="right"/>
              <w:ind w:right="252"/>
              <w:spacing w:after="0" w:line="18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(1)</w:t>
            </w:r>
          </w:p>
        </w:tc>
        <w:tc>
          <w:tcPr>
            <w:tcW w:w="320" w:type="dxa"/>
            <w:vAlign w:val="bottom"/>
          </w:tcPr>
          <w:p>
            <w:pPr>
              <w:spacing w:after="0"/>
              <w:rPr>
                <w:sz w:val="16"/>
                <w:szCs w:val="16"/>
                <w:color w:val="auto"/>
              </w:rPr>
            </w:pPr>
          </w:p>
        </w:tc>
        <w:tc>
          <w:tcPr>
            <w:tcW w:w="1040" w:type="dxa"/>
            <w:vAlign w:val="bottom"/>
            <w:tcBorders>
              <w:bottom w:val="single" w:sz="8" w:color="auto"/>
            </w:tcBorders>
          </w:tcPr>
          <w:p>
            <w:pPr>
              <w:jc w:val="right"/>
              <w:ind w:right="232"/>
              <w:spacing w:after="0" w:line="189" w:lineRule="exact"/>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(21.0 )%</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(1.8 )</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(3.6 )</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(7.2 )</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r>
      <w:tr>
        <w:trPr>
          <w:trHeight w:val="21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Uncertain tax position reserves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(0.4 )</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-1242060</wp:posOffset>
            </wp:positionV>
            <wp:extent cx="23914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1543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1543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1543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83" w:lineRule="exact"/>
        <w:rPr>
          <w:sz w:val="20"/>
          <w:szCs w:val="20"/>
          <w:color w:val="auto"/>
        </w:rPr>
      </w:pPr>
    </w:p>
    <w:p>
      <w:pPr>
        <w:ind w:left="760" w:right="4140" w:hanging="752"/>
        <w:spacing w:after="0" w:line="374" w:lineRule="auto"/>
        <w:tabs>
          <w:tab w:leader="none" w:pos="182"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Prior period amounts have been retrospectively adjusted to reflect the effects of the Transaction. Net deferred tax assets as of December 31, 2024 and 2023 consisted of the following:</w:t>
      </w:r>
    </w:p>
    <w:p>
      <w:pPr>
        <w:spacing w:after="0" w:line="5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156,157</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142,506</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52,843</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capitalized research and development expenses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55,572</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25,898</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Section 163(j) limitation</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330,857</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341,974</w:t>
            </w:r>
          </w:p>
        </w:tc>
        <w:tc>
          <w:tcPr>
            <w:tcW w:w="100" w:type="dxa"/>
            <w:vAlign w:val="bottom"/>
          </w:tcPr>
          <w:p>
            <w:pPr>
              <w:spacing w:after="0"/>
              <w:rPr>
                <w:sz w:val="18"/>
                <w:szCs w:val="18"/>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(21,115 )</w:t>
            </w: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(29,165 )</w:t>
            </w:r>
          </w:p>
        </w:tc>
      </w:tr>
      <w:tr>
        <w:trPr>
          <w:trHeight w:val="20"/>
        </w:trPr>
        <w:tc>
          <w:tcPr>
            <w:tcW w:w="5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(21,115 )</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(29,165 )</w:t>
            </w:r>
          </w:p>
        </w:tc>
      </w:tr>
      <w:tr>
        <w:trPr>
          <w:trHeight w:val="20"/>
        </w:trPr>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(309,742 )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(312,809 )</w:t>
            </w:r>
          </w:p>
        </w:tc>
      </w:tr>
      <w:tr>
        <w:trPr>
          <w:trHeight w:val="210"/>
        </w:trPr>
        <w:tc>
          <w:tcPr>
            <w:tcW w:w="53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-1028065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-1028065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-462280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-462280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$50,562 and $102,558 for the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ended December 31, 2024 and 2023, respectively. The Company will amortize these costs for tax purposes over five years if the research and development was performed in the U.S. and over 15 years if the research and development was performed outside the U.S.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net operating loss carryforwards (“NOLs”) for federal and state income tax purposes of $580,084 and $543,618, respectively. Federal NOLs of $117,788, generated before 2018, will begin expiring in varying amounts in 2035 unless utilized. The remaining federal NOLs of $462,296, generated after 2017, will be carried forward indefinitely and could be used to offset up to 80% of taxable income in future tax years. The Company's state NOLs will expire at various times starting in 2035. As of December 31, 2024, the Company also had available gross research and development tax credit carryforwards for federal and state income tax purposes of $55,674 and $11,957, respectively, which begin to expire in 2031 and 2028, respectively. The federal research and development tax credits include an orphan drug credit carryforward of $25,876.</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NOLs and research and development tax credit carryforwards may be subject to a substantial annual limitation under Sections 382 and 383 of the IRC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may have resulted in a change of control or could result in a change of control in the future upon subsequent disposition. The Company conducted an analysis to determine if historical changes in ownership through December 31, 2020 would limit or otherwise restrict its ability to utilize these NOLs and research and development credit carryforwards. As a result of this analysis, the Company does not believe there are any significant limitations on its ability to utilize these carryforwards. However, future changes in ownership after December 31, 2020 could affect the limitation in future years. Any limitation may result in expiration of a portion of the NOLs or research and development credit carryforwards before utilization.</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2024 and 2023. Management reevaluates the positive and negative evidence at each reporting period.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2024, 2023 and 2022 related primarily to the increases in NOLs, research and development tax credit carryforwards and capitalized research and development expenses pursuant to IRC Section 174, and stock-based compensation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(312,809 )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(277,370 )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(220,114 )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(35,439 )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(57,256 )</w:t>
            </w: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(309,742 )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(312,809 )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(277,370 )</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Internal Revenue Service ("IRS") concluded their examination of the Company for the period ended December 31, 2018 related to the Company's 2018 research and development tax credits ("R&amp;D Credit(s)"). The Company has adjusted its 2018 R&amp;D Credits and its overall federal and state R&amp;D Credit carryforward balance from the Company's inception to December 31, 2024 to account for the conclusions drawn by the IRS. Also, the Company has reviewed each of its overall filing positions since inception and has not identified any additional positions that do not meet the more likely than not threshold. The Company does not anticipate a material change to its uncertain tax position reserves in the next 12 months. The changes in the Company's unrecognized tax benefits for the years ended December 31, 2024, 2023, and 2022 were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Increase in unrecognized tax benefits as a result of tax positions taken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year</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Pr>
          <w:p>
            <w:pPr>
              <w:spacing w:after="0"/>
              <w:rPr>
                <w:sz w:val="20"/>
                <w:szCs w:val="20"/>
                <w:color w:val="auto"/>
              </w:rPr>
            </w:pPr>
          </w:p>
        </w:tc>
      </w:tr>
      <w:tr>
        <w:trPr>
          <w:trHeight w:val="216"/>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Reduction to unrecognized tax benefits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 forwards. This study may result in further adjustment to the Company’s R&amp;D Credits; however, a full valuation allowance has been provided against the Company’s R&amp;D Credits, and if an adjustment is required, this adjustment would be offset by an adjustment to the valuation allowance. Thus, there would be no impact to the consolidated balance sheets or statements of operations if an adjustment were required. The Company had no other unrecognized tax benefits accrued for the years ended December 31, 2024 and 2023, or related interest and penalties as of such dates. The Company will recognize any interest and penalties related to uncertain tax positions in income tax expense.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2011 to present. All years may be examined to the extent the tax credit or net operating loss carryforwards are used in future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1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Nature of the Business and Basis of Presentation</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September 2024, the Company sold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to SPN, and SPN assumed certain liabilities from the Company. As consideration for the Transaction, the Company received an upfront cash payment of $139,788, which consists of $100,000, less $17,857 owed by the Company to an affiliate of SPN under the prior license agreement between the Company and the SPN affiliate, less approximately $2,355 in satisfaction of fees due under the Bacthera Manufacturing Agreement; plus a prepayment of the $60,000 milestone payment tied to the achievement of worldwide annual net sales of VOWST of $150,000; plus an equity investment of $15,000 based on the Securities Purchase Agreement pursuant to which SPN purchased 14,285,715 shares of common stock at a purchase price of $1.05 per share.</w:t>
      </w:r>
    </w:p>
    <w:p>
      <w:pPr>
        <w:spacing w:after="0" w:line="8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the Accrued Liabilities due to SPN - related party on the Company's consolidated balance sheets were $17,750, which represents amounts due to SPN pursuant to the Purchase Agreement, which are further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During the twelve months ended December 31, 2024, the Company paid $9,608 of the outstanding amounts relating to the second and third quarters of 2024 loss sharing.</w:t>
      </w:r>
    </w:p>
    <w:p>
      <w:pPr>
        <w:spacing w:after="0" w:line="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the Company entered into the TSA with NESA, an affiliate of SPN, in connection with the Transaction, through which the Company will provide certain manufacturing services until December 31, 2025, and other transition services, for the duration specified in the schedule to the TSA for each service. For the year ended December 31, 2024, the Company recognized $6,292 of TSA reimbursement income in other (expense) income, net in the Company’s consolidated statements of operations and comprehensive income (loss). For the year ended December 31, 2024, the Company has incurred $3,532 of expenses related to manufacturing services and $3,136 of TSA labor and passthrough expenses to support the transition services, including finance and accounting, information technology, human resources, operations, and other services. The difference between the TSA reimbursement income and the TSA expenses incurred is primarily due to certain non-cash expenses not reimbursed under the TSA.</w:t>
      </w:r>
    </w:p>
    <w:p>
      <w:pPr>
        <w:spacing w:after="0" w:line="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$3,724 has been billed to NESA related to transition services performed by the Company, of which $1,656 has been paid, consistent with TSA payment terms. As of December 31, 2024, the Company has $2,068 in accounts receivable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from SPN - related party and $2,443 unbilled receivable included in prepaid expenses and other current asset in the Company’s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401(k) Savings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IRC.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years ended December 31, 2024, 2023, and 2022 the Company recorded expense of $1,068, $2,003, and $1,921, respectively, for 401(k) match contributions.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Chief Executive Officer ("CEO"), who is the Chief Operating Decision Maker ("CODM"),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The CODM uses the Company’s consolidated net income (loss) to monitor actual results versus the budget in assessing segment performance and the allocation of resources. The measure of segment assets is reported on the consolidated balance sheets as total assets.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reportable segment net income (loss) for the years ended December 31, 2024, 2023 and 2022,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9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Live biotherapeutics platform</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120" w:type="dxa"/>
            <w:vAlign w:val="bottom"/>
          </w:tcPr>
          <w:p>
            <w:pPr>
              <w:spacing w:after="0"/>
              <w:rPr>
                <w:sz w:val="21"/>
                <w:szCs w:val="21"/>
                <w:color w:val="auto"/>
              </w:rPr>
            </w:pP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SER-155</w:t>
            </w:r>
          </w:p>
        </w:tc>
        <w:tc>
          <w:tcPr>
            <w:tcW w:w="9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R&amp;D personnel-related (including stock-based compensation)</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G&amp;A personnel-related (including stock-based compensation)</w:t>
            </w:r>
          </w:p>
        </w:tc>
        <w:tc>
          <w:tcPr>
            <w:tcW w:w="9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2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Facility-related and other</w:t>
            </w:r>
          </w:p>
        </w:tc>
        <w:tc>
          <w:tcPr>
            <w:tcW w:w="9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2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shd w:val="clear" w:color="auto" w:fill="CFF0FC"/>
          </w:tcPr>
          <w:p>
            <w:pPr>
              <w:spacing w:after="0"/>
              <w:rPr>
                <w:sz w:val="21"/>
                <w:szCs w:val="2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expense (income) (1)</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(3,722 )</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5"/>
              </w:rPr>
              <w:t>(125,771 )</w:t>
            </w:r>
          </w:p>
        </w:tc>
        <w:tc>
          <w:tcPr>
            <w:tcW w:w="180" w:type="dxa"/>
            <w:vAlign w:val="bottom"/>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(190,130 )</w:t>
            </w:r>
          </w:p>
        </w:tc>
        <w:tc>
          <w:tcPr>
            <w:tcW w:w="180" w:type="dxa"/>
            <w:vAlign w:val="bottom"/>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(183,581 )</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 (2)</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(66,576 )</w:t>
            </w:r>
          </w:p>
        </w:tc>
      </w:tr>
      <w:tr>
        <w:trPr>
          <w:trHeight w:val="249"/>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firstLine="8"/>
        <w:spacing w:after="0" w:line="306" w:lineRule="auto"/>
        <w:tabs>
          <w:tab w:leader="none" w:pos="170" w:val="left"/>
        </w:tabs>
        <w:numPr>
          <w:ilvl w:val="0"/>
          <w:numId w:val="7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(expense) income includes research and development expenses on early stage programs, manufacturing services expenses, gain on sale of VOWST Business, interest income and other (expense) income, net.</w:t>
      </w:r>
    </w:p>
    <w:p>
      <w:pPr>
        <w:spacing w:after="0" w:line="21"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See Note 3, </w:t>
      </w:r>
      <w:r>
        <w:rPr>
          <w:rFonts w:ascii="Times New Roman" w:cs="Times New Roman" w:eastAsia="Times New Roman" w:hAnsi="Times New Roman"/>
          <w:sz w:val="17"/>
          <w:szCs w:val="17"/>
          <w:i w:val="1"/>
          <w:iCs w:val="1"/>
          <w:color w:val="auto"/>
        </w:rPr>
        <w:t>Discontinued Operations and TSA</w:t>
      </w:r>
      <w:r>
        <w:rPr>
          <w:rFonts w:ascii="Times New Roman" w:cs="Times New Roman" w:eastAsia="Times New Roman" w:hAnsi="Times New Roman"/>
          <w:sz w:val="17"/>
          <w:szCs w:val="17"/>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capital stock of Seres Therapeutics, Inc. (the “Company,” “we,” “us,” and “our”) and certain provisions of our Restated Certificate of Incorporation, as amended (“Certificate of Incorporation”) and Amended and Restated Bylaws (“Bylaws”) are summaries and are qualified in their entirety by reference to the applicable provisions of our Certificate of Incorporation and Bylaws, which have been publicly filed with the Securities and Exchange Commission. We encourage you to read our Certificate of Incorporation, our Bylaws and the applicable provisions of the General Corporation Law of the State of Delaware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225"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360,000,000 shares of common stock, par value $0.001 per share;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Rights Upon Liquidation. </w:t>
      </w: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for distribution to stockholders after the payment of all debts and other liabilities and subject to the prior rights of any outstanding preferred stock.</w:t>
      </w:r>
    </w:p>
    <w:p>
      <w:pPr>
        <w:spacing w:after="0" w:line="13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common stock have no preemptive, subscription, redemption or conversion rights. The rights, preferences and privileges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are subject to and may be adversely affected by the rights of the holders of shares of any series of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 issue up to 10,000,000 shares of undesignated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0"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 chairperson of the board,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president (in the absence of a chief executive officer), or by a resolution adopted by a majority of our board of directors.</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7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Certificate of Incorporation eliminates the right of stockholders to act by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meeting.</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 a three-year term, one class being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Our Certificate of Incorporation provides that no member of our board of directors may be removed from office by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cause and, in addition to any other vote required by law, upon the approval of the holders of at least two-thirds in voting power of the outstanding shares of stock entitled to vote in the election of directors.</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Stockholders Not Entitled to Cumulative Voting. </w:t>
      </w:r>
      <w:r>
        <w:rPr>
          <w:rFonts w:ascii="Times New Roman" w:cs="Times New Roman" w:eastAsia="Times New Roman" w:hAnsi="Times New Roman"/>
          <w:sz w:val="18"/>
          <w:szCs w:val="18"/>
          <w:color w:val="auto"/>
        </w:rPr>
        <w:t>Our Certificate of Incorporation does not permit stockholders to cumulate their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We are subject to Section 203 of the General Corporation Law of the State of Delaware,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Certificate of Incorporation provides that, unless we consent in writing to the selection of an alternative form, the Court of Chancery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Certificate of Incorporation or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Certificate of Incorporation or Bylaws to be inapplicable or unenforceable if challenged in a proceeding or otherwise.</w:t>
      </w:r>
    </w:p>
    <w:p>
      <w:pPr>
        <w:spacing w:after="0" w:line="18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Certificate of Incorporation. </w:t>
      </w:r>
      <w:r>
        <w:rPr>
          <w:rFonts w:ascii="Times New Roman" w:cs="Times New Roman" w:eastAsia="Times New Roman" w:hAnsi="Times New Roman"/>
          <w:sz w:val="18"/>
          <w:szCs w:val="18"/>
          <w:color w:val="auto"/>
        </w:rPr>
        <w:t>The amendment of any of the above provisions in our Certificate of Incorporation,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eres</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 of March 29, 2023)</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consists of seven sections:</w:t>
      </w:r>
    </w:p>
    <w:p>
      <w:pPr>
        <w:spacing w:after="0" w:line="104" w:lineRule="exact"/>
        <w:rPr>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0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   S</w:t>
      </w:r>
      <w:r>
        <w:rPr>
          <w:rFonts w:ascii="Times New Roman" w:cs="Times New Roman" w:eastAsia="Times New Roman" w:hAnsi="Times New Roman"/>
          <w:sz w:val="14"/>
          <w:szCs w:val="14"/>
          <w:b w:val="1"/>
          <w:bCs w:val="1"/>
          <w:color w:val="auto"/>
        </w:rPr>
        <w:t>ummary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Seres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as well as that of all persons affiliated with the Company. “Insider trading” occurs when any person purchases or sells a security while in possession of inside information relating to the security or the issuer of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of up to $5 million for individuals and $25 million for corporations. Insider trading is also prohibited by this Policy, and violation of this Policy may result in Company-imposed sanctions, including termination of employment for cause.</w:t>
      </w:r>
    </w:p>
    <w:p>
      <w:pPr>
        <w:spacing w:after="0" w:line="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Chief Legal Officer or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spacing w:after="0" w:line="396"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w:t>
      </w:r>
    </w:p>
    <w:p>
      <w:pPr>
        <w:spacing w:after="0" w:line="65"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2"/>
          <w:szCs w:val="22"/>
          <w:b w:val="1"/>
          <w:bCs w:val="1"/>
          <w:color w:val="auto"/>
        </w:rPr>
        <w:t>Additionally, no officer, director or employee shall purchase or sell any security of the Company during the period beginning at 11:59 p.m., Eastern time,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last day of any fiscal quarter of the Company and ending upon the completion of the second full trading day after the public release of earnings data for such fiscal quarter or during any other trading suspension period declared by the Company. For example, if the Company’s fourth fiscal quarter ends at 11:59 p.m., Eastern time, on December 31, the corresponding blackout period would begin at 11:59 p.m., Eastern time, on December 17. </w:t>
      </w:r>
      <w:r>
        <w:rPr>
          <w:rFonts w:ascii="Times New Roman" w:cs="Times New Roman" w:eastAsia="Times New Roman" w:hAnsi="Times New Roman"/>
          <w:sz w:val="22"/>
          <w:szCs w:val="22"/>
          <w:color w:val="auto"/>
        </w:rPr>
        <w:t>For the purposes of this Policy, a “trading day” is a day on which national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exchanges are open for trading.</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These prohibitions do not apply to:</w:t>
      </w:r>
    </w:p>
    <w:p>
      <w:pPr>
        <w:spacing w:after="0" w:line="98" w:lineRule="exact"/>
        <w:rPr>
          <w:sz w:val="20"/>
          <w:szCs w:val="20"/>
          <w:color w:val="auto"/>
        </w:rPr>
      </w:pPr>
    </w:p>
    <w:p>
      <w:pPr>
        <w:ind w:left="1500" w:hanging="369"/>
        <w:spacing w:after="0" w:line="258"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50" w:lineRule="exact"/>
        <w:rPr>
          <w:rFonts w:ascii="Times New Roman" w:cs="Times New Roman" w:eastAsia="Times New Roman" w:hAnsi="Times New Roman"/>
          <w:sz w:val="22"/>
          <w:szCs w:val="22"/>
          <w:color w:val="auto"/>
        </w:rPr>
      </w:pPr>
    </w:p>
    <w:p>
      <w:pPr>
        <w:jc w:val="both"/>
        <w:ind w:left="1500" w:hanging="369"/>
        <w:spacing w:after="0" w:line="238"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64" w:lineRule="exact"/>
        <w:rPr>
          <w:rFonts w:ascii="Times New Roman" w:cs="Times New Roman" w:eastAsia="Times New Roman" w:hAnsi="Times New Roman"/>
          <w:sz w:val="22"/>
          <w:szCs w:val="22"/>
          <w:color w:val="auto"/>
        </w:rPr>
      </w:pPr>
    </w:p>
    <w:p>
      <w:pPr>
        <w:jc w:val="both"/>
        <w:ind w:left="1500" w:hanging="369"/>
        <w:spacing w:after="0" w:line="246"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unless the person making the gift knows, or is reckless in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knowing, that the recipient intends to sell the securities while the donor is in possession of material, non-public information about the Company; or</w:t>
      </w:r>
    </w:p>
    <w:p>
      <w:pPr>
        <w:spacing w:after="0" w:line="63" w:lineRule="exact"/>
        <w:rPr>
          <w:rFonts w:ascii="Times New Roman" w:cs="Times New Roman" w:eastAsia="Times New Roman" w:hAnsi="Times New Roman"/>
          <w:sz w:val="22"/>
          <w:szCs w:val="22"/>
          <w:color w:val="auto"/>
        </w:rPr>
      </w:pPr>
    </w:p>
    <w:p>
      <w:pPr>
        <w:jc w:val="both"/>
        <w:ind w:left="1500" w:hanging="369"/>
        <w:spacing w:after="0" w:line="235"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 or</w:t>
      </w:r>
    </w:p>
    <w:p>
      <w:pPr>
        <w:spacing w:after="0" w:line="70"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 “non-Rule 10b5-1 trading arrangement” as defined in Item 408(c) of Regulation S-K that (i) was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92" w:lineRule="exact"/>
        <w:rPr>
          <w:sz w:val="20"/>
          <w:szCs w:val="20"/>
          <w:color w:val="auto"/>
        </w:rPr>
      </w:pPr>
    </w:p>
    <w:p>
      <w:pPr>
        <w:ind w:left="1500" w:right="20"/>
        <w:spacing w:after="0" w:line="258" w:lineRule="auto"/>
        <w:rPr>
          <w:sz w:val="20"/>
          <w:szCs w:val="20"/>
          <w:color w:val="auto"/>
        </w:rPr>
      </w:pPr>
      <w:r>
        <w:rPr>
          <w:rFonts w:ascii="Times New Roman" w:cs="Times New Roman" w:eastAsia="Times New Roman" w:hAnsi="Times New Roman"/>
          <w:sz w:val="22"/>
          <w:szCs w:val="22"/>
          <w:color w:val="auto"/>
        </w:rPr>
        <w:t>entered into outside of a black-out period and while the Covered Person was unaware of any material, non-public information, and (ii) has been pre-cleared by the Chief Legal Officer or Chief Financial Officer.</w:t>
      </w:r>
    </w:p>
    <w:p>
      <w:pPr>
        <w:spacing w:after="0" w:line="4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No officer, director or employee shall directly or indirectly communicate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66" w:lineRule="exact"/>
        <w:rPr>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0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the security or its issuer.</w:t>
      </w:r>
    </w:p>
    <w:p>
      <w:pPr>
        <w:spacing w:after="0" w:line="37"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3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98" w:lineRule="exact"/>
        <w:rPr>
          <w:sz w:val="20"/>
          <w:szCs w:val="20"/>
          <w:color w:val="auto"/>
        </w:rPr>
      </w:pPr>
    </w:p>
    <w:p>
      <w:pPr>
        <w:ind w:left="1500" w:hanging="369"/>
        <w:spacing w:after="0"/>
        <w:tabs>
          <w:tab w:leader="none" w:pos="15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98" w:lineRule="exact"/>
        <w:rPr>
          <w:rFonts w:ascii="Times New Roman" w:cs="Times New Roman" w:eastAsia="Times New Roman" w:hAnsi="Times New Roman"/>
          <w:sz w:val="22"/>
          <w:szCs w:val="22"/>
          <w:color w:val="auto"/>
        </w:rPr>
      </w:pPr>
    </w:p>
    <w:p>
      <w:pPr>
        <w:ind w:left="1500" w:hanging="369"/>
        <w:spacing w:after="0" w:line="282" w:lineRule="auto"/>
        <w:tabs>
          <w:tab w:leader="none" w:pos="150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26" w:lineRule="exact"/>
        <w:rPr>
          <w:rFonts w:ascii="Times New Roman" w:cs="Times New Roman" w:eastAsia="Times New Roman" w:hAnsi="Times New Roman"/>
          <w:sz w:val="21"/>
          <w:szCs w:val="21"/>
          <w:color w:val="auto"/>
        </w:rPr>
      </w:pPr>
    </w:p>
    <w:p>
      <w:pPr>
        <w:ind w:left="1500" w:right="20" w:hanging="369"/>
        <w:spacing w:after="0" w:line="258" w:lineRule="auto"/>
        <w:tabs>
          <w:tab w:leader="none" w:pos="15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158"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What Facts are Material?</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98" w:lineRule="exact"/>
        <w:rPr>
          <w:sz w:val="20"/>
          <w:szCs w:val="20"/>
          <w:color w:val="auto"/>
        </w:rPr>
      </w:pPr>
    </w:p>
    <w:p>
      <w:pPr>
        <w:ind w:left="1500" w:hanging="369"/>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98"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trial results, developments regarding strategic collaborators or collaborations, or the status of regulatory submissions;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92" w:lineRule="exact"/>
        <w:rPr>
          <w:sz w:val="20"/>
          <w:szCs w:val="20"/>
          <w:color w:val="auto"/>
        </w:rPr>
      </w:pPr>
    </w:p>
    <w:p>
      <w:pPr>
        <w:ind w:left="1500" w:hanging="369"/>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incidents;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10" w:lineRule="exact"/>
        <w:rPr>
          <w:sz w:val="20"/>
          <w:szCs w:val="20"/>
          <w:color w:val="auto"/>
        </w:rPr>
      </w:pPr>
    </w:p>
    <w:p>
      <w:pPr>
        <w:ind w:left="1240" w:hanging="430"/>
        <w:spacing w:after="0"/>
        <w:tabs>
          <w:tab w:leader="none" w:pos="1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What is Non-Public?</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 or </w:t>
      </w:r>
      <w:r>
        <w:rPr>
          <w:rFonts w:ascii="Times New Roman" w:cs="Times New Roman" w:eastAsia="Times New Roman" w:hAnsi="Times New Roman"/>
          <w:sz w:val="22"/>
          <w:szCs w:val="22"/>
          <w:u w:val="single" w:color="auto"/>
          <w:color w:val="auto"/>
        </w:rPr>
        <w:t>United Press 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that are available on the SEC’s web site.</w:t>
      </w:r>
    </w:p>
    <w:p>
      <w:pPr>
        <w:spacing w:after="0" w:line="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w:t>
      </w:r>
    </w:p>
    <w:p>
      <w:pPr>
        <w:spacing w:after="0" w:line="180" w:lineRule="exact"/>
        <w:rPr>
          <w:sz w:val="20"/>
          <w:szCs w:val="20"/>
          <w:color w:val="auto"/>
        </w:rPr>
      </w:pPr>
    </w:p>
    <w:p>
      <w:pPr>
        <w:ind w:left="1240" w:hanging="430"/>
        <w:spacing w:after="0"/>
        <w:tabs>
          <w:tab w:leader="none" w:pos="12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an Insider?</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or another company’s securities while in possession of material, non-public information relating to such company or such securities, nor may they disclose such information to anyone outside the Company (except in accordance with the Company’s policies regarding the protection or authorized external disclosure of Company information) or to anyone within the Company other than on a need-to-know basis.</w:t>
      </w:r>
    </w:p>
    <w:p>
      <w:pPr>
        <w:spacing w:after="0" w:line="7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limited liability companies,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partnerships or trusts, and transactions by these entities should be treated for the purposes of this Policy and applicable securities laws as if they were for the individual’s own account.</w:t>
      </w:r>
    </w:p>
    <w:p>
      <w:pPr>
        <w:spacing w:after="0" w:line="158" w:lineRule="exact"/>
        <w:rPr>
          <w:sz w:val="20"/>
          <w:szCs w:val="20"/>
          <w:color w:val="auto"/>
        </w:rPr>
      </w:pPr>
    </w:p>
    <w:p>
      <w:pPr>
        <w:ind w:left="1240" w:hanging="430"/>
        <w:spacing w:after="0"/>
        <w:tabs>
          <w:tab w:leader="none" w:pos="12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7" w:lineRule="exact"/>
        <w:rPr>
          <w:sz w:val="20"/>
          <w:szCs w:val="20"/>
          <w:color w:val="auto"/>
        </w:rPr>
      </w:pPr>
    </w:p>
    <w:p>
      <w:pPr>
        <w:ind w:left="1240" w:hanging="430"/>
        <w:spacing w:after="0"/>
        <w:tabs>
          <w:tab w:leader="none" w:pos="12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Penalties for Engaging in Insider Trading</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72" w:lineRule="exact"/>
        <w:rPr>
          <w:sz w:val="20"/>
          <w:szCs w:val="20"/>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98"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$2,479,282 (subject to adjustment for inflation) or three times the amount of profit gained or loss avoided by the violator;</w:t>
      </w:r>
    </w:p>
    <w:p>
      <w:pPr>
        <w:spacing w:after="0" w:line="65"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Racketeer Influenced and Corrupt Organizations Act (RICO), also may be violated in connection with insider trading.</w:t>
      </w:r>
    </w:p>
    <w:p>
      <w:pPr>
        <w:spacing w:after="0" w:line="206" w:lineRule="exact"/>
        <w:rPr>
          <w:sz w:val="20"/>
          <w:szCs w:val="20"/>
          <w:color w:val="auto"/>
        </w:rPr>
      </w:pPr>
    </w:p>
    <w:p>
      <w:pPr>
        <w:ind w:left="1240" w:hanging="430"/>
        <w:spacing w:after="0"/>
        <w:tabs>
          <w:tab w:leader="none" w:pos="12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Size of Transaction and Reason for Transaction Do Not Matter</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80" w:lineRule="exact"/>
        <w:rPr>
          <w:sz w:val="20"/>
          <w:szCs w:val="20"/>
          <w:color w:val="auto"/>
        </w:rPr>
      </w:pPr>
    </w:p>
    <w:p>
      <w:pPr>
        <w:ind w:left="1240" w:hanging="430"/>
        <w:spacing w:after="0"/>
        <w:tabs>
          <w:tab w:leader="none" w:pos="12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Examples of Insider Trading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Examples of insider trading cases include:</w:t>
      </w:r>
    </w:p>
    <w:p>
      <w:pPr>
        <w:spacing w:after="0" w:line="98" w:lineRule="exact"/>
        <w:rPr>
          <w:sz w:val="20"/>
          <w:szCs w:val="20"/>
          <w:color w:val="auto"/>
        </w:rPr>
      </w:pPr>
    </w:p>
    <w:p>
      <w:pPr>
        <w:ind w:left="1500" w:right="20" w:hanging="369"/>
        <w:spacing w:after="0" w:line="258" w:lineRule="auto"/>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brought against corporate officers, directors, and employees who traded in a company’s securities after learning of significant confidential corporate developments;</w:t>
      </w:r>
    </w:p>
    <w:p>
      <w:pPr>
        <w:spacing w:after="0" w:line="50"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in the securities after receiving such information;</w:t>
      </w:r>
    </w:p>
    <w:p>
      <w:pPr>
        <w:spacing w:after="0" w:line="50"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9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who misappropriated, and took advantage of, confidential information from their employers.</w:t>
      </w:r>
    </w:p>
    <w:p>
      <w:pPr>
        <w:spacing w:after="0" w:line="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98"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21"/>
          <w:szCs w:val="21"/>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98"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400" w:lineRule="exact"/>
        <w:rPr>
          <w:sz w:val="20"/>
          <w:szCs w:val="20"/>
          <w:color w:val="auto"/>
        </w:rPr>
      </w:pPr>
    </w:p>
    <w:p>
      <w:pPr>
        <w:ind w:left="1240" w:hanging="430"/>
        <w:spacing w:after="0"/>
        <w:tabs>
          <w:tab w:leader="none" w:pos="12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 of Records Falsification and False Statements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reventing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employee is required to follow these procedures.</w:t>
      </w:r>
    </w:p>
    <w:p>
      <w:pPr>
        <w:spacing w:after="0" w:line="158" w:lineRule="exact"/>
        <w:rPr>
          <w:sz w:val="20"/>
          <w:szCs w:val="20"/>
          <w:color w:val="auto"/>
        </w:rPr>
      </w:pPr>
    </w:p>
    <w:p>
      <w:pPr>
        <w:ind w:left="1240" w:hanging="430"/>
        <w:spacing w:after="0"/>
        <w:tabs>
          <w:tab w:leader="none" w:pos="12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of All Trades by All Officers, Directors and Certain Employees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(including without limitation, acquisitions and dispositions of Company stock, gifts, the exercise of stock options and the sale of Company stock issued upon exercise of stock options) by officers, directors and such other employees as are designated from time to time by the Board of Directors, the Chief Executive Officer, the Chief Legal Officer or the Chief Financial Officer as being subject to this pre-clearance process (a “</w:t>
      </w:r>
      <w:r>
        <w:rPr>
          <w:rFonts w:ascii="Times New Roman" w:cs="Times New Roman" w:eastAsia="Times New Roman" w:hAnsi="Times New Roman"/>
          <w:sz w:val="22"/>
          <w:szCs w:val="22"/>
          <w:b w:val="1"/>
          <w:bCs w:val="1"/>
          <w:i w:val="1"/>
          <w:iCs w:val="1"/>
          <w:color w:val="auto"/>
        </w:rPr>
        <w:t>Pre-Clearance Person</w:t>
      </w:r>
      <w:r>
        <w:rPr>
          <w:rFonts w:ascii="Times New Roman" w:cs="Times New Roman" w:eastAsia="Times New Roman" w:hAnsi="Times New Roman"/>
          <w:sz w:val="22"/>
          <w:szCs w:val="22"/>
          <w:b w:val="1"/>
          <w:bCs w:val="1"/>
          <w:color w:val="auto"/>
        </w:rPr>
        <w:t xml:space="preserve">”) must be pre-cleared </w:t>
      </w:r>
      <w:r>
        <w:rPr>
          <w:rFonts w:ascii="Times New Roman" w:cs="Times New Roman" w:eastAsia="Times New Roman" w:hAnsi="Times New Roman"/>
          <w:sz w:val="22"/>
          <w:szCs w:val="22"/>
          <w:color w:val="auto"/>
        </w:rPr>
        <w:t>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Chief Legal Officer or Chief Financial Officer. Pre-clearance does not relieve anyone of his or her responsibility under SEC rules.</w:t>
      </w:r>
    </w:p>
    <w:p>
      <w:pPr>
        <w:spacing w:after="0" w:line="7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without limitation by e-mail), should be made at least two business days in advance of the proposed transaction and should include the identity of the Pre-Clearance Person, the type of proposed transaction (for example, an open market purchase, a privately negotiated sale, gift, an option exercise, etc.), the proposed date of the transaction and the number of shares, options or other securities to be involved. In addition, unless otherwise determined by the Chief Legal Officer or Chief Financial Officer, the Pre-Clearance Person must execute a certification (in the form approved by the Chief Legal Officer or Chief Financial Officer) that he, she or it is not aware of material, non-public information about the Company. Only the Chief Legal Officer and Chief Financial Officer, or either of them acting individually, shall have discretion to decide whether to clear any contemplated transaction. (The Chief Financial Officer shall have sole discretion to decide whether to clear transactions by the Chief Legal Officer or persons or entities subject to this policy as a result of their relationship with the Chief Legal Officer. The Chief Legal Officer shall have sole discretion to decide whether to clear transactions by the Chief Financial Officer or persons or entities subject to this policy as a result of their relationship with the Chief Financial Officer). All trades that are pre-cleared must be effected within five business days of receipt of the pre-clearance unless a specific exception has been granted by the Chief Legal Officer or Chief Financial Officer (as applicable). A pre-cleared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0" w:lineRule="exact"/>
        <w:rPr>
          <w:sz w:val="20"/>
          <w:szCs w:val="20"/>
          <w:color w:val="auto"/>
        </w:rPr>
      </w:pPr>
    </w:p>
    <w:p>
      <w:pPr>
        <w:ind w:left="1240" w:hanging="430"/>
        <w:spacing w:after="0"/>
        <w:tabs>
          <w:tab w:leader="none" w:pos="12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Black-Out Periods</w:t>
      </w:r>
    </w:p>
    <w:p>
      <w:pPr>
        <w:spacing w:after="0" w:line="202"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2"/>
          <w:szCs w:val="22"/>
          <w:b w:val="1"/>
          <w:bCs w:val="1"/>
          <w:color w:val="auto"/>
        </w:rPr>
        <w:t>Additionally, no officer, director or employee shall purchase or sell any security of the Company during the period beginning at 11:59 p.m., Eastern time,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last day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permitted transactions described in Section II. For example, if the Company’s fourth fiscal quarter ends at 11:59 p.m., Eastern time, on December 31, the corresponding black-out period would begin at 11:59 p.m., Eastern time, on December 17.</w:t>
      </w:r>
    </w:p>
    <w:p>
      <w:pPr>
        <w:spacing w:after="0" w:line="7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Chief Legal Officer or Chief Financial Officer (or, in the case of an exception for the Chief Legal Officer or persons or entities subject to this policy as a result of their relationship with the Chief Legal Officer, the Chief Financial Officer, or in the case of an exception for the Chief Financial Officer or persons or entities subject to this policy as a result of their relationship with the Chief Financial Officer, the Chief Legal Officer or, in the case of exceptions for directors or persons or entities subject to this policy as a result of their relationship with a director, the Board of Directors).</w:t>
      </w:r>
    </w:p>
    <w:p>
      <w:pPr>
        <w:spacing w:after="0" w:line="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the Chief Legal Officer or Chief Financial Officer,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6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80" w:lineRule="exact"/>
        <w:rPr>
          <w:sz w:val="20"/>
          <w:szCs w:val="20"/>
          <w:color w:val="auto"/>
        </w:rPr>
      </w:pPr>
    </w:p>
    <w:p>
      <w:pPr>
        <w:ind w:left="1240" w:hanging="430"/>
        <w:spacing w:after="0"/>
        <w:tabs>
          <w:tab w:leader="none" w:pos="12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Post-Termination Transactions</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58" w:lineRule="exact"/>
        <w:rPr>
          <w:sz w:val="20"/>
          <w:szCs w:val="20"/>
          <w:color w:val="auto"/>
        </w:rPr>
      </w:pPr>
    </w:p>
    <w:p>
      <w:pPr>
        <w:ind w:left="1240" w:hanging="430"/>
        <w:spacing w:after="0"/>
        <w:tabs>
          <w:tab w:leader="none" w:pos="12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Company</w:t>
      </w:r>
    </w:p>
    <w:p>
      <w:pPr>
        <w:spacing w:after="0" w:line="202" w:lineRule="exact"/>
        <w:rPr>
          <w:sz w:val="20"/>
          <w:szCs w:val="20"/>
          <w:color w:val="auto"/>
        </w:rPr>
      </w:pPr>
    </w:p>
    <w:p>
      <w:pPr>
        <w:ind w:left="1940" w:hanging="435"/>
        <w:spacing w:after="0"/>
        <w:tabs>
          <w:tab w:leader="none" w:pos="19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 to Information</w:t>
      </w:r>
    </w:p>
    <w:p>
      <w:pPr>
        <w:spacing w:after="0" w:line="10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6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61" w:lineRule="exact"/>
        <w:rPr>
          <w:sz w:val="20"/>
          <w:szCs w:val="20"/>
          <w:color w:val="auto"/>
        </w:rPr>
      </w:pPr>
    </w:p>
    <w:p>
      <w:pPr>
        <w:ind w:left="1940" w:hanging="435"/>
        <w:spacing w:after="0"/>
        <w:tabs>
          <w:tab w:leader="none" w:pos="19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Inquiries From Third Parties</w:t>
      </w:r>
    </w:p>
    <w:p>
      <w:pPr>
        <w:spacing w:after="0" w:line="10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w:t>
      </w:r>
    </w:p>
    <w:p>
      <w:pPr>
        <w:spacing w:after="0" w:line="158" w:lineRule="exact"/>
        <w:rPr>
          <w:sz w:val="20"/>
          <w:szCs w:val="20"/>
          <w:color w:val="auto"/>
        </w:rPr>
      </w:pPr>
    </w:p>
    <w:p>
      <w:pPr>
        <w:ind w:left="1240" w:hanging="430"/>
        <w:spacing w:after="0"/>
        <w:tabs>
          <w:tab w:leader="none" w:pos="12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Access to Company Information</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5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50" w:lineRule="exact"/>
        <w:rPr>
          <w:sz w:val="20"/>
          <w:szCs w:val="20"/>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98"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65"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65"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50"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50"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non-public information;</w:t>
      </w:r>
    </w:p>
    <w:p>
      <w:pPr>
        <w:spacing w:after="0" w:line="98"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50"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5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96"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73" w:lineRule="exact"/>
        <w:rPr>
          <w:sz w:val="20"/>
          <w:szCs w:val="20"/>
          <w:color w:val="auto"/>
        </w:rPr>
      </w:pPr>
    </w:p>
    <w:p>
      <w:pPr>
        <w:ind w:left="1240" w:hanging="430"/>
        <w:spacing w:after="0"/>
        <w:tabs>
          <w:tab w:leader="none" w:pos="12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181" w:lineRule="exact"/>
        <w:rPr>
          <w:sz w:val="20"/>
          <w:szCs w:val="20"/>
          <w:color w:val="auto"/>
        </w:rPr>
      </w:pPr>
    </w:p>
    <w:p>
      <w:pPr>
        <w:ind w:left="1240" w:hanging="430"/>
        <w:spacing w:after="0"/>
        <w:tabs>
          <w:tab w:leader="none" w:pos="12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Traded Options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also may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177" w:lineRule="exact"/>
        <w:rPr>
          <w:sz w:val="20"/>
          <w:szCs w:val="20"/>
          <w:color w:val="auto"/>
        </w:rPr>
      </w:pPr>
    </w:p>
    <w:p>
      <w:pPr>
        <w:ind w:left="1240" w:hanging="430"/>
        <w:spacing w:after="0"/>
        <w:tabs>
          <w:tab w:leader="none" w:pos="12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Transactions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are prohibited by this Policy, whether such securities were granted as compensation or are otherwise held, directly or indirectly, are prohibited by this Policy.</w:t>
      </w:r>
    </w:p>
    <w:p>
      <w:pPr>
        <w:spacing w:after="0" w:line="181" w:lineRule="exact"/>
        <w:rPr>
          <w:sz w:val="20"/>
          <w:szCs w:val="20"/>
          <w:color w:val="auto"/>
        </w:rPr>
      </w:pPr>
    </w:p>
    <w:p>
      <w:pPr>
        <w:ind w:left="1500" w:right="180" w:hanging="690"/>
        <w:spacing w:after="0" w:line="258" w:lineRule="auto"/>
        <w:tabs>
          <w:tab w:leader="none" w:pos="123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on Margin; Pledging the Company’s Securities to Secure Margin or Other Loans</w:t>
      </w:r>
    </w:p>
    <w:p>
      <w:pPr>
        <w:spacing w:after="0" w:line="15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400" w:lineRule="exact"/>
        <w:rPr>
          <w:sz w:val="20"/>
          <w:szCs w:val="20"/>
          <w:color w:val="auto"/>
        </w:rPr>
      </w:pPr>
    </w:p>
    <w:p>
      <w:pPr>
        <w:ind w:left="1240" w:hanging="430"/>
        <w:spacing w:after="0"/>
        <w:tabs>
          <w:tab w:leader="none" w:pos="12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Distributions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 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2"/>
          <w:szCs w:val="22"/>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10" w:lineRule="exact"/>
        <w:rPr>
          <w:sz w:val="20"/>
          <w:szCs w:val="20"/>
          <w:color w:val="auto"/>
        </w:rPr>
      </w:pPr>
    </w:p>
    <w:p>
      <w:pPr>
        <w:ind w:left="1240" w:hanging="430"/>
        <w:spacing w:after="0"/>
        <w:tabs>
          <w:tab w:leader="none" w:pos="1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Overview</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Rule 10b5-1 will protect directors, officers and employees from insider trading liability under Rule 10b5-1 for transactions under a previously established contract, plan or instruction to trade in the Company’s stock entered into and conducted in good faith and in accordance with the terms of Rule 10b5-1 and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and will be exempt from the trading restrictions set forth in this Policy. Each such Trading Plan, and any proposed modification or termination thereof, must be submitted to and pre-approved by the Company’s Chief Legal Officer or Chief Financial Officer,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entering into, modifying, or terminating the Trading Plan, not the Company or the Authorizing Officer.</w:t>
      </w:r>
    </w:p>
    <w:p>
      <w:pPr>
        <w:spacing w:after="0" w:line="67" w:lineRule="exact"/>
        <w:rPr>
          <w:sz w:val="20"/>
          <w:szCs w:val="20"/>
          <w:color w:val="auto"/>
        </w:rPr>
      </w:pPr>
    </w:p>
    <w:p>
      <w:pPr>
        <w:ind w:righ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reporting obligations or from short-swing profit rules or liability.</w:t>
      </w:r>
    </w:p>
    <w:p>
      <w:pPr>
        <w:spacing w:after="0" w:line="4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A director, officer or employee may enter into a Trading Plan only in good faith and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6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6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Officers, directors and employees may adopt Trading Plans with brokers that outline a pre-set plan for trading of the Company’s stock, including the exercise of options. Trades pursuant to a Trading Plan generally may occur at any time. However, the Trading Plan must include a minimum “cooling-off period” between the establishment of a Trading Plan and commencement of any transactions under such plan for:</w:t>
      </w:r>
    </w:p>
    <w:p>
      <w:pPr>
        <w:spacing w:after="0" w:line="72" w:lineRule="exact"/>
        <w:rPr>
          <w:sz w:val="20"/>
          <w:szCs w:val="20"/>
          <w:color w:val="auto"/>
        </w:rPr>
      </w:pPr>
    </w:p>
    <w:p>
      <w:pPr>
        <w:jc w:val="both"/>
        <w:ind w:left="760" w:hanging="378"/>
        <w:spacing w:after="0" w:line="244" w:lineRule="auto"/>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reporting persons that extends to the later of 90 days after adoption or modification of a Trading Plan or two business days after filing the Form 10-K or Form 10-Q covering the fiscal quarter in which the Trading Plan was adopted or modified, as applicable, up to a maximum of 120 days; and</w:t>
      </w:r>
    </w:p>
    <w:p>
      <w:pPr>
        <w:spacing w:after="0" w:line="65"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are not Section 16 reporting persons and any other persons, other than the Company, that extends 30 days after adoption or modification of a Trading Plan.</w:t>
      </w:r>
    </w:p>
    <w:p>
      <w:pPr>
        <w:spacing w:after="0" w:line="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Individuals may not adopt more than one Trading Plan at a time except under the limited circumstances permitted by Rule 10b5-1 and subject to pre-approval by the Authorizing Officer.</w:t>
      </w:r>
    </w:p>
    <w:p>
      <w:pPr>
        <w:spacing w:after="0" w:line="5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clarity, the requirements of this Section VI do not apply to any Trading Plan entered into by a private equity firm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180" w:lineRule="exact"/>
        <w:rPr>
          <w:sz w:val="20"/>
          <w:szCs w:val="20"/>
          <w:color w:val="auto"/>
        </w:rPr>
      </w:pPr>
    </w:p>
    <w:p>
      <w:pPr>
        <w:ind w:left="1240" w:hanging="430"/>
        <w:spacing w:after="0"/>
        <w:tabs>
          <w:tab w:leader="none" w:pos="12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Terminations of and Modifications to Trading Plans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Terminations of Trading Plans should occur only in unusual circumstances. Effectiveness of any termination of a Trading Plan will be subject to the prior review and approval of the Authorizing Officer. Termination is effected upon written notice to the broker.</w:t>
      </w:r>
    </w:p>
    <w:p>
      <w:pPr>
        <w:spacing w:after="0" w:line="6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the prior review and approval of the Authorizing Officer, and modifications of a Trading Plan that change the amount, price, or timing of the purchase or sale of the securities underlying a Trading Plan will trigger a new cooling-off period (as described in Section VI.A above)</w:t>
      </w:r>
    </w:p>
    <w:p>
      <w:pPr>
        <w:spacing w:after="0" w:line="6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termination.</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201" w:lineRule="exact"/>
        <w:rPr>
          <w:sz w:val="20"/>
          <w:szCs w:val="20"/>
          <w:color w:val="auto"/>
        </w:rPr>
      </w:pPr>
    </w:p>
    <w:p>
      <w:pPr>
        <w:ind w:left="1240" w:hanging="430"/>
        <w:spacing w:after="0"/>
        <w:tabs>
          <w:tab w:leader="none" w:pos="12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Discretionary Plans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7" w:lineRule="exact"/>
        <w:rPr>
          <w:sz w:val="20"/>
          <w:szCs w:val="20"/>
          <w:color w:val="auto"/>
        </w:rPr>
      </w:pPr>
    </w:p>
    <w:p>
      <w:pPr>
        <w:ind w:left="1240" w:hanging="430"/>
        <w:spacing w:after="0"/>
        <w:tabs>
          <w:tab w:leader="none" w:pos="12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(if Required)</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adopted on ____ and expires ____.” For Section 16 reporting</w:t>
      </w:r>
    </w:p>
    <w:p>
      <w:pPr>
        <w:jc w:val="both"/>
        <w:spacing w:after="0" w:line="234" w:lineRule="auto"/>
        <w:rPr>
          <w:sz w:val="20"/>
          <w:szCs w:val="20"/>
          <w:color w:val="auto"/>
        </w:rPr>
      </w:pPr>
      <w:r>
        <w:rPr>
          <w:rFonts w:ascii="Times New Roman" w:cs="Times New Roman" w:eastAsia="Times New Roman" w:hAnsi="Times New Roman"/>
          <w:sz w:val="22"/>
          <w:szCs w:val="22"/>
          <w:color w:val="auto"/>
        </w:rPr>
        <w:t>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w:t>
      </w:r>
    </w:p>
    <w:p>
      <w:pPr>
        <w:spacing w:after="0" w:line="177" w:lineRule="exact"/>
        <w:rPr>
          <w:sz w:val="20"/>
          <w:szCs w:val="20"/>
          <w:color w:val="auto"/>
        </w:rPr>
      </w:pPr>
    </w:p>
    <w:p>
      <w:pPr>
        <w:ind w:left="1240" w:hanging="430"/>
        <w:spacing w:after="0"/>
        <w:tabs>
          <w:tab w:leader="none" w:pos="12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3" w:lineRule="exact"/>
        <w:rPr>
          <w:sz w:val="20"/>
          <w:szCs w:val="20"/>
          <w:color w:val="auto"/>
        </w:rPr>
      </w:pPr>
    </w:p>
    <w:p>
      <w:pPr>
        <w:ind w:left="1240" w:hanging="430"/>
        <w:spacing w:after="0"/>
        <w:tabs>
          <w:tab w:leader="none" w:pos="12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Outside of a Trading Plan</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 in accordance with the requirements of Rule 10b5-1.</w:t>
      </w:r>
    </w:p>
    <w:p>
      <w:pPr>
        <w:spacing w:after="0" w:line="158" w:lineRule="exact"/>
        <w:rPr>
          <w:sz w:val="20"/>
          <w:szCs w:val="20"/>
          <w:color w:val="auto"/>
        </w:rPr>
      </w:pPr>
    </w:p>
    <w:p>
      <w:pPr>
        <w:ind w:left="1240" w:hanging="430"/>
        <w:spacing w:after="0"/>
        <w:tabs>
          <w:tab w:leader="none" w:pos="12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Disclosure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1" w:lineRule="exact"/>
        <w:rPr>
          <w:sz w:val="20"/>
          <w:szCs w:val="20"/>
          <w:color w:val="auto"/>
        </w:rPr>
      </w:pPr>
    </w:p>
    <w:p>
      <w:pPr>
        <w:ind w:left="1240" w:hanging="430"/>
        <w:spacing w:after="0"/>
        <w:tabs>
          <w:tab w:leader="none" w:pos="12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Prohibited Transactions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73" w:lineRule="exact"/>
        <w:rPr>
          <w:sz w:val="20"/>
          <w:szCs w:val="20"/>
          <w:color w:val="auto"/>
        </w:rPr>
      </w:pPr>
    </w:p>
    <w:p>
      <w:pPr>
        <w:ind w:left="1240" w:hanging="430"/>
        <w:spacing w:after="0"/>
        <w:tabs>
          <w:tab w:leader="none" w:pos="12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 on Liability</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None of the Company, its Officers,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its Officers, the Authorizing Officer, the Company’s other employees or any other person assumes any liability for the legality or consequences of such Trading Plan or transaction to the person engaging in or adopting such Trading Plan or transaction.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 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eturn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to the Company’s Chief Legal Officer or Chief Financial Officer the Certification of Compliance form attached hereto as “Attachment A.”</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CERTIFICATION OF COMPLIANCE</w:t>
      </w:r>
    </w:p>
    <w:p>
      <w:pPr>
        <w:spacing w:after="0" w:line="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RETURN BY [_________] </w:t>
      </w:r>
      <w:r>
        <w:rPr>
          <w:rFonts w:ascii="Times New Roman" w:cs="Times New Roman" w:eastAsia="Times New Roman" w:hAnsi="Times New Roman"/>
          <w:sz w:val="22"/>
          <w:szCs w:val="22"/>
          <w:i w:val="1"/>
          <w:iCs w:val="1"/>
          <w:color w:val="auto"/>
        </w:rPr>
        <w:t>[insert return deadline]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__________________, Chief Legal Officer and ___________________, Chief Financial Officer</w:t>
      </w:r>
    </w:p>
    <w:p>
      <w:pPr>
        <w:spacing w:after="0" w:line="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1"/>
          <w:szCs w:val="21"/>
          <w:color w:val="auto"/>
        </w:rPr>
        <w:t>__________________________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INSIDER TRADING COMPLIANCE POLICY OF SERES THERAPEUTICS, INC.</w:t>
      </w:r>
    </w:p>
    <w:p>
      <w:pPr>
        <w:spacing w:after="0" w:line="9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Seres Therapeutics, Inc., to comply fully with the policies and procedures contained therein.</w:t>
      </w:r>
    </w:p>
    <w:p>
      <w:pPr>
        <w:spacing w:after="0" w:line="6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20[__], I have complied fully with all policies and procedures set forth in the above-referenced Insider Trading Compliance 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 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1748790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333-273794 and 333-282450) and Form S-8 (Nos. 333-205253, 333-210171, 333-223514, 333-230092, 333-236824, 333-253776, 333-263134, 333-270319, 333-269081, and 333-277658) of Seres Therapeutics, Inc. of our report dated March 13, 2025 relating to the financial statements and the effectiveness of internal control over financial reporting,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13, 2025</w:t>
      </w:r>
    </w:p>
    <w:p>
      <w:pPr>
        <w:spacing w:after="0" w:line="18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D. Shaff, certify that:</w:t>
      </w:r>
    </w:p>
    <w:p>
      <w:pPr>
        <w:spacing w:after="0" w:line="117" w:lineRule="exact"/>
        <w:rPr>
          <w:sz w:val="20"/>
          <w:szCs w:val="20"/>
          <w:color w:val="auto"/>
        </w:rPr>
      </w:pPr>
    </w:p>
    <w:p>
      <w:pPr>
        <w:ind w:left="700" w:hanging="183"/>
        <w:spacing w:after="0"/>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2025</w:t>
            </w:r>
          </w:p>
        </w:tc>
        <w:tc>
          <w:tcPr>
            <w:tcW w:w="25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D. Shaff</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D. Shaff</w:t>
            </w:r>
          </w:p>
        </w:tc>
      </w:tr>
      <w:tr>
        <w:trPr>
          <w:trHeight w:val="214"/>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627"/>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Marella Thorell, certify that:</w:t>
      </w:r>
    </w:p>
    <w:p>
      <w:pPr>
        <w:spacing w:after="0" w:line="117" w:lineRule="exact"/>
        <w:rPr>
          <w:sz w:val="20"/>
          <w:szCs w:val="20"/>
          <w:color w:val="auto"/>
        </w:rPr>
      </w:pPr>
    </w:p>
    <w:p>
      <w:pPr>
        <w:ind w:left="700" w:hanging="183"/>
        <w:spacing w:after="0"/>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2025</w:t>
            </w:r>
          </w:p>
        </w:tc>
        <w:tc>
          <w:tcPr>
            <w:tcW w:w="25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Marella Thorell</w:t>
            </w:r>
          </w:p>
        </w:tc>
      </w:tr>
      <w:tr>
        <w:trPr>
          <w:trHeight w:val="214"/>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2153"/>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67" w:lineRule="exact"/>
        <w:rPr>
          <w:sz w:val="20"/>
          <w:szCs w:val="20"/>
          <w:color w:val="auto"/>
        </w:rPr>
      </w:pPr>
    </w:p>
    <w:p>
      <w:pPr>
        <w:ind w:left="1020" w:right="80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D. Shaff</w:t>
            </w:r>
          </w:p>
        </w:tc>
      </w:tr>
      <w:tr>
        <w:trPr>
          <w:trHeight w:val="218"/>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D. Shaff</w:t>
            </w:r>
          </w:p>
        </w:tc>
      </w:tr>
      <w:tr>
        <w:trPr>
          <w:trHeight w:val="214"/>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Marella Thorell, Executive Vice President and Chief Financial Officer of Seres Therapeutics, Inc.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as adopted pursuant to §906 of the Sarbanes-Oxley Act of 2002, that, to the best of my knowledge:</w:t>
      </w:r>
    </w:p>
    <w:p>
      <w:pPr>
        <w:spacing w:after="0" w:line="112" w:lineRule="exact"/>
        <w:rPr>
          <w:sz w:val="20"/>
          <w:szCs w:val="20"/>
          <w:color w:val="auto"/>
        </w:rPr>
      </w:pPr>
    </w:p>
    <w:p>
      <w:pPr>
        <w:ind w:left="1020" w:right="800" w:hanging="503"/>
        <w:spacing w:after="0" w:line="28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Marella Thorell</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Marella Thorell</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w:t>
            </w:r>
            <w:r>
              <w:rPr>
                <w:rFonts w:ascii="Times New Roman" w:cs="Times New Roman" w:eastAsia="Times New Roman" w:hAnsi="Times New Roman"/>
                <w:sz w:val="18"/>
                <w:szCs w:val="18"/>
                <w:i w:val="1"/>
                <w:iCs w:val="1"/>
                <w:color w:val="auto"/>
              </w:rPr>
              <w:t>Principal Financial</w:t>
            </w:r>
          </w:p>
        </w:tc>
      </w:tr>
      <w:tr>
        <w:trPr>
          <w:trHeight w:val="236"/>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and Accounting Officer</w:t>
            </w:r>
            <w:r>
              <w:rPr>
                <w:rFonts w:ascii="Times New Roman" w:cs="Times New Roman" w:eastAsia="Times New Roman" w:hAnsi="Times New Roman"/>
                <w:sz w:val="18"/>
                <w:szCs w:val="18"/>
                <w:color w:val="auto"/>
              </w:rPr>
              <w:t>)</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SERES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Seres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6" w:lineRule="exact"/>
        <w:rPr>
          <w:sz w:val="20"/>
          <w:szCs w:val="20"/>
          <w:color w:val="auto"/>
        </w:rPr>
      </w:pPr>
    </w:p>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69"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440" w:hanging="432"/>
        <w:spacing w:after="0"/>
        <w:tabs>
          <w:tab w:leader="none" w:pos="44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spacing w:after="0" w:line="236" w:lineRule="auto"/>
        <w:rPr>
          <w:sz w:val="20"/>
          <w:szCs w:val="20"/>
          <w:color w:val="auto"/>
        </w:rPr>
      </w:pPr>
      <w:r>
        <w:rPr>
          <w:rFonts w:ascii="Times New Roman" w:cs="Times New Roman" w:eastAsia="Times New Roman" w:hAnsi="Times New Roman"/>
          <w:sz w:val="22"/>
          <w:szCs w:val="22"/>
          <w:color w:val="auto"/>
        </w:rPr>
        <w:t>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7" w:lineRule="exact"/>
        <w:rPr>
          <w:sz w:val="20"/>
          <w:szCs w:val="20"/>
          <w:color w:val="auto"/>
        </w:rPr>
      </w:pPr>
    </w:p>
    <w:p>
      <w:pPr>
        <w:ind w:left="440" w:hanging="432"/>
        <w:spacing w:after="0"/>
        <w:tabs>
          <w:tab w:leader="none" w:pos="44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79" w:lineRule="exact"/>
        <w:rPr>
          <w:sz w:val="20"/>
          <w:szCs w:val="20"/>
          <w:color w:val="auto"/>
        </w:rPr>
      </w:pPr>
    </w:p>
    <w:p>
      <w:pPr>
        <w:ind w:left="440" w:hanging="432"/>
        <w:spacing w:after="0"/>
        <w:tabs>
          <w:tab w:leader="none" w:pos="44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440" w:hanging="432"/>
        <w:spacing w:after="0"/>
        <w:tabs>
          <w:tab w:leader="none" w:pos="44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440" w:hanging="432"/>
        <w:spacing w:after="0"/>
        <w:tabs>
          <w:tab w:leader="none" w:pos="44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right or remedy at law or in equity that may be available to the Company or an affiliate of the Company.</w:t>
      </w:r>
    </w:p>
    <w:p>
      <w:pPr>
        <w:spacing w:after="0" w:line="202" w:lineRule="exact"/>
        <w:rPr>
          <w:sz w:val="20"/>
          <w:szCs w:val="20"/>
          <w:color w:val="auto"/>
        </w:rPr>
      </w:pPr>
    </w:p>
    <w:p>
      <w:pPr>
        <w:ind w:left="440" w:hanging="432"/>
        <w:spacing w:after="0"/>
        <w:tabs>
          <w:tab w:leader="none" w:pos="44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40" w:hanging="432"/>
        <w:spacing w:after="0"/>
        <w:tabs>
          <w:tab w:leader="none" w:pos="44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40" w:hanging="432"/>
        <w:spacing w:after="0"/>
        <w:tabs>
          <w:tab w:leader="none" w:pos="44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36"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1"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43" w:lineRule="exact"/>
        <w:rPr>
          <w:sz w:val="20"/>
          <w:szCs w:val="20"/>
          <w:color w:val="auto"/>
        </w:rPr>
      </w:pPr>
    </w:p>
    <w:p>
      <w:pPr>
        <w:jc w:val="both"/>
        <w:ind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1)"/>
      <w:numFmt w:val="lowerRoman"/>
      <w:start w:val="1"/>
    </w:lvl>
  </w:abstractNum>
  <w:abstractNum w:abstractNumId="7">
    <w:nsid w:val="799D0247"/>
    <w:multiLevelType w:val="hybridMultilevel"/>
    <w:lvl w:ilvl="0">
      <w:lvlJc w:val="left"/>
      <w:lvlText w:val="(%1)"/>
      <w:numFmt w:val="lowerRoman"/>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1)"/>
      <w:numFmt w:val="lowerLetter"/>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lowerRoman"/>
      <w:start w:val="5"/>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1)"/>
      <w:numFmt w:val="lowerRoman"/>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1)"/>
      <w:numFmt w:val="lowerLetter"/>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1)"/>
      <w:numFmt w:val="decimal"/>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1]"/>
      <w:numFmt w:val="decimal"/>
      <w:start w:val="1"/>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lowerRoman"/>
      <w:start w:val="1"/>
    </w:lvl>
  </w:abstractNum>
  <w:abstractNum w:abstractNumId="65">
    <w:nsid w:val="6A5F7029"/>
    <w:multiLevelType w:val="hybridMultilevel"/>
    <w:lvl w:ilvl="0">
      <w:lvlJc w:val="left"/>
      <w:lvlText w:val="%1."/>
      <w:numFmt w:val="decimal"/>
      <w:start w:val="2"/>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1."/>
      <w:numFmt w:val="decimal"/>
      <w:start w:val="3"/>
    </w:lvl>
  </w:abstractNum>
  <w:abstractNum w:abstractNumId="68">
    <w:nsid w:val="73A1821B"/>
    <w:multiLevelType w:val="hybridMultilevel"/>
    <w:lvl w:ilvl="0">
      <w:lvlJc w:val="left"/>
      <w:lvlText w:val="[%1]"/>
      <w:numFmt w:val="decimal"/>
      <w:start w:val="1"/>
    </w:lvl>
  </w:abstractNum>
  <w:abstractNum w:abstractNumId="69">
    <w:nsid w:val="7DE67713"/>
    <w:multiLevelType w:val="hybridMultilevel"/>
    <w:lvl w:ilvl="0">
      <w:lvlJc w:val="left"/>
      <w:lvlText w:val="%1."/>
      <w:numFmt w:val="decimal"/>
      <w:start w:val="4"/>
    </w:lvl>
  </w:abstractNum>
  <w:abstractNum w:abstractNumId="70">
    <w:nsid w:val="555C55B5"/>
    <w:multiLevelType w:val="hybridMultilevel"/>
    <w:lvl w:ilvl="0">
      <w:lvlJc w:val="left"/>
      <w:lvlText w:val="%1."/>
      <w:numFmt w:val="decimal"/>
      <w:start w:val="5"/>
    </w:lvl>
  </w:abstractNum>
  <w:abstractNum w:abstractNumId="71">
    <w:nsid w:val="3FA62ACA"/>
    <w:multiLevelType w:val="hybridMultilevel"/>
    <w:lvl w:ilvl="0">
      <w:lvlJc w:val="left"/>
      <w:lvlText w:val="%1."/>
      <w:numFmt w:val="decimal"/>
      <w:start w:val="6"/>
    </w:lvl>
  </w:abstractNum>
  <w:abstractNum w:abstractNumId="72">
    <w:nsid w:val="14FCE74E"/>
    <w:multiLevelType w:val="hybridMultilevel"/>
    <w:lvl w:ilvl="0">
      <w:lvlJc w:val="left"/>
      <w:lvlText w:val="%1."/>
      <w:numFmt w:val="decimal"/>
      <w:start w:val="7"/>
    </w:lvl>
  </w:abstractNum>
  <w:abstractNum w:abstractNumId="73">
    <w:nsid w:val="6A3DD3E8"/>
    <w:multiLevelType w:val="hybridMultilevel"/>
    <w:lvl w:ilvl="0">
      <w:lvlJc w:val="left"/>
      <w:lvlText w:val="%1."/>
      <w:numFmt w:val="decimal"/>
      <w:start w:val="8"/>
    </w:lvl>
  </w:abstractNum>
  <w:abstractNum w:abstractNumId="74">
    <w:nsid w:val="71C91298"/>
    <w:multiLevelType w:val="hybridMultilevel"/>
    <w:lvl w:ilvl="0">
      <w:lvlJc w:val="left"/>
      <w:lvlText w:val="%1."/>
      <w:numFmt w:val="decimal"/>
      <w:start w:val="9"/>
    </w:lvl>
  </w:abstractNum>
  <w:abstractNum w:abstractNumId="75">
    <w:nsid w:val="9DAF632"/>
    <w:multiLevelType w:val="hybridMultilevel"/>
    <w:lvl w:ilvl="0">
      <w:lvlJc w:val="left"/>
      <w:lvlText w:val="[%1]"/>
      <w:numFmt w:val="decimal"/>
      <w:start w:val="1"/>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1"/>
      <w:numFmt w:val="upperLetter"/>
      <w:start w:val="1"/>
    </w:lvl>
    <w:lvl w:ilvl="1">
      <w:lvlJc w:val="left"/>
      <w:lvlText w:val="•"/>
      <w:numFmt w:val="bullet"/>
      <w:start w:val="1"/>
    </w:lvl>
  </w:abstractNum>
  <w:abstractNum w:abstractNumId="79">
    <w:nsid w:val="1D545C4D"/>
    <w:multiLevelType w:val="hybridMultilevel"/>
    <w:lvl w:ilvl="0">
      <w:lvlJc w:val="left"/>
      <w:lvlText w:val="%1."/>
      <w:numFmt w:val="upperLetter"/>
      <w:start w:val="35"/>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upperLetter"/>
      <w:start w:val="61"/>
    </w:lvl>
  </w:abstractNum>
  <w:abstractNum w:abstractNumId="82">
    <w:nsid w:val="2A155DBC"/>
    <w:multiLevelType w:val="hybridMultilevel"/>
    <w:lvl w:ilvl="0">
      <w:lvlJc w:val="left"/>
      <w:lvlText w:val="%1."/>
      <w:numFmt w:val="upperLetter"/>
    </w:lvl>
    <w:lvl w:ilvl="1">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1."/>
      <w:numFmt w:val="upperLetter"/>
      <w:start w:val="2"/>
    </w:lvl>
  </w:abstractNum>
  <w:abstractNum w:abstractNumId="86">
    <w:nsid w:val="1CA0C5FA"/>
    <w:multiLevelType w:val="hybridMultilevel"/>
    <w:lvl w:ilvl="0">
      <w:lvlJc w:val="left"/>
      <w:lvlText w:val="%1."/>
      <w:numFmt w:val="upperLetter"/>
      <w:start w:val="3"/>
    </w:lvl>
  </w:abstractNum>
  <w:abstractNum w:abstractNumId="87">
    <w:nsid w:val="53584BCB"/>
    <w:multiLevelType w:val="hybridMultilevel"/>
    <w:lvl w:ilvl="0">
      <w:lvlJc w:val="left"/>
      <w:lvlText w:val="%1."/>
      <w:numFmt w:val="upperLetter"/>
      <w:start w:val="4"/>
    </w:lvl>
  </w:abstractNum>
  <w:abstractNum w:abstractNumId="88">
    <w:nsid w:val="415E286C"/>
    <w:multiLevelType w:val="hybridMultilevel"/>
    <w:lvl w:ilvl="0">
      <w:lvlJc w:val="left"/>
      <w:lvlText w:val="%1."/>
      <w:numFmt w:val="upperLetter"/>
      <w:start w:val="5"/>
    </w:lvl>
  </w:abstractNum>
  <w:abstractNum w:abstractNumId="89">
    <w:nsid w:val="7C58FD05"/>
    <w:multiLevelType w:val="hybridMultilevel"/>
    <w:lvl w:ilvl="0">
      <w:lvlJc w:val="left"/>
      <w:lvlText w:val="•"/>
      <w:numFmt w:val="bullet"/>
      <w:start w:val="1"/>
    </w:lvl>
  </w:abstractNum>
  <w:abstractNum w:abstractNumId="90">
    <w:nsid w:val="23D86AAC"/>
    <w:multiLevelType w:val="hybridMultilevel"/>
    <w:lvl w:ilvl="0">
      <w:lvlJc w:val="left"/>
      <w:lvlText w:val="%1."/>
      <w:numFmt w:val="upperLetter"/>
      <w:start w:val="6"/>
    </w:lvl>
  </w:abstractNum>
  <w:abstractNum w:abstractNumId="91">
    <w:nsid w:val="45E6D486"/>
    <w:multiLevelType w:val="hybridMultilevel"/>
    <w:lvl w:ilvl="0">
      <w:lvlJc w:val="left"/>
      <w:lvlText w:val="%1."/>
      <w:numFmt w:val="upperLetter"/>
      <w:start w:val="7"/>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1."/>
      <w:numFmt w:val="upperLetter"/>
      <w:start w:val="8"/>
    </w:lvl>
  </w:abstractNum>
  <w:abstractNum w:abstractNumId="94">
    <w:nsid w:val="3C5991AA"/>
    <w:multiLevelType w:val="hybridMultilevel"/>
    <w:lvl w:ilvl="0">
      <w:lvlJc w:val="left"/>
      <w:lvlText w:val="%1."/>
      <w:numFmt w:val="upperLetter"/>
      <w:start w:val="1"/>
    </w:lvl>
  </w:abstractNum>
  <w:abstractNum w:abstractNumId="95">
    <w:nsid w:val="4BD8591A"/>
    <w:multiLevelType w:val="hybridMultilevel"/>
    <w:lvl w:ilvl="0">
      <w:lvlJc w:val="left"/>
      <w:lvlText w:val="%1."/>
      <w:numFmt w:val="upperLetter"/>
      <w:start w:val="2"/>
    </w:lvl>
  </w:abstractNum>
  <w:abstractNum w:abstractNumId="96">
    <w:nsid w:val="78DF6A55"/>
    <w:multiLevelType w:val="hybridMultilevel"/>
    <w:lvl w:ilvl="0">
      <w:lvlJc w:val="left"/>
      <w:lvlText w:val="%1."/>
      <w:numFmt w:val="upperLetter"/>
      <w:start w:val="3"/>
    </w:lvl>
  </w:abstractNum>
  <w:abstractNum w:abstractNumId="97">
    <w:nsid w:val="39B7AAA2"/>
    <w:multiLevelType w:val="hybridMultilevel"/>
    <w:lvl w:ilvl="0">
      <w:lvlJc w:val="left"/>
      <w:lvlText w:val="%1."/>
      <w:numFmt w:val="upperLetter"/>
      <w:start w:val="4"/>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1."/>
      <w:numFmt w:val="decimal"/>
      <w:start w:val="2"/>
    </w:lvl>
  </w:abstractNum>
  <w:abstractNum w:abstractNumId="100">
    <w:nsid w:val="379E21B5"/>
    <w:multiLevelType w:val="hybridMultilevel"/>
    <w:lvl w:ilvl="0">
      <w:lvlJc w:val="left"/>
      <w:lvlText w:val="%1."/>
      <w:numFmt w:val="upperLetter"/>
      <w:start w:val="5"/>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1."/>
      <w:numFmt w:val="upperLetter"/>
      <w:start w:val="22"/>
    </w:lvl>
  </w:abstractNum>
  <w:abstractNum w:abstractNumId="103">
    <w:nsid w:val="4C9B0904"/>
    <w:multiLevelType w:val="hybridMultilevel"/>
    <w:lvl w:ilvl="0">
      <w:lvlJc w:val="left"/>
      <w:lvlText w:val="%1."/>
      <w:numFmt w:val="upperLetter"/>
      <w:start w:val="1"/>
    </w:lvl>
  </w:abstractNum>
  <w:abstractNum w:abstractNumId="104">
    <w:nsid w:val="6AA7B75C"/>
    <w:multiLevelType w:val="hybridMultilevel"/>
    <w:lvl w:ilvl="0">
      <w:lvlJc w:val="left"/>
      <w:lvlText w:val="%1."/>
      <w:numFmt w:val="upperLetter"/>
      <w:start w:val="2"/>
    </w:lvl>
  </w:abstractNum>
  <w:abstractNum w:abstractNumId="105">
    <w:nsid w:val="1DF029D3"/>
    <w:multiLevelType w:val="hybridMultilevel"/>
    <w:lvl w:ilvl="0">
      <w:lvlJc w:val="left"/>
      <w:lvlText w:val="%1."/>
      <w:numFmt w:val="upperLetter"/>
      <w:start w:val="3"/>
    </w:lvl>
  </w:abstractNum>
  <w:abstractNum w:abstractNumId="106">
    <w:nsid w:val="5675FF36"/>
    <w:multiLevelType w:val="hybridMultilevel"/>
    <w:lvl w:ilvl="0">
      <w:lvlJc w:val="left"/>
      <w:lvlText w:val="%1."/>
      <w:numFmt w:val="upperLetter"/>
      <w:start w:val="4"/>
    </w:lvl>
  </w:abstractNum>
  <w:abstractNum w:abstractNumId="107">
    <w:nsid w:val="3DD15094"/>
    <w:multiLevelType w:val="hybridMultilevel"/>
    <w:lvl w:ilvl="0">
      <w:lvlJc w:val="left"/>
      <w:lvlText w:val="%1."/>
      <w:numFmt w:val="upperLetter"/>
      <w:start w:val="5"/>
    </w:lvl>
  </w:abstractNum>
  <w:abstractNum w:abstractNumId="108">
    <w:nsid w:val="3DB012B3"/>
    <w:multiLevelType w:val="hybridMultilevel"/>
    <w:lvl w:ilvl="0">
      <w:lvlJc w:val="left"/>
      <w:lvlText w:val="%1."/>
      <w:numFmt w:val="upperLetter"/>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1."/>
      <w:numFmt w:val="upperLetter"/>
      <w:start w:val="2"/>
    </w:lvl>
  </w:abstractNum>
  <w:abstractNum w:abstractNumId="111">
    <w:nsid w:val="175DFCF0"/>
    <w:multiLevelType w:val="hybridMultilevel"/>
    <w:lvl w:ilvl="0">
      <w:lvlJc w:val="left"/>
      <w:lvlText w:val="%1."/>
      <w:numFmt w:val="upperLetter"/>
      <w:start w:val="3"/>
    </w:lvl>
  </w:abstractNum>
  <w:abstractNum w:abstractNumId="112">
    <w:nsid w:val="4F97E3E4"/>
    <w:multiLevelType w:val="hybridMultilevel"/>
    <w:lvl w:ilvl="0">
      <w:lvlJc w:val="left"/>
      <w:lvlText w:val="%1."/>
      <w:numFmt w:val="upperLetter"/>
      <w:start w:val="4"/>
    </w:lvl>
  </w:abstractNum>
  <w:abstractNum w:abstractNumId="113">
    <w:nsid w:val="53B0A9E"/>
    <w:multiLevelType w:val="hybridMultilevel"/>
    <w:lvl w:ilvl="0">
      <w:lvlJc w:val="left"/>
      <w:lvlText w:val="%1."/>
      <w:numFmt w:val="upperLetter"/>
      <w:start w:val="5"/>
    </w:lvl>
  </w:abstractNum>
  <w:abstractNum w:abstractNumId="114">
    <w:nsid w:val="34FD6B4F"/>
    <w:multiLevelType w:val="hybridMultilevel"/>
    <w:lvl w:ilvl="0">
      <w:lvlJc w:val="left"/>
      <w:lvlText w:val="%1."/>
      <w:numFmt w:val="upperLetter"/>
      <w:start w:val="6"/>
    </w:lvl>
  </w:abstractNum>
  <w:abstractNum w:abstractNumId="115">
    <w:nsid w:val="5915FF32"/>
    <w:multiLevelType w:val="hybridMultilevel"/>
    <w:lvl w:ilvl="0">
      <w:lvlJc w:val="left"/>
      <w:lvlText w:val="%1."/>
      <w:numFmt w:val="upperLetter"/>
      <w:start w:val="7"/>
    </w:lvl>
  </w:abstractNum>
  <w:abstractNum w:abstractNumId="116">
    <w:nsid w:val="56438D15"/>
    <w:multiLevelType w:val="hybridMultilevel"/>
    <w:lvl w:ilvl="0">
      <w:lvlJc w:val="left"/>
      <w:lvlText w:val="%1."/>
      <w:numFmt w:val="upperLetter"/>
      <w:start w:val="8"/>
    </w:lvl>
  </w:abstractNum>
  <w:abstractNum w:abstractNumId="117">
    <w:nsid w:val="519E3149"/>
    <w:multiLevelType w:val="hybridMultilevel"/>
    <w:lvl w:ilvl="0">
      <w:lvlJc w:val="left"/>
      <w:lvlText w:val="%1."/>
      <w:numFmt w:val="upperLetter"/>
      <w:start w:val="9"/>
    </w:lvl>
  </w:abstractNum>
  <w:abstractNum w:abstractNumId="118">
    <w:nsid w:val="2C6E4AFD"/>
    <w:multiLevelType w:val="hybridMultilevel"/>
    <w:lvl w:ilvl="0">
      <w:lvlJc w:val="left"/>
      <w:lvlText w:val="%1."/>
      <w:numFmt w:val="decimal"/>
      <w:start w:val="1"/>
    </w:lvl>
    <w:lvl w:ilvl="1">
      <w:lvlJc w:val="left"/>
      <w:lvlText w:val="(%2)"/>
      <w:numFmt w:val="lowerLetter"/>
      <w:start w:val="1"/>
    </w:lvl>
  </w:abstractNum>
  <w:abstractNum w:abstractNumId="119">
    <w:nsid w:val="17A1B582"/>
    <w:multiLevelType w:val="hybridMultilevel"/>
    <w:lvl w:ilvl="0">
      <w:lvlJc w:val="left"/>
      <w:lvlText w:val="%1."/>
      <w:numFmt w:val="decimal"/>
      <w:start w:val="1"/>
    </w:lvl>
    <w:lvl w:ilvl="1">
      <w:lvlJc w:val="left"/>
      <w:lvlText w:val="(%2)"/>
      <w:numFmt w:val="lowerLetter"/>
      <w:start w:val="1"/>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1."/>
      <w:numFmt w:val="decimal"/>
      <w:start w:val="1"/>
    </w:lvl>
  </w:abstractNum>
  <w:abstractNum w:abstractNumId="123">
    <w:nsid w:val="2A082C70"/>
    <w:multiLevelType w:val="hybridMultilevel"/>
    <w:lvl w:ilvl="0">
      <w:lvlJc w:val="left"/>
      <w:lvlText w:val="%1."/>
      <w:numFmt w:val="decimal"/>
      <w:start w:val="2"/>
    </w:lvl>
  </w:abstractNum>
  <w:abstractNum w:abstractNumId="124">
    <w:nsid w:val="5EC6AFD4"/>
    <w:multiLevelType w:val="hybridMultilevel"/>
    <w:lvl w:ilvl="0">
      <w:lvlJc w:val="left"/>
      <w:lvlText w:val="%1."/>
      <w:numFmt w:val="decimal"/>
      <w:start w:val="3"/>
    </w:lvl>
  </w:abstractNum>
  <w:abstractNum w:abstractNumId="125">
    <w:nsid w:val="19E21BB2"/>
    <w:multiLevelType w:val="hybridMultilevel"/>
    <w:lvl w:ilvl="0">
      <w:lvlJc w:val="left"/>
      <w:lvlText w:val="%1."/>
      <w:numFmt w:val="decimal"/>
      <w:start w:val="4"/>
    </w:lvl>
  </w:abstractNum>
  <w:abstractNum w:abstractNumId="126">
    <w:nsid w:val="75E0858A"/>
    <w:multiLevelType w:val="hybridMultilevel"/>
    <w:lvl w:ilvl="0">
      <w:lvlJc w:val="left"/>
      <w:lvlText w:val="%1."/>
      <w:numFmt w:val="decimal"/>
      <w:start w:val="5"/>
    </w:lvl>
  </w:abstractNum>
  <w:abstractNum w:abstractNumId="127">
    <w:nsid w:val="57A61A29"/>
    <w:multiLevelType w:val="hybridMultilevel"/>
    <w:lvl w:ilvl="0">
      <w:lvlJc w:val="left"/>
      <w:lvlText w:val="%1."/>
      <w:numFmt w:val="decimal"/>
      <w:start w:val="6"/>
    </w:lvl>
  </w:abstractNum>
  <w:abstractNum w:abstractNumId="128">
    <w:nsid w:val="5399C654"/>
    <w:multiLevelType w:val="hybridMultilevel"/>
    <w:lvl w:ilvl="0">
      <w:lvlJc w:val="left"/>
      <w:lvlText w:val="%1."/>
      <w:numFmt w:val="decimal"/>
      <w:start w:val="7"/>
    </w:lvl>
  </w:abstractNum>
  <w:abstractNum w:abstractNumId="129">
    <w:nsid w:val="20EE1348"/>
    <w:multiLevelType w:val="hybridMultilevel"/>
    <w:lvl w:ilvl="0">
      <w:lvlJc w:val="left"/>
      <w:lvlText w:val="%1."/>
      <w:numFmt w:val="decimal"/>
      <w:start w:val="8"/>
    </w:lvl>
  </w:abstractNum>
  <w:abstractNum w:abstractNumId="130">
    <w:nsid w:val="4427069A"/>
    <w:multiLevelType w:val="hybridMultilevel"/>
    <w:lvl w:ilvl="0">
      <w:lvlJc w:val="left"/>
      <w:lvlText w:val="%1."/>
      <w:numFmt w:val="decimal"/>
      <w:start w:val="9"/>
    </w:lvl>
  </w:abstractNum>
  <w:abstractNum w:abstractNumId="131">
    <w:nsid w:val="B37E80A"/>
    <w:multiLevelType w:val="hybridMultilevel"/>
    <w:lvl w:ilvl="0">
      <w:lvlJc w:val="left"/>
      <w:lvlText w:val="%1."/>
      <w:numFmt w:val="decimal"/>
      <w:start w:val="10"/>
    </w:lvl>
  </w:abstractNum>
  <w:abstractNum w:abstractNumId="132">
    <w:nsid w:val="2157F6BC"/>
    <w:multiLevelType w:val="hybridMultilevel"/>
    <w:lvl w:ilvl="0">
      <w:lvlJc w:val="left"/>
      <w:lvlText w:val="%1."/>
      <w:numFmt w:val="decimal"/>
      <w:start w:val="11"/>
    </w:lvl>
    <w:lvl w:ilvl="1">
      <w:lvlJc w:val="left"/>
      <w:lvlText w:val="\ldblquote"/>
      <w:numFmt w:val="bullet"/>
      <w:start w:val="1"/>
    </w:lvl>
  </w:abstractNum>
  <w:abstractNum w:abstractNumId="133">
    <w:nsid w:val="704E1DD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135" Type="http://schemas.openxmlformats.org/officeDocument/2006/relationships/hyperlink" Target="https://www.sec.gov/Archives/edgar/data/1609809/000114036124035951/ny20030749x1_ex2-1.htm" TargetMode="External"/><Relationship Id="rId136" Type="http://schemas.openxmlformats.org/officeDocument/2006/relationships/hyperlink" Target="https://www.sec.gov/Archives/edgar/data/1609809/000119312515242845/d48188dex31.htm" TargetMode="External"/><Relationship Id="rId137" Type="http://schemas.openxmlformats.org/officeDocument/2006/relationships/hyperlink" Target="https://www.sec.gov/Archives/edgar/data/1609809/000119312523176795/d506361dex31.htm" TargetMode="External"/><Relationship Id="rId138" Type="http://schemas.openxmlformats.org/officeDocument/2006/relationships/hyperlink" Target="https://www.sec.gov/Archives/edgar/data/1609809/000119312524089654/d798362dex31.htm" TargetMode="External"/><Relationship Id="rId139" Type="http://schemas.openxmlformats.org/officeDocument/2006/relationships/hyperlink" Target="https://www.sec.gov/Archives/edgar/data/1609809/000119312524000683/d582286dex31.htm" TargetMode="External"/><Relationship Id="rId140" Type="http://schemas.openxmlformats.org/officeDocument/2006/relationships/hyperlink" Target="https://www.sec.gov/Archives/edgar/data/1609809/000119312515224101/d816354dex42.htm" TargetMode="External"/><Relationship Id="rId141" Type="http://schemas.openxmlformats.org/officeDocument/2006/relationships/hyperlink" Target="https://www.sec.gov/Archives/edgar/data/1609809/000119312523120045/d200991dex41.htm" TargetMode="External"/><Relationship Id="rId142" Type="http://schemas.openxmlformats.org/officeDocument/2006/relationships/hyperlink" Target="https://www.sec.gov/Archives/edgar/data/1609809/000095017023006374/mcrb-ex10_1.htm" TargetMode="External"/><Relationship Id="rId143" Type="http://schemas.openxmlformats.org/officeDocument/2006/relationships/hyperlink" Target="https://www.sec.gov/Archives/edgar/data/1609809/000119312515224101/d816354dex103.htm" TargetMode="External"/><Relationship Id="rId144" Type="http://schemas.openxmlformats.org/officeDocument/2006/relationships/hyperlink" Target="https://www.sec.gov/Archives/edgar/data/1609809/000119312515202059/d816354dex101.htm" TargetMode="External"/><Relationship Id="rId145" Type="http://schemas.openxmlformats.org/officeDocument/2006/relationships/hyperlink" Target="https://www.sec.gov/Archives/edgar/data/1609809/000095017023006374/mcrb-ex10_4.htm" TargetMode="External"/><Relationship Id="rId146" Type="http://schemas.openxmlformats.org/officeDocument/2006/relationships/hyperlink" Target="https://www.sec.gov/Archives/edgar/data/1609809/000095017024055159/mcrb-ex10_2.htm" TargetMode="External"/><Relationship Id="rId147" Type="http://schemas.openxmlformats.org/officeDocument/2006/relationships/hyperlink" Target="https://www.sec.gov/Archives/edgar/data/1609809/000095017024025464/mcrb-ex10_6.htm" TargetMode="External"/><Relationship Id="rId148" Type="http://schemas.openxmlformats.org/officeDocument/2006/relationships/hyperlink" Target="https://www.sec.gov/Archives/edgar/data/1609809/000119312521023645/d30286dex101.htm" TargetMode="External"/><Relationship Id="rId149" Type="http://schemas.openxmlformats.org/officeDocument/2006/relationships/hyperlink" Target="https://www.sec.gov/Archives/edgar/data/1609809/000119312521023645/d30286dex102.htm" TargetMode="External"/><Relationship Id="rId150" Type="http://schemas.openxmlformats.org/officeDocument/2006/relationships/hyperlink" Target="https://www.sec.gov/Archives/edgar/data/1609809/000119312521023645/d30286dex103.htm" TargetMode="External"/><Relationship Id="rId153" Type="http://schemas.openxmlformats.org/officeDocument/2006/relationships/hyperlink" Target="https://www.sec.gov/Archives/edgar/data/1609809/000156459021010057/mcrb-ex1013_660.htm" TargetMode="External"/><Relationship Id="rId154" Type="http://schemas.openxmlformats.org/officeDocument/2006/relationships/hyperlink" Target="https://www.sec.gov/Archives/edgar/data/1609809/000156459021010057/mcrb-ex1014_662.htm" TargetMode="External"/><Relationship Id="rId155" Type="http://schemas.openxmlformats.org/officeDocument/2006/relationships/hyperlink" Target="https://www.sec.gov/Archives/edgar/data/1609809/000095017024055159/mcrb-ex10_1.htm" TargetMode="External"/><Relationship Id="rId156" Type="http://schemas.openxmlformats.org/officeDocument/2006/relationships/hyperlink" Target="https://www.sec.gov/Archives/edgar/data/1609809/000119312524230144/d873729dex101.htm" TargetMode="External"/><Relationship Id="rId157" Type="http://schemas.openxmlformats.org/officeDocument/2006/relationships/hyperlink" Target="https://www.sec.gov/Archives/edgar/data/0001609809/000119312520220584/d87599dex101.htm" TargetMode="External"/><Relationship Id="rId158" Type="http://schemas.openxmlformats.org/officeDocument/2006/relationships/hyperlink" Target="https://www.sec.gov/Archives/edgar/data/1609809/000095017024126018/mcrb-ex10_7.htm" TargetMode="External"/><Relationship Id="rId159" Type="http://schemas.openxmlformats.org/officeDocument/2006/relationships/hyperlink" Target="https://www.sec.gov/Archives/edgar/data/1609809/000119312522185606/d319800dex103.htm" TargetMode="External"/><Relationship Id="rId160" Type="http://schemas.openxmlformats.org/officeDocument/2006/relationships/hyperlink" Target="https://www.sec.gov/Archives/edgar/data/1609809/000095017024055159/mcrb-ex10_6.htm" TargetMode="External"/><Relationship Id="rId161" Type="http://schemas.openxmlformats.org/officeDocument/2006/relationships/hyperlink" Target="https://www.sec.gov/Archives/edgar/data/0001609809/000156459020008002/mcrb-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2025-03-13T10:34:40Z</dcterms:created>
  <dcterms:modified xsi:type="dcterms:W3CDTF">2025-03-13T10:34:40Z</dcterms:modified>
</cp:coreProperties>
</file>