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5"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24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2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5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6"/>
                <w:szCs w:val="16"/>
                <w:b w:val="1"/>
                <w:bCs w:val="1"/>
                <w:color w:val="auto"/>
              </w:rPr>
              <w:t>Commission File Number: 001-37465</w:t>
            </w:r>
          </w:p>
        </w:tc>
        <w:tc>
          <w:tcPr>
            <w:tcW w:w="5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3500" w:type="dxa"/>
            <w:vAlign w:val="bottom"/>
          </w:tcPr>
          <w:p>
            <w:pPr>
              <w:spacing w:after="0"/>
              <w:rPr>
                <w:sz w:val="7"/>
                <w:szCs w:val="7"/>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41"/>
                <w:szCs w:val="41"/>
                <w:b w:val="1"/>
                <w:bCs w:val="1"/>
                <w:color w:val="auto"/>
              </w:rPr>
              <w:t>Seres</w:t>
            </w: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5"/>
                <w:szCs w:val="5"/>
                <w:color w:val="auto"/>
              </w:rPr>
              <w:t>le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41"/>
                <w:szCs w:val="41"/>
                <w:b w:val="1"/>
                <w:bCs w:val="1"/>
                <w:color w:val="auto"/>
              </w:rPr>
              <w:t>Inc.</w:t>
            </w:r>
          </w:p>
        </w:tc>
        <w:tc>
          <w:tcPr>
            <w:tcW w:w="3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35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41"/>
                <w:szCs w:val="41"/>
                <w:b w:val="1"/>
                <w:bCs w:val="1"/>
                <w:color w:val="auto"/>
                <w:w w:val="91"/>
              </w:rPr>
              <w:t>Therapeutics,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4460" w:type="dxa"/>
            <w:vAlign w:val="bottom"/>
            <w:gridSpan w:val="8"/>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tcPr>
          <w:p>
            <w:pPr>
              <w:jc w:val="right"/>
              <w:ind w:right="1766"/>
              <w:spacing w:after="0"/>
              <w:rPr>
                <w:sz w:val="20"/>
                <w:szCs w:val="20"/>
                <w:color w:val="auto"/>
              </w:rPr>
            </w:pPr>
            <w:r>
              <w:rPr>
                <w:rFonts w:ascii="Times New Roman" w:cs="Times New Roman" w:eastAsia="Times New Roman" w:hAnsi="Times New Roman"/>
                <w:sz w:val="16"/>
                <w:szCs w:val="16"/>
                <w:b w:val="1"/>
                <w:bCs w:val="1"/>
                <w:color w:val="231F20"/>
              </w:rPr>
              <w:t>27-4326290</w:t>
            </w:r>
          </w:p>
        </w:tc>
        <w:tc>
          <w:tcPr>
            <w:tcW w:w="0" w:type="dxa"/>
            <w:vAlign w:val="bottom"/>
          </w:tcPr>
          <w:p>
            <w:pPr>
              <w:spacing w:after="0"/>
              <w:rPr>
                <w:sz w:val="1"/>
                <w:szCs w:val="1"/>
                <w:color w:val="auto"/>
              </w:rPr>
            </w:pPr>
          </w:p>
        </w:tc>
      </w:tr>
      <w:tr>
        <w:trPr>
          <w:trHeight w:val="157"/>
        </w:trPr>
        <w:tc>
          <w:tcPr>
            <w:tcW w:w="3500" w:type="dxa"/>
            <w:vAlign w:val="bottom"/>
          </w:tcPr>
          <w:p>
            <w:pPr>
              <w:jc w:val="center"/>
              <w:ind w:left="925"/>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80" w:type="dxa"/>
            <w:vAlign w:val="bottom"/>
          </w:tcPr>
          <w:p>
            <w:pPr>
              <w:jc w:val="center"/>
              <w:ind w:right="1126"/>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78"/>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101 Cambridgepark Drive</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80" w:type="dxa"/>
            <w:vAlign w:val="bottom"/>
          </w:tcPr>
          <w:p>
            <w:pPr>
              <w:jc w:val="right"/>
              <w:ind w:right="1966"/>
              <w:spacing w:after="0"/>
              <w:rPr>
                <w:sz w:val="20"/>
                <w:szCs w:val="20"/>
                <w:color w:val="auto"/>
              </w:rPr>
            </w:pPr>
            <w:r>
              <w:rPr>
                <w:rFonts w:ascii="Times New Roman" w:cs="Times New Roman" w:eastAsia="Times New Roman" w:hAnsi="Times New Roman"/>
                <w:sz w:val="16"/>
                <w:szCs w:val="16"/>
                <w:b w:val="1"/>
                <w:bCs w:val="1"/>
                <w:color w:val="auto"/>
              </w:rPr>
              <w:t>02140</w:t>
            </w:r>
          </w:p>
        </w:tc>
        <w:tc>
          <w:tcPr>
            <w:tcW w:w="0" w:type="dxa"/>
            <w:vAlign w:val="bottom"/>
          </w:tcPr>
          <w:p>
            <w:pPr>
              <w:spacing w:after="0"/>
              <w:rPr>
                <w:sz w:val="1"/>
                <w:szCs w:val="1"/>
                <w:color w:val="auto"/>
              </w:rPr>
            </w:pPr>
          </w:p>
        </w:tc>
      </w:tr>
      <w:tr>
        <w:trPr>
          <w:trHeight w:val="198"/>
        </w:trPr>
        <w:tc>
          <w:tcPr>
            <w:tcW w:w="3500" w:type="dxa"/>
            <w:vAlign w:val="bottom"/>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80" w:type="dxa"/>
            <w:vAlign w:val="bottom"/>
          </w:tcPr>
          <w:p>
            <w:pPr>
              <w:jc w:val="center"/>
              <w:ind w:right="112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7"/>
        </w:trPr>
        <w:tc>
          <w:tcPr>
            <w:tcW w:w="3500" w:type="dxa"/>
            <w:vAlign w:val="bottom"/>
          </w:tcPr>
          <w:p>
            <w:pPr>
              <w:spacing w:after="0"/>
              <w:rPr>
                <w:sz w:val="21"/>
                <w:szCs w:val="21"/>
                <w:color w:val="auto"/>
              </w:rPr>
            </w:pPr>
          </w:p>
        </w:tc>
        <w:tc>
          <w:tcPr>
            <w:tcW w:w="3240" w:type="dxa"/>
            <w:vAlign w:val="bottom"/>
            <w:gridSpan w:val="4"/>
          </w:tcPr>
          <w:p>
            <w:pPr>
              <w:jc w:val="center"/>
              <w:ind w:left="927"/>
              <w:spacing w:after="0"/>
              <w:rPr>
                <w:sz w:val="20"/>
                <w:szCs w:val="20"/>
                <w:color w:val="auto"/>
              </w:rPr>
            </w:pPr>
            <w:r>
              <w:rPr>
                <w:rFonts w:ascii="Times New Roman" w:cs="Times New Roman" w:eastAsia="Times New Roman" w:hAnsi="Times New Roman"/>
                <w:sz w:val="16"/>
                <w:szCs w:val="16"/>
                <w:b w:val="1"/>
                <w:bCs w:val="1"/>
                <w:color w:val="auto"/>
              </w:rPr>
              <w:t>(617) 945-9626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19"/>
                <w:szCs w:val="19"/>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5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00" w:type="dxa"/>
            <w:vAlign w:val="bottom"/>
            <w:gridSpan w:val="7"/>
          </w:tcPr>
          <w:p>
            <w:pPr>
              <w:jc w:val="center"/>
              <w:ind w:left="247"/>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Borders>
              <w:bottom w:val="single" w:sz="8" w:color="auto"/>
            </w:tcBorders>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50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MCRB</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288"/>
        </w:trPr>
        <w:tc>
          <w:tcPr>
            <w:tcW w:w="3500" w:type="dxa"/>
            <w:vAlign w:val="bottom"/>
          </w:tcPr>
          <w:p>
            <w:pPr>
              <w:spacing w:after="0"/>
              <w:rPr>
                <w:sz w:val="24"/>
                <w:szCs w:val="24"/>
                <w:color w:val="auto"/>
              </w:rPr>
            </w:pPr>
          </w:p>
        </w:tc>
        <w:tc>
          <w:tcPr>
            <w:tcW w:w="4460" w:type="dxa"/>
            <w:vAlign w:val="bottom"/>
            <w:gridSpan w:val="8"/>
          </w:tcPr>
          <w:p>
            <w:pPr>
              <w:jc w:val="center"/>
              <w:ind w:right="148"/>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4500" w:type="dxa"/>
            <w:vAlign w:val="bottom"/>
            <w:gridSpan w:val="3"/>
          </w:tcPr>
          <w:p>
            <w:pPr>
              <w:spacing w:after="0"/>
              <w:rPr>
                <w:sz w:val="6"/>
                <w:szCs w:val="6"/>
                <w:color w:val="auto"/>
              </w:rPr>
            </w:pPr>
          </w:p>
        </w:tc>
        <w:tc>
          <w:tcPr>
            <w:tcW w:w="2240" w:type="dxa"/>
            <w:vAlign w:val="bottom"/>
            <w:tcBorders>
              <w:bottom w:val="single" w:sz="8" w:color="auto"/>
            </w:tcBorders>
            <w:gridSpan w:val="2"/>
          </w:tcPr>
          <w:p>
            <w:pPr>
              <w:spacing w:after="0"/>
              <w:rPr>
                <w:sz w:val="6"/>
                <w:szCs w:val="6"/>
                <w:color w:val="auto"/>
              </w:rPr>
            </w:pPr>
          </w:p>
        </w:tc>
        <w:tc>
          <w:tcPr>
            <w:tcW w:w="660" w:type="dxa"/>
            <w:vAlign w:val="bottom"/>
            <w:gridSpan w:val="3"/>
          </w:tcPr>
          <w:p>
            <w:pPr>
              <w:spacing w:after="0"/>
              <w:rPr>
                <w:sz w:val="6"/>
                <w:szCs w:val="6"/>
                <w:color w:val="auto"/>
              </w:rPr>
            </w:pPr>
          </w:p>
        </w:tc>
        <w:tc>
          <w:tcPr>
            <w:tcW w:w="5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8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0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p>
        </w:tc>
        <w:tc>
          <w:tcPr>
            <w:tcW w:w="32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p>
    <w:p>
      <w:pPr>
        <w:spacing w:after="0" w:line="6" w:lineRule="exact"/>
        <w:rPr>
          <w:sz w:val="24"/>
          <w:szCs w:val="24"/>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87" w:lineRule="exact"/>
        <w:rPr>
          <w:sz w:val="24"/>
          <w:szCs w:val="24"/>
          <w:color w:val="auto"/>
        </w:rPr>
      </w:pPr>
    </w:p>
    <w:p>
      <w:pPr>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6580" w:val="left"/>
          <w:tab w:leader="none" w:pos="71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based on the closing price of the registrant’s common stock as reported on the Nasdaq Global Select Market on June 30, 2023, was $463,030,964. Solely for purposes of this disclosure, shares of common stock held by executive officers, directors and certain stockholders of the registrant as of such date have been excluded because such holders may be deemed to be affiliates.</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1, 2024 there were 151,009,462 shares of the registrant’s common stock, par value $0.001 per share, outstanding.</w:t>
      </w:r>
    </w:p>
    <w:p>
      <w:pPr>
        <w:spacing w:after="0" w:line="4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 w:name="page2"/>
    <w:bookmarkEnd w:id="1"/>
    <w:p>
      <w:pPr>
        <w:ind w:firstLine="50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2024 Annual Meeting of Stockholders to be filed with the SEC within 120 days after the end of the fiscal year ended December 31, 2023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7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60" w:type="dxa"/>
            <w:vAlign w:val="bottom"/>
            <w:gridSpan w:val="22"/>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60" w:type="dxa"/>
            <w:vAlign w:val="bottom"/>
            <w:gridSpan w:val="12"/>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200" w:type="dxa"/>
            <w:vAlign w:val="bottom"/>
            <w:gridSpan w:val="1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60" w:type="dxa"/>
            <w:vAlign w:val="bottom"/>
            <w:gridSpan w:val="16"/>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Item 5.</w:t>
            </w:r>
          </w:p>
        </w:tc>
        <w:tc>
          <w:tcPr>
            <w:tcW w:w="720" w:type="dxa"/>
            <w:vAlign w:val="bottom"/>
            <w:gridSpan w:val="4"/>
            <w:vMerge w:val="restart"/>
          </w:tcPr>
          <w:p>
            <w:pPr>
              <w:spacing w:after="0"/>
              <w:rPr>
                <w:sz w:val="19"/>
                <w:szCs w:val="19"/>
                <w:color w:val="auto"/>
              </w:rPr>
            </w:pPr>
          </w:p>
        </w:tc>
        <w:tc>
          <w:tcPr>
            <w:tcW w:w="80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20" w:type="dxa"/>
            <w:vAlign w:val="bottom"/>
            <w:vMerge w:val="restart"/>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780" w:type="dxa"/>
            <w:vAlign w:val="bottom"/>
            <w:gridSpan w:val="3"/>
          </w:tcPr>
          <w:p>
            <w:pPr>
              <w:spacing w:after="0"/>
              <w:rPr>
                <w:sz w:val="5"/>
                <w:szCs w:val="5"/>
                <w:color w:val="auto"/>
              </w:rPr>
            </w:pPr>
          </w:p>
        </w:tc>
        <w:tc>
          <w:tcPr>
            <w:tcW w:w="540" w:type="dxa"/>
            <w:vAlign w:val="bottom"/>
            <w:gridSpan w:val="3"/>
          </w:tcPr>
          <w:p>
            <w:pPr>
              <w:spacing w:after="0"/>
              <w:rPr>
                <w:sz w:val="5"/>
                <w:szCs w:val="5"/>
                <w:color w:val="auto"/>
              </w:rPr>
            </w:pPr>
          </w:p>
        </w:tc>
        <w:tc>
          <w:tcPr>
            <w:tcW w:w="22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106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[Reserved]</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00" w:type="dxa"/>
            <w:vAlign w:val="bottom"/>
            <w:gridSpan w:val="7"/>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20" w:type="dxa"/>
            <w:vAlign w:val="bottom"/>
            <w:gridSpan w:val="3"/>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3"/>
          </w:tcPr>
          <w:p>
            <w:pPr>
              <w:spacing w:after="0"/>
              <w:rPr>
                <w:sz w:val="19"/>
                <w:szCs w:val="19"/>
                <w:color w:val="auto"/>
              </w:rPr>
            </w:pPr>
          </w:p>
        </w:tc>
        <w:tc>
          <w:tcPr>
            <w:tcW w:w="7440" w:type="dxa"/>
            <w:vAlign w:val="bottom"/>
            <w:gridSpan w:val="14"/>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00" w:type="dxa"/>
            <w:vAlign w:val="bottom"/>
            <w:gridSpan w:val="8"/>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20" w:type="dxa"/>
            <w:vAlign w:val="bottom"/>
            <w:gridSpan w:val="2"/>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00" w:type="dxa"/>
            <w:vAlign w:val="bottom"/>
            <w:gridSpan w:val="5"/>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6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40" w:type="dxa"/>
            <w:vAlign w:val="bottom"/>
            <w:gridSpan w:val="10"/>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2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gridSpan w:val="16"/>
          </w:tcPr>
          <w:p>
            <w:pPr>
              <w:ind w:left="41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FORWARD-LOOKING STATEMENTS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without limitation statements regarding our future results of operations and financial position, business strategy, prospective products, product approvals, research and development costs, timing and likelihood of success, manufacturing activities and related timing, expected benefits of our restructuring initiative and cost saving measures, commercialization efforts and related timing, our ability to continue as a going concern,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SERVICE MARKS AND TRADENAMES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6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the expected benefits from our restructuring and other cost reduction efforts.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commercial-stage company and have incurred significant losses since our inception. We expect to incur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in order to complete development of our product candidates and commercialize VOWST and our product candidates, if approved. If we are unable to raise capital when needed, we could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commercial success of VOWST, which was only recently approved for marketing by the FDA and launched in the United States. There is no assurance that our commercialization efforts or those of our collaborators will be successful or that we will be able to generate collaboration profit at the levels or within the timing we expect.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380" w:right="5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VOWST, we are early in our development efforts of our product candidates and may not be successful in our efforts to use our microbiome therapeutics platform to build a pipeline of product candidates and develop additional marketable drugs.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VOWST and our product candidates are based on microbiome therapeutics, which is a novel approach to therapeutic intervention.</w:t>
      </w:r>
    </w:p>
    <w:p>
      <w:pPr>
        <w:spacing w:after="0" w:line="117" w:lineRule="exact"/>
        <w:rPr>
          <w:rFonts w:ascii="Times New Roman" w:cs="Times New Roman" w:eastAsia="Times New Roman" w:hAnsi="Times New Roman"/>
          <w:sz w:val="18"/>
          <w:szCs w:val="18"/>
          <w:color w:val="auto"/>
        </w:rPr>
      </w:pPr>
    </w:p>
    <w:p>
      <w:pPr>
        <w:jc w:val="both"/>
        <w:ind w:left="380" w:right="540" w:hanging="378"/>
        <w:spacing w:after="0" w:line="312"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31" w:lineRule="exact"/>
        <w:rPr>
          <w:rFonts w:ascii="Times New Roman" w:cs="Times New Roman" w:eastAsia="Times New Roman" w:hAnsi="Times New Roman"/>
          <w:sz w:val="17"/>
          <w:szCs w:val="17"/>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result in our receipt of necessary regulatory approvals being delayed or prevented.</w:t>
      </w:r>
    </w:p>
    <w:p>
      <w:pPr>
        <w:spacing w:after="0" w:line="53" w:lineRule="exact"/>
        <w:rPr>
          <w:rFonts w:ascii="Times New Roman" w:cs="Times New Roman" w:eastAsia="Times New Roman" w:hAnsi="Times New Roman"/>
          <w:sz w:val="18"/>
          <w:szCs w:val="18"/>
          <w:color w:val="auto"/>
        </w:rPr>
      </w:pPr>
    </w:p>
    <w:p>
      <w:pPr>
        <w:ind w:left="380" w:right="18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we or our collaborators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71" w:lineRule="exact"/>
        <w:rPr>
          <w:rFonts w:ascii="Times New Roman" w:cs="Times New Roman" w:eastAsia="Times New Roman" w:hAnsi="Times New Roman"/>
          <w:sz w:val="18"/>
          <w:szCs w:val="18"/>
          <w:color w:val="auto"/>
        </w:rPr>
      </w:pPr>
    </w:p>
    <w:p>
      <w:pPr>
        <w:ind w:left="380" w:right="140" w:hanging="378"/>
        <w:spacing w:after="0" w:line="281" w:lineRule="auto"/>
        <w:tabs>
          <w:tab w:leader="none" w:pos="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collaboration and license agreements with Société des Produits Nestlé S.A., successor in interest to Nestec Ltd.</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and NHSc Rx License GmbH, successor in interest to NHSc Pharma Partners (collectively, and together with their affiliates and subsidiaries, Nestlé) are important to our business. If we or Nestlé fail to adequately perform under these agreements, or if we or Nestlé terminate the agreements, the development and commercialization of our CDI and IBD product candidates could be delayed or terminated and our business would be adversely affected.</w:t>
      </w:r>
    </w:p>
    <w:p>
      <w:pPr>
        <w:spacing w:after="0" w:line="56" w:lineRule="exact"/>
        <w:rPr>
          <w:rFonts w:ascii="Times New Roman" w:cs="Times New Roman" w:eastAsia="Times New Roman" w:hAnsi="Times New Roman"/>
          <w:sz w:val="17"/>
          <w:szCs w:val="17"/>
          <w:color w:val="auto"/>
        </w:rPr>
      </w:pPr>
    </w:p>
    <w:p>
      <w:pPr>
        <w:ind w:left="380" w:right="4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380" w:right="38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for certain aspects of the manufacture of our product and product candidates and expect to continue to do so for the foreseeable future. This reliance on third parties increases the risk that we will not have sufficient quantities of our product and product candidates or that such quantities may not be available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380" w:right="24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though VOWST has received FDA approval and even if any of our product candidates receive marketing approval, VOWST and such product candidates may fail to achieve the degree of market acceptance by physicians, patients, hospitals, third-party payors and others in the medical community necessary for commercial success.</w:t>
      </w:r>
    </w:p>
    <w:p>
      <w:pPr>
        <w:spacing w:after="0" w:line="67" w:lineRule="exact"/>
        <w:rPr>
          <w:rFonts w:ascii="Times New Roman" w:cs="Times New Roman" w:eastAsia="Times New Roman" w:hAnsi="Times New Roman"/>
          <w:sz w:val="18"/>
          <w:szCs w:val="18"/>
          <w:color w:val="auto"/>
        </w:rPr>
      </w:pPr>
    </w:p>
    <w:p>
      <w:pPr>
        <w:ind w:left="380" w:right="3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0" w:right="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or product candidates, others could compete against us more directly, which would have a material adverse impact on our business, results of operations, financial condition and prospects.</w:t>
      </w:r>
    </w:p>
    <w:p>
      <w:pPr>
        <w:spacing w:after="0" w:line="6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22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00" w:top="1093" w:right="4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a commercial-stage microbiome therapeutics company focused on the development and commercialization of a novel class of biological drugs, which are designed to treat disease by modulating the microbiome to restore health by repairing the function of a disrupted microbiome to a non-disease state. Our first drug, VOWST™ (fecal microbiota spores, live-brpk), formerly called SER-109, was approved by the U.S. Food and Drug Administration, or FDA, on April 26, 2023, to prevent recurrence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or CDI, in patients 18 or older following antibacterial treatment for recurrent CDI. Our drug discovery and development pipeline includes other pre-clinical and clinical-stage assets. VOWST and our microbiome therapeutic candidates are consortia of bacteria designed to optimize specific, targeted pharmacological properties, and are formulated for oral delivery. We maintain a differentiated microbiome therapeutics drug discovery and development platform that includes good manufacturing practices, or GMP, manufacturing capabilities for this novel drug modality.</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highest priority is the commercialization of VOWST in the United States, the first orally administered microbiome therapeutic approved by the FDA. We launched VOWST in the United States with our collaborator, Nestlé Health Science, or Nestlé, in June 2023.</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designing microbiome therapeutics optimized to decolonize pathogens and to modulate host function to both reduce and prevent infections and induce immune tolerance.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including pathogens that harbor antimicrobial resistance, or AMR.</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evaluating SER-155 in a Phase 1b study in patients undergoing allogeneic hematopoietic stem cell transplantation, or allo-HSCT, to prevent enteric-derived infections and resulting blood stream infections, as well as induce immune tolerance responses to reduce the incidence of graft-versus-host disease, or GvHD. In May 2023, we announced the Phase 1b cohort 1 results. Gastrointestinal microbiome data from the first 100 days of SER-155 Phase 1b open-label study cohort 1 showed the successful engraftment of SER-155 bacterial strains, and a substantial reduction in the cumulative incidence of pathogen domination as compared to a reference cohort of patients, a biomarker associated with the risk of serious enteric infections and resulting bloodstream infections, as well as GvHD in this patient population. The tolerability profile observed was favorable, with no serious adverse events attributed to SER-155 administration. In December 2023, we received Fast Track Designation for SER-155 to reduce the risk of infection and GvHD in patients undergoing allo-HSCT. Enrollment in the placebo-controlled cohort 2 portion of the study is ongoing, and the cohort 2 data readout is anticipated in the third quarter of 2024.</w:t>
      </w:r>
    </w:p>
    <w:p>
      <w:pPr>
        <w:spacing w:after="0" w:line="80"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have progressed additional preclinical stage programs to evaluate whether microbiome therapeutics may reduce the incidence of infection in indications such as chronic liver disease, cancer neutropenia, solid organ transplant, and AMR infections more broadly in high-risk settings such as intensive care units. Additional efforts in the early-stage portfolio are focused on the SER-301 program in irritable bowel disease, or IBD, and programmatic objectives that are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In addition, we continue to leverage microbiome pharmacokinetic and pharmacodynamic data from across our clinical and preclinical portfolios, using our reverse translational microbiome therapeutic development platform to prioritize future drug targets and to identify opportunities for combination therapies across various indications, including inflammatory and immune diseases, cancer, and metabolic diseases.</w:t>
      </w:r>
    </w:p>
    <w:p>
      <w:pPr>
        <w:spacing w:after="0" w:line="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for the discovery and development of microbiome 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microbiome therapeutics; and microbiological capabilities and a strain library that spans broad biological and functional breadth. This platform and knowledge base enables both identification of specific microbes and microbial metabolites/peptides that are associated with disease and the design of therapeutic consortia of bacteria optimized for specific pharmacological properties. In addition, we own a valuable intellectual property estate related to the development and manufacture of microbiome therapeutics.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we announced a restructuring plan, or the Restructuring Plan, to prioritize the commercialization of VOWST and the completion of the SER-155 Phase 1b study, while reducing costs and supporting longer-term business sustainability. The Restructuring Plan included (i) a reduction of our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 The Restructuring Plan was substantially implemented around the end of fiscal 2023. In connection with the Restructuring Plan, for the year ended December 31, 2023, we incurred approximately $5.6 million in restructuring costs, primarily related to the workforce reduction, of which $5.3 million are expected to result in cash expenditures, and the remaining $0.3 million relates to stock-based compensation expense associated with the acceleration of unvested equity awards. These costs were incurred in the fourth quarter of 2023.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our audited consolidated financial statements included elsewhere in this Annual Report. We expect to achieve annual cash savings of approximately $75.0 million to $85.0 million in 2024, of which approximately $35.0 million is expected to result from the reduction in workforce, and which excludes any one-time charges primarily associated with the workforce reduction.</w:t>
      </w:r>
    </w:p>
    <w:p>
      <w:pPr>
        <w:spacing w:after="0" w:line="8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and know-how in microbiome therapeutics, drug development, commercialization, chemistry, manufacturing and controls, or CMC, public company management and finance.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goal is to remain the leading biopharmaceutical company developing and commercializing microbiome therapeutics to address significant unmet medical needs. We intend to focus in the near term on the commercialization of VOWST in the United States and the completion of the SER-155 Phase 1b study. Additionally, we continue to advance our differentiated microbiome drug discovery, development and manufacturing platforms and capabilities.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Programs</w:t>
      </w:r>
    </w:p>
    <w:p>
      <w:pPr>
        <w:spacing w:after="0" w:line="115" w:lineRule="exact"/>
        <w:rPr>
          <w:sz w:val="20"/>
          <w:szCs w:val="20"/>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the commercialization of VOWST in the United States. </w:t>
      </w:r>
      <w:r>
        <w:rPr>
          <w:rFonts w:ascii="Times New Roman" w:cs="Times New Roman" w:eastAsia="Times New Roman" w:hAnsi="Times New Roman"/>
          <w:sz w:val="18"/>
          <w:szCs w:val="18"/>
          <w:color w:val="auto"/>
        </w:rPr>
        <w:t>VOWST was approved by the FDA in April 2023 and is the first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orally administered microbiome therapeutic to prevent the recurrence of CDI in patients 18 or older following antibacterial treatment for recurrent CDI. In close collaboration with Nestlé, we have scaled our healthcare provider education efforts, worked to create a positive customer experience with faster and higher conversion of enrollments to new patient starts, and continued to establish payer coverage. Since the FDA approval of VOWST, Nestlé commercial customer facing field teams have been promoting VOWST and generating healthcare provider demand, including significant presence at both IDWeek and the American College of Gastroenterology, or ACG, meetings in October 2023. Nestlé’s 170 field sales representatives promoting VOWST are divided into two teams, comprised of 150 gastroenterology representatives and 20 hospital/infectious disease representatives. In addition, the production of VOWST commercial supply enabled a strong commercial launch within weeks of FDA approval and we continue to make progress expanding commercial-scale production of VOWST to prepare for anticipated future market demand.</w:t>
      </w:r>
    </w:p>
    <w:p>
      <w:pPr>
        <w:spacing w:after="0" w:line="7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Completing the SER-155 Phase 1b study and maximizing the opportunity in Infection Protection. </w:t>
      </w:r>
      <w:r>
        <w:rPr>
          <w:rFonts w:ascii="Times New Roman" w:cs="Times New Roman" w:eastAsia="Times New Roman" w:hAnsi="Times New Roman"/>
          <w:sz w:val="18"/>
          <w:szCs w:val="18"/>
          <w:color w:val="auto"/>
        </w:rPr>
        <w:t>We believe that the scientific and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from our SER-109 program validate our Infection Protection approach of using microbiome therapeutics to decolonize pathogens and modulate host function to reduce and prevent infections. Infection Protection may be replicable across different bacterial pathogens to develop microbiome therapeutics with the potential to protect a range of medically compromised patients from infections. We are evaluating SER-155 in a Phase 1b study in patients receiving allo-HSCT in an effort to reduce incidences of gastrointestinal infections, resulting bloodstream infections and GvHD. In December 2023, we received Fast Track Designation for SER-155 to reduce the risk of infection and GvHD in patients undergoing allo-HSCT. Enrollment in the placebo-controlled cohort 2 portion of the study is ongoing, and the cohort 2 data readout is anticipated in the third quarter of 2024.</w:t>
      </w:r>
    </w:p>
    <w:p>
      <w:pPr>
        <w:spacing w:after="0" w:line="76" w:lineRule="exact"/>
        <w:rPr>
          <w:rFonts w:ascii="Times New Roman" w:cs="Times New Roman" w:eastAsia="Times New Roman" w:hAnsi="Times New Roman"/>
          <w:sz w:val="18"/>
          <w:szCs w:val="18"/>
          <w:color w:val="auto"/>
        </w:rPr>
      </w:pPr>
    </w:p>
    <w:p>
      <w:pPr>
        <w:ind w:left="1020" w:right="28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 research and development activities supported by partnerships. </w:t>
      </w:r>
      <w:r>
        <w:rPr>
          <w:rFonts w:ascii="Times New Roman" w:cs="Times New Roman" w:eastAsia="Times New Roman" w:hAnsi="Times New Roman"/>
          <w:sz w:val="18"/>
          <w:szCs w:val="18"/>
          <w:color w:val="auto"/>
        </w:rPr>
        <w:t>Data from our SER-287 Phase 2b study and the first cohort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subjects from our SER-301 Phase 1b study in patients with mild-to-moderate UC suggest that the pharmacodynamic effects observed for SER-287 and SER-301 were greater in a subset of patients with IBD. Based on these results, we continue to advance research and development activities supported by partnerships to evaluate the potential to utilize biomarker-based patient selection and stratification in future clinical development efforts in IBD. In October 2023, we were awarded a $500,000 grant from the Crohn’s &amp; Colitis Foundation to leverage our clinical results and biological mechanism insights to functionally characterize subpopulations and to define associated biomarkers for IBD patient selection and stratification of patients where the gastrointestinal microbiome plays an active role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ind w:left="1020" w:right="100"/>
        <w:spacing w:after="0" w:line="282" w:lineRule="auto"/>
        <w:rPr>
          <w:sz w:val="20"/>
          <w:szCs w:val="20"/>
          <w:color w:val="auto"/>
        </w:rPr>
      </w:pPr>
      <w:r>
        <w:rPr>
          <w:rFonts w:ascii="Times New Roman" w:cs="Times New Roman" w:eastAsia="Times New Roman" w:hAnsi="Times New Roman"/>
          <w:sz w:val="18"/>
          <w:szCs w:val="18"/>
          <w:color w:val="auto"/>
        </w:rPr>
        <w:t>inflammation and could be modified to reduce colitis. Our preclinical studies conducted to date, have recapitulated the patient subpopulation observations from the previously run trials and progressed associated biomarker delineation.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Advancing Our Capabilities</w:t>
      </w:r>
    </w:p>
    <w:p>
      <w:pPr>
        <w:spacing w:after="0" w:line="115" w:lineRule="exact"/>
        <w:rPr>
          <w:sz w:val="20"/>
          <w:szCs w:val="20"/>
          <w:color w:val="auto"/>
        </w:rPr>
      </w:pPr>
    </w:p>
    <w:p>
      <w:pPr>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Leveraging our leading reverse translational microbiome therapeutics platform to develop additional innovative and novel microbiome therapeutics across a range of serious medical conditions with high unmet need including infectious and inflammatory disease and disease associated with modulation of host immunity. </w:t>
      </w:r>
      <w:r>
        <w:rPr>
          <w:rFonts w:ascii="Times New Roman" w:cs="Times New Roman" w:eastAsia="Times New Roman" w:hAnsi="Times New Roman"/>
          <w:sz w:val="18"/>
          <w:szCs w:val="18"/>
          <w:color w:val="auto"/>
        </w:rPr>
        <w:t>We believe that the combination of experience, proprietary data and proprietary know-how related to the microbiome, the functional properties of microbial species and strains, microbe-host interactions, the cultivation of microbial strains, and microbiome-specific functional screens and analytics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microbiome therapeutics.</w:t>
      </w:r>
    </w:p>
    <w:p>
      <w:pPr>
        <w:spacing w:after="0" w:line="76"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manufacturing capabilities sufficient to support commercialization of any approved microbiome therapeutic candidates. </w:t>
      </w:r>
      <w:r>
        <w:rPr>
          <w:rFonts w:ascii="Times New Roman" w:cs="Times New Roman" w:eastAsia="Times New Roman" w:hAnsi="Times New Roman"/>
          <w:sz w:val="18"/>
          <w:szCs w:val="18"/>
          <w:color w:val="auto"/>
        </w:rPr>
        <w:t>Microbiome 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microbiome therapeutic candidates. Our bioprocess and manufacturing personnel are focused on creating a platform of manufacturing expertise that will set the stage for further advances in the emerging field of microbiome therapeutics.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Microbiome Therapeutics Platform</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developed the leading reverse translational microbiome therapeutics platform and knowledge base which we believe enables us to apply our capabilities to efficiently identify, manufacture and develop novel microbiome therapeutics for serious human diseases. We use a reverse translational discovery platform that incorporates analysis of microbiome biomarkers from human clinical data and preclinical assessments using human cell-based assays and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disease models. Specifically, we start with data sets from healthy subjects and subjects with disease, or being treated for a disease, to delineate at high-resolution the profile of the microbiome (composition and function) and the physiological state of subjects to identify specific microbiome and host signatures that associate with disease or the onset of disease. These in-human insights on how different microbe species and strains and microbe-associated metabolites, genes, or peptides are associated with disease along with how these microbes and metabolites directly or indirectly modulate disease-relevant functional pathways in the host are leveraged in preclinical drug design and development.</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discovery process begins with human data derived from clinical trials and cohort studies, which we use as a basis for target identification and the design of our microbiome 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utilize clinical data sets combined with advanced data sciences and microbiome analytics to identify microbiome signatures of disease at the resolution of specific species and strains, metabolites, or genes that are associated with disease states. These microbiome biomarkers are associated with host signatures and biomarkers of disease to identify drug targets for our microbiome therapeutics. Our clinical data from the VOWST (developed as SER-109), SER-301, and SER-155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80" w:lineRule="exact"/>
        <w:rPr>
          <w:sz w:val="20"/>
          <w:szCs w:val="20"/>
          <w:color w:val="auto"/>
        </w:rPr>
      </w:pPr>
    </w:p>
    <w:p>
      <w:pPr>
        <w:jc w:val="both"/>
        <w:ind w:right="120" w:firstLine="509"/>
        <w:spacing w:after="0" w:line="276" w:lineRule="auto"/>
        <w:rPr>
          <w:sz w:val="20"/>
          <w:szCs w:val="20"/>
          <w:color w:val="auto"/>
        </w:rPr>
      </w:pPr>
      <w:r>
        <w:rPr>
          <w:rFonts w:ascii="Times New Roman" w:cs="Times New Roman" w:eastAsia="Times New Roman" w:hAnsi="Times New Roman"/>
          <w:sz w:val="17"/>
          <w:szCs w:val="17"/>
          <w:color w:val="auto"/>
        </w:rPr>
        <w:t>We have developed a proprietary functionally characterized strain library and a suite of assays and screens, bioinformatics and computational tools, and databases, which facilitate our insights into the human microbiome. We have established proprietary, curated, reference databases and algorithms that:</w:t>
      </w:r>
    </w:p>
    <w:p>
      <w:pPr>
        <w:spacing w:after="0" w:line="1" w:lineRule="exact"/>
        <w:rPr>
          <w:sz w:val="20"/>
          <w:szCs w:val="20"/>
          <w:color w:val="auto"/>
        </w:rPr>
      </w:pPr>
    </w:p>
    <w:p>
      <w:pPr>
        <w:ind w:right="80" w:firstLine="8"/>
        <w:spacing w:after="0" w:line="251"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integrate high-resolution genomic, metagenomic, metabolomic, and transcriptomic data sets, and data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human cell-based assays,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vitro/ex vivo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disease models, and (ii) enable us to track changes in the microbiome at the level of microbial species and individual strains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associate these changes with changes in the metabolic state of the gut and host physiology. Our analytics can integrate gene profiling and metabolomics data (the small molecules made by the microbiome) with genomic data (the collection of microbes defined by sequencing) to delineate microbiome biomarkers (the specific species or strains and functional pathways) that contribute to the state of disease or health. Further, we have established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analytics for pharmacokinetic and pharmacodynamic assessments of microbiome therapeutics. Additionally, leveraging all of these data we have curated and continue to build a database that links and associates: (i) functional properties of microbial species/strains, (ii) functional pathways in hosts that can be modulated by the microbiome, (iii) the association of functional pathways to disease, and (iv) the association of existing non-microbiome drugs to the functional pathways. This continually growing database can be mined to inform drug design and disease area and patient population prioritization.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We have developed extensive isolation and cultivation know-how. The strain library contains a majority of the Human Microbiome Project’s “most wanted” and many novel species we do not believe are described in other databases or the scientific literature. The functional properties of strains are characterized using proprietary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human cell-based assays as well as full-genome sequences and genome functional annotation. Functional characterization of target strains includes properties such as how the bacteria interact with human colonic epithelial cells and human immune cells. We also seek to understand how these microbes improve the health of barrier cells in the gut and how they may impact immune responses.</w:t>
      </w:r>
    </w:p>
    <w:p>
      <w:pPr>
        <w:spacing w:after="0" w:line="79"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select bacteria from our library with specific predicted properties using novel algorithms for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functional design and optimization and grow the compositions in the lab to be tested both </w:t>
      </w:r>
      <w:r>
        <w:rPr>
          <w:rFonts w:ascii="Times New Roman" w:cs="Times New Roman" w:eastAsia="Times New Roman" w:hAnsi="Times New Roman"/>
          <w:sz w:val="18"/>
          <w:szCs w:val="18"/>
          <w:i w:val="1"/>
          <w:iCs w:val="1"/>
          <w:color w:val="auto"/>
        </w:rPr>
        <w:t>in vitro/ex vivo models</w:t>
      </w:r>
      <w:r>
        <w:rPr>
          <w:rFonts w:ascii="Times New Roman" w:cs="Times New Roman" w:eastAsia="Times New Roman" w:hAnsi="Times New Roman"/>
          <w:sz w:val="18"/>
          <w:szCs w:val="18"/>
          <w:color w:val="auto"/>
        </w:rPr>
        <w:t xml:space="preserve"> as delineated above and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Our animal models include conventional mice, germ-free mice, and “humanized avatar” mice that possess only bacteria derived from humans; these models were developed to minimize confounding variables presented by model organism microbes. Data from our </w:t>
      </w:r>
      <w:r>
        <w:rPr>
          <w:rFonts w:ascii="Times New Roman" w:cs="Times New Roman" w:eastAsia="Times New Roman" w:hAnsi="Times New Roman"/>
          <w:sz w:val="18"/>
          <w:szCs w:val="18"/>
          <w:i w:val="1"/>
          <w:iCs w:val="1"/>
          <w:color w:val="auto"/>
        </w:rPr>
        <w:t>in vitro/ex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screens are analyzed and used to optimize compositional designs; introducing new bacterial strains and optimizing existing strains until we identify a lead composition with the desired profile and that is suitable for clinical testing.</w:t>
      </w:r>
    </w:p>
    <w:p>
      <w:pPr>
        <w:spacing w:after="0" w:line="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Finally, we manufacture the bacterial composition under current Good Manufacturing Practices, or cGMP, or similar foreign requirements,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have secured additional capacity, designed to our specifications, via contract manufacturing organizations, or CMOs, to ensure adequate supply for VOWST and other potential commercial products. We addressed quality control requirements for VOWST using proprietary microbiological assays to assess the identity, potency, and purity of the final product.</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Disease Overview and Our Product Pipeline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our microbiome therapeutic product and product candidates represent a novel approach with potential application across a broad range of human diseases. Our first drug, VOWST, was approved by the FDA on April 26, 2023, to prevent recurrence of CDI in patients 18 or older following antibacterial treatment for recurrent CDI. VOWST is the first orally administered microbiome therapeutic approved by the FDA. We launched VOWST in the United States with our collaborator, Nestlé, in June 2023. Building upon VOWST, we are developing novel microbiome therapeutics, such as SER-155, to specifically target infections and antimicrobial resistance. We are evaluating SER-155 in a Phase 1b study in allo-HSCT recipients in an effort to reduce incidences of gastrointestinal infections, resulting bloodstream infections and GvHD. SER-155, an oral microbiome therapeutic candidate consisting of a consortium of cultivated bacteria, is designed to prevent enteric-derived infections and resulting blood stream infections, as well as induce immune tolerance responses to reduce the incidence of GvHD in patients undergoing allo-HSCT. In December 2023, we received Fast Track Designation for SER-155 to reduce the risk of infection and GvHD in patients undergoing allo-HSCT. Enrollment in the placebo-controlled cohort 2 portion of the study is ongoing, and the cohort 2 data readout is anticipated in the third quarter of 2024.</w:t>
      </w:r>
    </w:p>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progressed additional preclinical stage programs to evaluate whether microbiome therapeutics may reduce the incidence of infection in indications such as chronic liver disease, cancer neutropenia, solid organ transplant, and AMR infections more broadly in high-risk settings such as intensive care units. Additional efforts in the early-stage portfolio are focused on the SER-301 program in IBD and programmatic objectives that are supported through a partnership with CCF. These efforts aim to leverage our clinical results and biological mechanism insights to functionally characterize patient subpopulations and to define associated biomarkers for IBD patient selection and stratification of patients where the gastrointestinal microbiome plays an active role in inflammation and could be modified to reduce colitis. In addition, we continue to leverage microbiome pharmacokinetic and pharmacodynamic data from across our clinical and preclinical portfolios, using our reverse translational microbiome therapeutic development platform to prioritize future drug targets and opportunities for combination therapies across various indications, including inflammatory and immune diseases, cancer, and metabolic diseases.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CDI Overview and VOWST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Clostridioides difficile Infection</w:t>
      </w:r>
    </w:p>
    <w:p>
      <w:pPr>
        <w:spacing w:after="0" w:line="117"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 difficile </w:t>
      </w:r>
      <w:r>
        <w:rPr>
          <w:rFonts w:ascii="Times New Roman" w:cs="Times New Roman" w:eastAsia="Times New Roman" w:hAnsi="Times New Roman"/>
          <w:sz w:val="18"/>
          <w:szCs w:val="18"/>
          <w:color w:val="auto"/>
        </w:rPr>
        <w:t>is a Gram-positive, toxin-producing, spore forming bacterium that may cause debilitating diarrhea in infected individuals, but can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lead to more severe outcomes, such as inflammation of the colon, or colitis, toxic megacolon and death.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bacteria express toxins that disrupt the structural architecture of cells causing leakage of fluids through the gastrointestinal,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GI, epithelium. The cells disrupted by these toxins eventually undergo apoptosis and die, disrupting the epithelial barrier and exposing the immune system to inflammatory stimuli, severe and persistent diarrhea and, in the most serious cases, death.</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CDI is most often associated with the prior use of antibiotics, although age and poor immune status are important risk factors as well. Antibiotics are thought to decrease colonization resistance to CDI by disrupting the microbiome. Since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spores are able to survive for long periods of time outside the body, and because healthcare settings are often sites of significant antibiotic use, CDI is a leading cause of healthcare-associated infections in the United States. CDI is also a cause of morbidity and mortality among hospitalized cancer patients and bone marrow transplant patients as their immune systems are suppressed by cytotoxic drugs, which inhibit or prevent the functioning of cells, and they may be heavily treated with antibiotics to prevent or treat infections. More recently, the rise of community-acquired CDI has been recognized as a growing problem.</w:t>
      </w:r>
    </w:p>
    <w:p>
      <w:pPr>
        <w:spacing w:after="0" w:line="7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Centers for Disease Control and Prevention, or CDC, has identified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as one of the top three most urgent antibiotic-resistant bacterial threats in the United States. It is the most common cause of hospital acquired infection in the United States, having overtaken MRSA. CDI is responsible for the deaths of over 20,000 Americans each year. During 2023, we estimated that there would be approximately 459,000 cases of primary CDI and 156,000 incidences of recurrent CDI within the United States. CDI is also costly to the healthcare system. According to a study published in Clinical Infectious Diseases, the economic burden of CDI in 2008 in U.S. acute care facilities alone was estimated to be as much as $4.8 billion. In addition, the average recurrent CDI treatment cost in the U.S. is estimated to be $34 thousand per patient, comprising mostly (88%) hospital-related costs (</w:t>
      </w:r>
      <w:r>
        <w:rPr>
          <w:rFonts w:ascii="Times New Roman" w:cs="Times New Roman" w:eastAsia="Times New Roman" w:hAnsi="Times New Roman"/>
          <w:sz w:val="18"/>
          <w:szCs w:val="18"/>
          <w:i w:val="1"/>
          <w:iCs w:val="1"/>
          <w:color w:val="auto"/>
        </w:rPr>
        <w:t>Rodrigues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Infect Control Hosp Epidemiol 2017</w:t>
      </w:r>
      <w:r>
        <w:rPr>
          <w:rFonts w:ascii="Times New Roman" w:cs="Times New Roman" w:eastAsia="Times New Roman" w:hAnsi="Times New Roman"/>
          <w:sz w:val="18"/>
          <w:szCs w:val="18"/>
          <w:color w:val="auto"/>
        </w:rPr>
        <w:t>). The national incidence of CDI remains high despite declining from 476,000 in 2011 to 462,000 in 2017 (Guh,</w:t>
      </w:r>
      <w:r>
        <w:rPr>
          <w:rFonts w:ascii="Times New Roman" w:cs="Times New Roman" w:eastAsia="Times New Roman" w:hAnsi="Times New Roman"/>
          <w:sz w:val="18"/>
          <w:szCs w:val="18"/>
          <w:i w:val="1"/>
          <w:iCs w:val="1"/>
          <w:color w:val="auto"/>
        </w:rPr>
        <w:t xml:space="preserve"> New England Journal of Medicine 2020</w:t>
      </w:r>
      <w:r>
        <w:rPr>
          <w:rFonts w:ascii="Times New Roman" w:cs="Times New Roman" w:eastAsia="Times New Roman" w:hAnsi="Times New Roman"/>
          <w:sz w:val="18"/>
          <w:szCs w:val="18"/>
          <w:color w:val="auto"/>
        </w:rPr>
        <w:t>). Further, according to a 2014 article in the</w:t>
      </w:r>
      <w:r>
        <w:rPr>
          <w:rFonts w:ascii="Times New Roman" w:cs="Times New Roman" w:eastAsia="Times New Roman" w:hAnsi="Times New Roman"/>
          <w:sz w:val="18"/>
          <w:szCs w:val="18"/>
          <w:i w:val="1"/>
          <w:iCs w:val="1"/>
          <w:color w:val="auto"/>
        </w:rPr>
        <w:t xml:space="preserve"> American Journal of Infection Control</w:t>
      </w:r>
      <w:r>
        <w:rPr>
          <w:rFonts w:ascii="Times New Roman" w:cs="Times New Roman" w:eastAsia="Times New Roman" w:hAnsi="Times New Roman"/>
          <w:sz w:val="18"/>
          <w:szCs w:val="18"/>
          <w:color w:val="auto"/>
        </w:rPr>
        <w:t>, from 2001 to 2010, incidence of CDI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1,000 patients discharged increased from 4.5 to 8.2 with an average hospital stay of eight days. Due to suboptimal approaches to treatment, patients with primary CDI have an approximate 20% - 25% change of recurrent infection increasing to greater than 40% after the first recurrence (</w:t>
      </w:r>
      <w:r>
        <w:rPr>
          <w:rFonts w:ascii="Times New Roman" w:cs="Times New Roman" w:eastAsia="Times New Roman" w:hAnsi="Times New Roman"/>
          <w:sz w:val="18"/>
          <w:szCs w:val="18"/>
          <w:i w:val="1"/>
          <w:iCs w:val="1"/>
          <w:color w:val="auto"/>
        </w:rPr>
        <w:t>Gerding, CID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2018; Lashner ACG 2020; Dubberke CID 2018</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Current and developing treatment alternatives and their limitations</w:t>
      </w:r>
    </w:p>
    <w:p>
      <w:pPr>
        <w:spacing w:after="0" w:line="11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Antibiotics</w:t>
      </w:r>
      <w:r>
        <w:rPr>
          <w:rFonts w:ascii="Times New Roman" w:cs="Times New Roman" w:eastAsia="Times New Roman" w:hAnsi="Times New Roman"/>
          <w:sz w:val="18"/>
          <w:szCs w:val="18"/>
          <w:color w:val="auto"/>
        </w:rPr>
        <w:t>. According to the Infectious Disease Society of America, or IDSA, guidelines, the current standard of care for primary CDI is to treat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antibiotics, such as fidaxomicin or vancomycin. While fidaxomicin is indicated for the treatment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-associated diarrhea, it does not have a label claim to reduce or prevent CDI recurrence. No antibiotic therapeutics are currently approved for the prevention of recurrent CDI.</w:t>
      </w:r>
    </w:p>
    <w:p>
      <w:pPr>
        <w:spacing w:after="0" w:line="6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Prevention of recurrent CDI, defined as the presence of diarrhea and a positive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stool assay within two to eight weeks following the initial episode, is not well addressed by any of the available antibiotics. The risk of recurrent CDI increases to greater than 40% after the first recurrence. In extreme cases, patients may be treated continuously for years with vancomycin.</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Antibiotics have two major limitations: they have no effect on the spores that germinate in a disrupted microbiome and their use can exacerbate microbiome disruption, resulting in increased risk of future CDI. Research in animal models has shown that antibiotic use not only eliminates many healthy bacteria in the GI tract, but also leads to the release of nutrients that facilitate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as it requires primary bile acids for germination of its spores. As a result, antibiotic use may induce a lasting microbiome disruption that makes it possible for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to colonize a person and then cause, or further perpetuate, disease.</w:t>
      </w:r>
    </w:p>
    <w:p>
      <w:pPr>
        <w:spacing w:after="0" w:line="7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Fecal microbiota transplantation. </w:t>
      </w:r>
      <w:r>
        <w:rPr>
          <w:rFonts w:ascii="Times New Roman" w:cs="Times New Roman" w:eastAsia="Times New Roman" w:hAnsi="Times New Roman"/>
          <w:sz w:val="18"/>
          <w:szCs w:val="18"/>
          <w:color w:val="auto"/>
        </w:rPr>
        <w:t>FMT, also known as a stool transplantation, is a procedure during which donated stool, including fecal microbes,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typically instilled via colonoscopy into a patient with recurrent CDI. FMT presents several challenges for effective treatment of the disease. FMT has the potential to transmit infectious or allergenic agents between hosts, involves the transmission of hundreds of unknown strains of bacteria, fungi, viruses and potentially parasites from donor to subject, and is difficult to perform on a mass scale. In November 2019 the FDA held a public hearing to obtain input on the use of FMT to treat CDI not responsive to standard therapies. Presentations were made by the academic community and development companies regarding the current and future use of FMT. In January 2020, we submitted comments to the docket for the meeting that recommended: 1) increased scrutiny and regulation of unapproved, commercially available FMT that does not comply with IND requirements; 2) implementation of guidance for establishing safety of source materials for all microbiome products; and 3) safety and efficacy of all microbiome products to reduce recurrent CDI must be based on adequate and well controlled clinical trials including accurate assurance of diagnosis of the disease state – specifically toxin testing.</w:t>
      </w:r>
    </w:p>
    <w:p>
      <w:pPr>
        <w:spacing w:after="0" w:line="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Fecal microbiota therapy</w:t>
      </w:r>
      <w:r>
        <w:rPr>
          <w:rFonts w:ascii="Times New Roman" w:cs="Times New Roman" w:eastAsia="Times New Roman" w:hAnsi="Times New Roman"/>
          <w:sz w:val="18"/>
          <w:szCs w:val="18"/>
          <w:color w:val="auto"/>
        </w:rPr>
        <w:t>. In November 2022, the FDA approved Rebyota, the first fecal microbiota product approved by the FDA,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prevention of recurrence of CDI in individuals 18 years of age and older following antibiotic treatment for recurrent CDI. Rebyota is administered rectally and is prepared from stool sourced from qualified donors. The stool is tested for a panel of transmissible pathogens. We believe our CMC process is differentiated by additional processes to inactivate and clear potential adventitious agents to help ensure product safety.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Antibodies. </w:t>
      </w:r>
      <w:r>
        <w:rPr>
          <w:rFonts w:ascii="Times New Roman" w:cs="Times New Roman" w:eastAsia="Times New Roman" w:hAnsi="Times New Roman"/>
          <w:sz w:val="18"/>
          <w:szCs w:val="18"/>
          <w:color w:val="auto"/>
        </w:rPr>
        <w:t>Bezlotoxumab a fully human monoclonal antibody directed against</w:t>
      </w:r>
      <w:r>
        <w:rPr>
          <w:rFonts w:ascii="Times New Roman" w:cs="Times New Roman" w:eastAsia="Times New Roman" w:hAnsi="Times New Roman"/>
          <w:sz w:val="18"/>
          <w:szCs w:val="18"/>
          <w:i w:val="1"/>
          <w:iCs w:val="1"/>
          <w:color w:val="auto"/>
        </w:rPr>
        <w:t xml:space="preserve"> C. difficile </w:t>
      </w:r>
      <w:r>
        <w:rPr>
          <w:rFonts w:ascii="Times New Roman" w:cs="Times New Roman" w:eastAsia="Times New Roman" w:hAnsi="Times New Roman"/>
          <w:sz w:val="18"/>
          <w:szCs w:val="18"/>
          <w:color w:val="auto"/>
        </w:rPr>
        <w:t>toxin B was approved in the United States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and in Europe in 2017 for the treatment of CDI. According to Phase 3 studies, the antibody demonstrated 10% absolute risk reduction in preventing recurrence of CDI. Antibodies bind toxins to alleviate the symptoms of CDI, but they do not address the underlying disruption of the microbiome, which we believe is the cause of recurrent CDI. Bezlotoxumab requires intravenous infusion.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VOWST</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VOWST (developed as SER-109) was approved by the FDA on April 26, 2023, to prevent recurrence of CDI in individuals 18 years of age or older following antibacterial treatment for recurrent CDI. VOWST is the first FDA-approved orally administered microbiome therapeutic, and consists of a consortium of purified Firmicutes spores designed to prevent recurrent CDI in patients with a history of CDI by modulating the microbiome to a state that resists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germination and growth. The VOWST manufacturing purification process is designed to remove unwanted microbes in an effort to reduce the risk of pathogen transmission beyond donor screening alone. We estimated that there were approximately 156,000 recurrent CDI cases in the United States during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1b/2 clinical study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Phase 1b/2 clinical study was an open-label, single arm, descending-dose study that enrolled 30 patients with recurrent CDI. All enrolled patients received standard-of-care antibiotic treatment, followed by oral administration of SER-109. Of the 30 study patients, 26 (87%) achieved the primary endpoint of absence of CDI (defined in this study as more than three unformed bowel movements in a 24-hour period with laboratory confirmation of a positive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stool test) up to eight weeks following dosing. Three of the four patients who did not meet the primary endpoint were determined by their primary investigator to be recovering from CDI, and all symptoms resolved without further therapeutic intervention or antibiotics. In total, 29 of 30 patients (97%) achieved the clinical cure rate, which we defined as the absence of CDI requiring antibiotic treatment during the eight-week period after SER-109 dosing. SER-109 was well tolerated in the study, with the most common adverse events being mild to moderate gastrointestinal symptoms. No drug related serious adverse events were observed.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2 clinical study</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Phase 2 clinical study was a randomized, double-blinded, placebo-controlled, parallel-group two arm trial that enrolled a total of 89 patients with a history of multiply-recurrent CDI, defined as 3 or more CDI episodes within 9 months. SER-109 was administered orally following the completion of antibiotic treatment for CDI. The predefined study primary efficacy endpoint was the relative risk of CDI recurrence up to 8 weeks after 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 The most commonly reported AEs in both the SER-109 and placebo arms were in the GI category, and were diarrhea, abdominal pain, flatulence, and nausea. No drug-related SAEs were observed.</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Analysis of Phase 1b/2 and Phase 2 clinical study results</w:t>
      </w:r>
    </w:p>
    <w:p>
      <w:pPr>
        <w:spacing w:after="0" w:line="119"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 xml:space="preserve">In our Phase 2 clinical study, the study’s primary endpoint of reducing the relative risk of CDI recurrence at up to 8 weeks after treatment was not achieved. In order to understand the difference in outcome between Phase 1b/2 and Phase 2 clinical studies, we conducted an analysis of the available clinical, microbiome and CMC data. We identified key factors that potentially explain the Phase 2 clinical study results, including issues related to both the accurate diagnosis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recurrent infection, and potential suboptimal dosing of subjects in the trial.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factors include:</w:t>
      </w:r>
    </w:p>
    <w:p>
      <w:pPr>
        <w:spacing w:after="0" w:line="115" w:lineRule="exact"/>
        <w:rPr>
          <w:sz w:val="20"/>
          <w:szCs w:val="20"/>
          <w:color w:val="auto"/>
        </w:rPr>
      </w:pPr>
    </w:p>
    <w:p>
      <w:pPr>
        <w:ind w:left="1020" w:right="44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diagnostic test for entry may not have differentiated subjects with active CDI disease from those with other disease but who had </w:t>
      </w:r>
      <w:r>
        <w:rPr>
          <w:rFonts w:ascii="Times New Roman" w:cs="Times New Roman" w:eastAsia="Times New Roman" w:hAnsi="Times New Roman"/>
          <w:sz w:val="18"/>
          <w:szCs w:val="18"/>
          <w:i w:val="1"/>
          <w:i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difficile </w:t>
      </w:r>
      <w:r>
        <w:rPr>
          <w:rFonts w:ascii="Times New Roman" w:cs="Times New Roman" w:eastAsia="Times New Roman" w:hAnsi="Times New Roman"/>
          <w:sz w:val="18"/>
          <w:szCs w:val="18"/>
          <w:color w:val="auto"/>
        </w:rPr>
        <w:t>carriage (e.g., irritable bowel disease);</w:t>
      </w:r>
    </w:p>
    <w:p>
      <w:pPr>
        <w:spacing w:after="0" w:line="52"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diagnostic test for CDI recurrence during the study (the primary endpoint) overestimated recurrences, as PCR was the most common test performed;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safety profile of SER-109, which may include diarrhea in the first week following dosing, led to SER-109 subjects presenting for evaluation of recurrence at a time when they were likely to be colonized with </w:t>
      </w:r>
      <w:r>
        <w:rPr>
          <w:rFonts w:ascii="Times New Roman" w:cs="Times New Roman" w:eastAsia="Times New Roman" w:hAnsi="Times New Roman"/>
          <w:sz w:val="17"/>
          <w:szCs w:val="17"/>
          <w:i w:val="1"/>
          <w:iCs w:val="1"/>
          <w:color w:val="auto"/>
        </w:rPr>
        <w:t>C. difficile</w:t>
      </w:r>
      <w:r>
        <w:rPr>
          <w:rFonts w:ascii="Times New Roman" w:cs="Times New Roman" w:eastAsia="Times New Roman" w:hAnsi="Times New Roman"/>
          <w:sz w:val="17"/>
          <w:szCs w:val="17"/>
          <w:color w:val="auto"/>
        </w:rPr>
        <w:t xml:space="preserve"> leading to mistaken diagnosis of recurrent CDI; and</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54"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8"/>
          <w:szCs w:val="18"/>
          <w:color w:val="auto"/>
        </w:rPr>
        <w:t>From our reanalysis of the phase 1b/2 and 2 trials, we learned that there is a dose-dependent response governing early SER-109 pharmacokinetics, with increased engraftment associated with successful CDI resolution through 8 weeks. In the Phase 2 trial, SER-109 was dosed at 1 × 10</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spores based on equivalent clinical outcomes and week 8 engraftment measures observed between the phase 1 dosing cohorts. However, our integrated analysis of both trials revealed that (1) engraftment kinetics at week 1 were of greater</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1" w:name="page12"/>
    <w:bookmarkEnd w:id="11"/>
    <w:p>
      <w:pPr>
        <w:ind w:right="180"/>
        <w:spacing w:after="0" w:line="256" w:lineRule="auto"/>
        <w:rPr>
          <w:sz w:val="20"/>
          <w:szCs w:val="20"/>
          <w:color w:val="auto"/>
        </w:rPr>
      </w:pPr>
      <w:r>
        <w:rPr>
          <w:rFonts w:ascii="Times New Roman" w:cs="Times New Roman" w:eastAsia="Times New Roman" w:hAnsi="Times New Roman"/>
          <w:sz w:val="18"/>
          <w:szCs w:val="18"/>
          <w:color w:val="auto"/>
        </w:rPr>
        <w:t>importance for reducing rCDI than later time points, (2) week 1 engraftment was highly variable in Phase 2 subjects, and (3) rapid engraftment was dependent on dose, which was clearly suboptimal in the Phase 2 trial (McGovern, 2020; Young, 2020). We hypothesized that rapid engraftment of a microbiome therapeutic may be critical to efficacy since CDI recurrence usually occurs within 1–3 weeks of antibiotic discontinuation, the “window of vulnerability”; consistent with this hypothesis, in the Phase 2 trial, greater engraftment of SER-109 species at week 1 was correlated with reduced CDI rates. This correlation was not previously appreciated due to the use of lower resolution 16S rRNA gene amplicon–based methods used in the Phase 1b/2 study for determining drug engraftment (Khanna, 2016).</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clinical study design</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the Phase 3 ECOSPOR III clinical study of SER-109, patients with multiply recurrent CDI were randomized 1:1 between SER-109 and placebo. Diagnosis of CDI for both study entry and for endpoint analysis utilized a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cytotoxin assay, compared to the Phase 2 clinical study, where most patients were diagnosed by PCR. Patients in the SER-109 arm received a total SER-109 dose, administered over three days, approximately 10-fold higher than the dose used in the Phase 2 clinical study to drive rapid engraftment of SER-109 bacteria in treated patients. The study evaluated patients for 24 weeks and the primary endpoint was to compare the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was conducted at approximately 100 sites in the United States and Canada.</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Phase 3 clinical study results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study enrolled 182 patients with multiply recurrent CDI. ECOSPOR III data demonstrated that the study achieved its primary endpoint where SER-109 was superior to placebo in reducing CDI recurrence at eight weeks, reflecting a recurrence-free rate of approximately 88% at eight weeks post-treatment. SER-109 resulted in a 27% absolute reduction of recurrence of CDI compared to placebo at eight weeks post-treatment, which is a relative risk reduction of 68%. The rate of recurrence at 12 weeks in the SER-109 arm was 18.0%, compared to a rate of 46.2% in the placebo arm, representing an absolute risk reduction of 28% (relative risk 0.40; 95% CI 0.24-0.65), and thereby consistent with the results seen at eight weeks. The efficacy results remained durable through 24 weeks of follow-up, as SER-109 was observed to significantly reduced recurrence rates compared to placebo over 24 weeks, 21.3% vs. 47.3%, respectively. These data were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January 2022 and in the </w:t>
      </w:r>
      <w:r>
        <w:rPr>
          <w:rFonts w:ascii="Times New Roman" w:cs="Times New Roman" w:eastAsia="Times New Roman" w:hAnsi="Times New Roman"/>
          <w:sz w:val="18"/>
          <w:szCs w:val="18"/>
          <w:i w:val="1"/>
          <w:iCs w:val="1"/>
          <w:color w:val="auto"/>
        </w:rPr>
        <w:t>Journal of the American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Medical Association </w:t>
      </w:r>
      <w:r>
        <w:rPr>
          <w:rFonts w:ascii="Times New Roman" w:cs="Times New Roman" w:eastAsia="Times New Roman" w:hAnsi="Times New Roman"/>
          <w:sz w:val="18"/>
          <w:szCs w:val="18"/>
          <w:color w:val="auto"/>
        </w:rPr>
        <w:t>in October 2022.</w:t>
      </w:r>
    </w:p>
    <w:p>
      <w:pPr>
        <w:spacing w:after="0" w:line="84"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Overall incidence of patients who experienced treatment-emergent adverse events, or TEAEs, was 92.2% for SER-109 and 91.3% for placebo. SER-109 had no serious treatment-related adverse events. The most commonly observed TEAEs were gastrointestinal disorders, the majority of which were mild to moderate in nature.</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study also examined the pharmacokinetics (i.e., drug bacterial species engraftment) and pharmacodynamics (i.e., metabolic changes) following SER-109 dosing. The data demonstrate that SER-109 administration resulted in the rapid and durable engraftment of SER-109-derived bacterial species into the gastrointestinal tract as soon as one week following dosing, and that this engraftment was maintained at subsequent timepoints evaluated, including at the eight-week timepoint corresponding to the study’s primary endpoint and the 24-week safety follow-up timepoint. The presence of SER-109 bacterial species was significantly greater (p&lt;0.001) in SER-109 treated patients than in placebo patients at all timepoints evaluated. Significant differences were maintained in predefined subpopulation analyses of age and antibiotic use. We utilized advanced microbiome biomarker analytics and proprietary genomic reference datasets to identify, at a resolution of bacterial species, the gastrointestinal microbiome signatures associated with SER-109 engraftment.</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SER-109 administration also resulted in modulation of the gastrointestinal metabolic landscape. Notably, data demonstrated a significant decrease in primary bile acids (p=0.038) and an increase in secondary bile acids (p&lt;0.001) by one-week post-dosing; significant differences were maintained through week eight for secondary bile acids. Notably, SER-109 subjects had less variance across subjects in bile acid response than placebo subjects. Observations for both primary and secondary bile acids were maintained in predefined subpopulation analyses of age and antibiotic use. All microbiome analyses were conducted according to the treatment subjects actually received. Published research as well as preclinical studies have demonstrated that primary bile acids support germination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spores that are the source of disease recurrence. In contrast, secondary bile acids have been reported to inhibit germination and the growth of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(Theriot and Young, Annu. Rev. Microbiol. 2015).</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ECOSPOR IV was an open-label single-arm study evaluating SER-109 in 263 adult subjects with recurrent CDI. The safety results observed in ECOSPOR IV through 24 weeks showed that SER-109 was well tolerated, consistent with the safety profile observed in the prior completed Phase 3 study, ECOSPOR III. The ECOSPOR IV study results contributed to the SER-109 safety database and supported product approval. These data were published in the </w:t>
      </w:r>
      <w:r>
        <w:rPr>
          <w:rFonts w:ascii="Times New Roman" w:cs="Times New Roman" w:eastAsia="Times New Roman" w:hAnsi="Times New Roman"/>
          <w:sz w:val="18"/>
          <w:szCs w:val="18"/>
          <w:i w:val="1"/>
          <w:iCs w:val="1"/>
          <w:color w:val="auto"/>
        </w:rPr>
        <w:t>JAMA Network Open</w:t>
      </w:r>
      <w:r>
        <w:rPr>
          <w:rFonts w:ascii="Times New Roman" w:cs="Times New Roman" w:eastAsia="Times New Roman" w:hAnsi="Times New Roman"/>
          <w:sz w:val="18"/>
          <w:szCs w:val="18"/>
          <w:color w:val="auto"/>
        </w:rPr>
        <w:t xml:space="preserve"> in February 2023.</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July 2021, we entered into an agreement with NHSc Pharma Partners, succeeded by NHSc Rx License GmbH, or, together with Société des Produits Nestlé S.A, Nestlé, to jointly commercialize VOWST in the United States and Canada. Under the terms 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220"/>
        <w:spacing w:after="0" w:line="261" w:lineRule="auto"/>
        <w:rPr>
          <w:sz w:val="20"/>
          <w:szCs w:val="20"/>
          <w:color w:val="auto"/>
        </w:rPr>
      </w:pPr>
      <w:r>
        <w:rPr>
          <w:rFonts w:ascii="Times New Roman" w:cs="Times New Roman" w:eastAsia="Times New Roman" w:hAnsi="Times New Roman"/>
          <w:sz w:val="18"/>
          <w:szCs w:val="18"/>
          <w:color w:val="auto"/>
        </w:rPr>
        <w:t>the agreement, Nestlé assumed the role of lead commercialization party. We received an upfront license payment of $175 million in July 2021 and an additional $125 million in May 2023 following FDA approval of VOWST. The agreement also includes sales target milestones which, if achieved, could total up to $225 million. We were responsible for development and pre-commercialization costs in the United States. Following first commercial sale of VOWST, which occurred on June 2, 2023, we are entitled to share equally in its commercial profits and losses.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Nestlé reported 1,284 VOWST units sold and $19.6 million in net sales, reflecting an estimated gross-to-net reduction of 13%, primarily due to returns reserve, prompt payment discounts, statutory discounts and rebates, and commercial rebates. The total collaboration loss for the year ended December 31, 2023 was $37.7 million. We record our 50% share of the collaboration loss, which includes commercial and medical affairs expenses incurred by us, on a net basis. Accordingly for the year ended December 31, 2023, our share of the VOWST net loss was $18.9 million.</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part of the commercialization of VOWST, we are closely monitoring the launch and focusing on a number of quantitative metrics. VOWST became commercially available in early June 2023. Broad demand for VOWST has been observed across both recurrent patients and healthcare providers since June 2023 (metrics noted below are based on data provided by Nestlé through December 31, 2023):</w:t>
      </w:r>
    </w:p>
    <w:p>
      <w:pPr>
        <w:spacing w:after="0" w:line="68" w:lineRule="exact"/>
        <w:rPr>
          <w:sz w:val="20"/>
          <w:szCs w:val="20"/>
          <w:color w:val="auto"/>
        </w:rPr>
      </w:pPr>
    </w:p>
    <w:p>
      <w:pPr>
        <w:ind w:left="1020" w:right="3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completed prescription enrollment forms received for VOWST were 1,322; of those 1,082 resulted in new patient starts by year-end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launch through year-end 2023, there were 2,833 completed prescription enrollment forms received for VOWST; of those 2,015 resulted in new patient starts by year-end 2023;</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prescription enrollment forms were submitted by approximately 1,330 unique healthcare providers, or HCPs, since launch, with approximately 65% from gastroenterology and the remainder from other specialties; approximately 340 HCPs have prescribed VOWST to more than one patient; and</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VOWST demand has been observed across the recurrent CDI patient pool, including first recurrence, which is the largest recurrent CDI patient segment.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close collaboration with Nestlé, we have scaled our HCP education efforts, worked to create a positive customer experience with faster and higher conversion of enrollments to new patient starts, and continued to establish payer coverage. Since the FDA approval of VOWST, Nestlé commercial customer facing field teams have been promoting VOWST and generating healthcare provider demand, including significant presence at both IDWeek and the American College of Gastroenterology, or ACG, meetings in October 2023. IDWeek and ACG are two of the largest infectious disease and gastroenterology conferences. Nestlé’s 170 field sales representatives promoting VOWST are divided into two teams, comprised of 150 gastroenterology representatives and 20 hospital/infectious disease representatives.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VOWST Voyage Support Program, or VOWST Voyage, was launched upon VOWST FDA approval to provide treatment and financial support for eligible patients. The VOWST Voyage staff work with healthcare providers and patients to convert patient enrollments into new patient starts and provide a robust high-touch customer experience.</w:t>
      </w:r>
    </w:p>
    <w:p>
      <w:pPr>
        <w:spacing w:after="0" w:line="68"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Nestlé’s payer field team continues to engage payers to build coverage, which would enable eligible patients to have access to VOWST as quickly and efficiently as possible. The team has been reinforcing what we believe to be a compelling value proposition for VOWST and is actively engaged with the three largest pharmacy benefit managers. In 2023, payers issued policies for VOWST coverage across plans representing 80% commercial and 54% Medicare Part D covered lives. Approximately 56% of the 1,082 fourth quarter new patient starts are being reimbursed through the patient's drug benefit.</w:t>
      </w:r>
    </w:p>
    <w:p>
      <w:pPr>
        <w:spacing w:after="0" w:line="5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are investing in patient financial assistance to increase access to VOWST for patients with affordability challenges due to co-pays or other cost sharing requirements imposed on them by their insurer after the prescription has been approved. We believe that providing this type of patient access early on will contribute to a positive patient and provider experience, thus increasing demand over time. In terms of free drug utilization, we saw approximately 46% of 2023 new patient starts dispensed via our free drug programs, mostly for Medicare patients. We expect utilization of these programs to drop when the benefit design changes contained in the Inflation Reduction Act, which address patient cost sharing requirements in Medicare Part D plans, go into effect in 2025.</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Infection Protection and SER-155</w:t>
      </w:r>
    </w:p>
    <w:p>
      <w:pPr>
        <w:spacing w:after="0" w:line="121"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 xml:space="preserve">We believe that the scientific and clinical data from our SER-109 program validate our novel approach of using microbiome therapeutics to decolonize pathogens, with the potential to reduce the rate of infections in medically compromised patients. Data from the SER-109 ECOSPOR III and ECOSPOR IV Phase 3 trial published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(Feuerstadt et al., 2022) and </w:t>
      </w:r>
      <w:r>
        <w:rPr>
          <w:rFonts w:ascii="Times New Roman" w:cs="Times New Roman" w:eastAsia="Times New Roman" w:hAnsi="Times New Roman"/>
          <w:sz w:val="17"/>
          <w:szCs w:val="17"/>
          <w:i w:val="1"/>
          <w:iCs w:val="1"/>
          <w:color w:val="auto"/>
        </w:rPr>
        <w:t>Journal of the American Medical Association</w:t>
      </w:r>
      <w:r>
        <w:rPr>
          <w:rFonts w:ascii="Times New Roman" w:cs="Times New Roman" w:eastAsia="Times New Roman" w:hAnsi="Times New Roman"/>
          <w:sz w:val="17"/>
          <w:szCs w:val="17"/>
          <w:color w:val="auto"/>
        </w:rPr>
        <w:t xml:space="preserve"> (Sims et al., 2023) suggest that microbiome therapeutics have the potential to restructure the gut microbiome and shift the gut metabolic landscape. Additional data show that SER-109 rapidly reduced the abundance of bacteria associated with common antibiotic resistance genes, or ARGs, and reduced ARG abundance in the gut (Straub et al., 2023). Collectively, we believe these data suggest the potential for microbiome therapeutics to restore colonization resistance and ultimately to reduce infections and antimicrobial resistance. We believe this Infection Protection approach may be replicable in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right="360"/>
        <w:spacing w:after="0" w:line="266" w:lineRule="auto"/>
        <w:rPr>
          <w:sz w:val="20"/>
          <w:szCs w:val="20"/>
          <w:color w:val="auto"/>
        </w:rPr>
      </w:pPr>
      <w:r>
        <w:rPr>
          <w:rFonts w:ascii="Times New Roman" w:cs="Times New Roman" w:eastAsia="Times New Roman" w:hAnsi="Times New Roman"/>
          <w:sz w:val="18"/>
          <w:szCs w:val="18"/>
          <w:color w:val="auto"/>
        </w:rPr>
        <w:t>protecting a range of medically compromised patients from infections seeded by the gut microbiome and resulting downstream clinical sequelae. We believe this approach may also enable us to reduce antimicrobial resistant infections, which the World Health Organization declared as a top ten global public health threat facing humanity.</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evaluating SER-155 in a Phase 1b study in allo-HSCT recipients in an effort to reduce incidences of gastrointestinal infections, resulting bloodstream infections and GvHD. SER-155, an oral microbiome therapeutic candidate consisting of a consortium of cultivated bacteria, is designed to prevent enteric-derived infections and resulting blood stream infections, as well as induce immune tolerance responses to reduce the incidence of GvHD in patients undergoing allo-HSCT. SER-155 was designed using our reverse translational microbiome therapeutics development platform and the rationale for this program is based in part on published clinical evidence from our collaborators at Memorial Sloan Kettering Cancer Center showing that allo-HSCT patients with decreased diversity of commensal microbes and pathogen domination in the gastrointestinal tract were significantly more likely to die due to infection and/or lethal GvHD (Peled et al., 2020). In December 2023, we received Fast Track Designation for SER-155 to reduce the risk of infection and GvHD in patients undergoing allo-HSCT.</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SER-155 Phase 1b study is designed to include approximately 70 patients in both an open-label (cohort 1) and a randomized, double-blind, placebo-controlled cohort (cohort 2) that will evaluate safety and tolerability before and after HSCT. Additionally, the engraftment of SER-155 bacteria (a measure of pharmacokinetics) and gastrointestinal pathogen domination, as well as the rates of enteric-derived infections and resulting blood stream infections, and GvHD will be evaluated.</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Cohort 1 included 13 subjects who received any dosing of the SER-155 regimen, with 11 of these subjects subsequently receiving an allo-HSCT. Nine subjects had evaluable samples for microbiome data analysis. Gastrointestinal microbiome data from the first 100 days of cohort 1 showed the successful engraftment of SER-155 bacterial strains, and a substantial reduction in the cumulative incidence of pathogen domination as compared to a reference cohort of patients, a biomarker associated with the risk of serious enteric infections and resulting bloodstream infections as well as GvHD. The tolerability profile observed was favorable, with no serious adverse events attributed to SER-155 administration. We believe these initial SER-155 Phase 1b study results provide encouraging evidence to support further development of SER-155 to potentially reduce enteric-derived infections, resulting bloodstream infections, and GvHD in individuals undergoing allo-HSCT for cancers and other serious conditions. Study data from cohort 1 suggest that SER-155 administration results in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 Enterobacteriaceae, Streptococcaceae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Staphylococcaceae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Enrollment of cohort 2 is ongoing, incorporating a randomized, double-blinded placebo-controlled design to further evaluate safety, engraftment, and incidence of gastrointestinal ESKAPE microbiome pathogen domination, as well as the incidence of enteric infections, enteric driven blood stream infections, and GvHD. Cohort 2 subjects are administered either SER-155 or placebo at a 1:1 ratio. The study is being conducted at a number of leading cancer centers across the U.S. The cohort 2 data readout is anticipated in the third quarter of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Irritable Bowel Disease and Ulcerative Colitis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UC, a form of IBD, is a relapsing-remitting chronic inflammatory disorder affecting the mucosal surface of the colon, leading to episodes of bloody diarrhea, urgency and mucosal inflammation (Danese and Fiocchi, 2011), which generally begins in young adulthood and endures for life. The incidence of UC is rising worldwide, and the prevalence of the disease is highest in the United States, Canada, and Europe. In the United States alone, the prevalence of UC is estimated to be 378 per 100,000, or approximately 1.25 million Americans (Lewis et al., 2023).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 (Dlalal &amp; Allegretti, 2022).</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Currently, patients with UC require life-long therapy. Current medical therapies for the treatment of UC suppress the immune system rather than target reducing the triggers of immune activation and promoting immune tolerance. We believe there remains an unmet need for safer agents with novel non-immunosuppressive mechanisms of action. Moreover, alternative therapy is needed for patients with UC who experience frequent flares, are intolerant to the aminosalicylate class of medication, or where there are safety concerns relating to the use of immunomodulator or steroid therapy.</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Current therapeutic approaches in IBD do not address the potential role of microbiome disruption in causing or aggravating disease in IBD. However, not all patients with IBD present with microbiome disruption; many patients with IBD demonstrate comparable taxonomic and functional microbiome diversity to healthy subjects (Lloyd-Price 2019). Similarly, pre-clinical models have shown that microbiomes from patients with IBD drive variable immune responses, with only a subset of microbiomes resulting in inflammation (Hart et al. 2017; Britton et al. 2019). These data suggest that the microbiome may play a role in a subset of subjects with IBD.</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Data from our SER-287 Phase 2b study and the first cohort of subjects from our SER-301 Phase 1b study in patients with mild-to-moderate UC suggest that the pharmacodynamic effects observed for SER-287 and SER-301 were greater in a subset of patients with IBD. Based on these results, we continue to advance research and development activities supported by partnerships to evaluate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40"/>
        <w:spacing w:after="0" w:line="258" w:lineRule="auto"/>
        <w:rPr>
          <w:sz w:val="20"/>
          <w:szCs w:val="20"/>
          <w:color w:val="auto"/>
        </w:rPr>
      </w:pPr>
      <w:r>
        <w:rPr>
          <w:rFonts w:ascii="Times New Roman" w:cs="Times New Roman" w:eastAsia="Times New Roman" w:hAnsi="Times New Roman"/>
          <w:sz w:val="18"/>
          <w:szCs w:val="18"/>
          <w:color w:val="auto"/>
        </w:rPr>
        <w:t>the potential to utilize biomarker-based patient selection and stratification in future clinical development efforts in IBD. In October 2023, we were awarded a $500,000 grant from the Crohn’s &amp; Colitis Foundation, or CCF, to leverage our clinical results and biological mechanism insights to functionally characterize subpopulations and to define associated biomarkers for IBD patient selection and stratification of patients where the gastrointestinal microbiome plays an active role in inflammation and could be modified to reduce colitis. Our preclinical studies conducted to date, have recapitulated the patient subpopulation observations from the previously run trials and progressed associated biomarker delineation.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Donor-derived product candidates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VOWST is a purified consortium of Firmicutes spores produced through a process of separation and purification from a natural human stool source, obtained from qualified, highly screened donors. The donor raw material is collected in a controlled setting, under a protocol that is designed to ensure that donors meet appropriate qualification criteria.</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operate two in-house stool donation centers in Irvine, California and Tempe, Arizona. Donors are required to be in good health, and to possess a medical history that minimizes the risk of exposure to and transmission of an infectious disease. Donors are tested for infectious agents and screened for GI and other relevant health factors. We have also established an internal Clinical Laboratory Improvement Amendments, or CLIA, and College of American Pathologists, or CAP, certified medical laboratory to support this screening, including high-throughput automated testing systems. Donors are monitored for health status changes on an ongoing basis throughout the donation period. At periodic intervals, and at the end of the donation period, the qualification assessment is repeated to help ensure the donor has maintained their health status. After successful completion of a periodic or exit screening, donations are released for use in manufacturing.</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initially process the donor material in our in-house Cambridge manufacturing facility, and then transfer the process intermediate to our partner CMO, GenIbet BioPharmaceuticals, SA, or GenIbet (acquired by Recipharm in February 2022), to further isolate and concentrate VOWST for finishing to the oral capsule dosage form. The manufacturing process includes processes to inactivate and clear potential adventitious agents, to help ensure product safety. The purified drug substance is tested for identity and potency, and subsequently formulated into drug product where it is tested for identity, potency, purity, and pharmaceutical properties. The final drug product oral dosage form is four capsules daily for 3-days. Steps are specifically built into the process to remove and kill non-spore microbes. We have conducted validation studies demonstrating the ability of the process to inactivate and clear any potential extraneous pathogens of concern. We have validated the commercial manufacturing process and successfully completed pre-approval inspections conducted by the FDA. We believe we will be able to produce sufficient commercial supply of VOWST to meet estimated demand in the United States using donations from a modest number of donors.</w:t>
      </w:r>
    </w:p>
    <w:p>
      <w:pPr>
        <w:spacing w:after="0" w:line="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Commercial product supply for the initial phase of U.S. commercial launch is being produced at our Cambridge manufacturing facility and further processed at GenIbet. In November 2021, we entered into a collaboration with Bacthera to manufacture VOWST to expand upon our existing capabilities for commercial product supply to meet anticipated demand in later years. Under the terms of the agreement, Bacthera is constructing a dedicated full-scale production suite for us at Bacthera’s Microbiome Center of Excellence in Visp, Switzerland, which is substantially complete, and is intended to provide manufacturing services for VOWST. Following final completion of the facility, we will initiate technology transfer and certain process qualification and validation activities prior to commencement of commercial manufacturing.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Cultivated product candidates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production of live bacterial products is highly specialized. Owing to their hardiness and environmental persistence, production of aerobic and anaerobic vegetative bacteria, as well as spore-forming organisms, poses unique considerations for product, personnel, and facility design, operation, quality assurance and quality control. Manufacturing activities with spores are subject to specialized regulations. We expect that a typical commercial fermentation will yield on the order of hundreds or thousands of doses per liter depending on the product and its composition. Additionally, because a given total dose contains multiple strains, the per-strain requirements for production may be even lower. As a result, we believe the relatively high productivity of our manufacturing processes relative to the dose level will enable production scales for both clinical and commercial supply to be modest by traditional industry standards for biologics and vaccine manufacturing.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66" w:lineRule="exact"/>
        <w:rPr>
          <w:sz w:val="20"/>
          <w:szCs w:val="20"/>
          <w:color w:val="auto"/>
        </w:rPr>
      </w:pPr>
    </w:p>
    <w:p>
      <w:pPr>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Fermentation. </w:t>
      </w:r>
      <w:r>
        <w:rPr>
          <w:rFonts w:ascii="Times New Roman" w:cs="Times New Roman" w:eastAsia="Times New Roman" w:hAnsi="Times New Roman"/>
          <w:sz w:val="18"/>
          <w:szCs w:val="18"/>
          <w:color w:val="auto"/>
        </w:rPr>
        <w:t>We are using microscale screening to optimize culture of the bacterial strains of interest in our current and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fermentation-based product 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that each originate from a unique research cell bank precursor, so we expect the research cell banks and final drug product should be genetically and physiologically similar.</w:t>
      </w:r>
    </w:p>
    <w:p>
      <w:pPr>
        <w:spacing w:after="0" w:line="76"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Purification. </w:t>
      </w:r>
      <w:r>
        <w:rPr>
          <w:rFonts w:ascii="Times New Roman" w:cs="Times New Roman" w:eastAsia="Times New Roman" w:hAnsi="Times New Roman"/>
          <w:sz w:val="18"/>
          <w:szCs w:val="18"/>
          <w:color w:val="auto"/>
        </w:rPr>
        <w:t>Similar to fermentation, we believe small-scale purification operations are available for assessing large-scale cGMP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of live cells, and to quickly assess downstream process yield, quality and robustness. Our products in development are predominantly oral dosage forms containing live bacteria, hence purification is typically less complex than for parenteral biologics such as monoclonal antibodies that must separate highly similar components from the culturing process. Separation of viable microbes from soluble fermentation broth components is typically much simpler by comparison.</w:t>
      </w:r>
    </w:p>
    <w:p>
      <w:pPr>
        <w:spacing w:after="0" w:line="75" w:lineRule="exact"/>
        <w:rPr>
          <w:rFonts w:ascii="Times New Roman" w:cs="Times New Roman" w:eastAsia="Times New Roman" w:hAnsi="Times New Roman"/>
          <w:sz w:val="18"/>
          <w:szCs w:val="18"/>
          <w:color w:val="auto"/>
        </w:rPr>
      </w:pPr>
    </w:p>
    <w:p>
      <w:pPr>
        <w:ind w:left="1020" w:right="8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Formulation. </w:t>
      </w:r>
      <w:r>
        <w:rPr>
          <w:rFonts w:ascii="Times New Roman" w:cs="Times New Roman" w:eastAsia="Times New Roman" w:hAnsi="Times New Roman"/>
          <w:sz w:val="18"/>
          <w:szCs w:val="18"/>
          <w:color w:val="auto"/>
        </w:rPr>
        <w:t>Our microbiome therapeutic candidates are combinations of bacteria and can be administered by a number of methods and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routes. Where possible, our product formulation development is focused on oral delivery for patient convenience. The primary goal in developing a formulation is to deliver bacteria to the intended location in a condition where they are able to replicate and modulate the microbiome. Formulation development generally uses approved excipients and preservatives with pharmaceutical industry precedent, and will include screening of liquid, solid, and suspension formulations to maximize the opportunity for extended stability with minimal cold-chain requirements. Dosage forms for oral products may be liquid- or powder-filled capsules, tablets, sachets, or liquid containers.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w:t>
      </w:r>
      <w:r>
        <w:rPr>
          <w:rFonts w:ascii="Times New Roman" w:cs="Times New Roman" w:eastAsia="Times New Roman" w:hAnsi="Times New Roman"/>
          <w:sz w:val="18"/>
          <w:szCs w:val="18"/>
          <w:color w:val="auto"/>
        </w:rPr>
        <w:t>We are addressing quality control requirements for our microbiome therapeutic candidates using proprietary microbiological,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chemical, biochemical, and molecular sequence-based testing schemes. We have available and are further developing quality control, environmental monitoring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a 10,000 square foot cGMP manufacturing facility at one of our Cambridge, Massachusetts locations where we conduct cGMP manufacture of therapeutic candidates to support drug substance and drug product for early phase and small-scale clinical supplies and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Manufacturing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Société des Produits Nestlé S.A. (Nestlé)</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January 2016, we entered into the Collaboration and License Agreement, or the 2016 License Agreement, with Nestec, Ltd., as succeeded by Société des Produits Nestlé S.A., or, together with NHSc Pharma Partners, succeeded by NHSc Rx License GmbH, their affiliates, and their subsidiaries, Nestlé, for the development and commercialization of certain of our product candidates in development for the treatment and management of CDI and IBD, including UC and Crohn’s disease. The 2016 License Agreement will support the development of our portfolio of products for CDI and IBD in markets outside of the United States and Canada, or the 2016 Licensed Territory.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NHSc Rx License GmbH (Nestlé)</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July 2021, we entered into a License Agreement, or the 2021 License Agreement, with NHSc Pharma Partners, succeeded by NHSc Rx License GmbH, or,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VOWST) that are developed by us or on our behalf for the treatment of CDI and recurrent CDI, as well as any other indications pursued for the products upon mutual agreement of the parties, or the 2021 Field in the United States and Canada, or the 2021 Licensed Territory, and (ii) VOWST and any improvements and modifications thereto developed pursuant to the terms of the 2021 License Agreement, or the 2021 Collaboration Products, for any indications in the 2021 Licensed Territory.</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Term Manufacturing Agreement with Bacthera</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a Long Term Manufacturing Agreement with BacThera AG, or Bacthera, a joint venture between Chr. Hansen and a Lonza Group affiliate, which was amended on December 14, 2022, or the Bacthera Agreement. The Bacthera Agreement governs the general terms under which Bacthera, or one of its affiliates, will (i) construct a dedicated full-scale production suite for us at Bacthera’s Microbiome Center of Excellence in Visp, Switzerland, which is substantially complete; and (ii) provide manufacturing services to us for our VOWST product and other products, as agreed to by both parties.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GenIbet Supply Agreement</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September 2015, we entered into a Supply Agreement, or the Supply Agreement, with GenIbet BioPharmaceuticals, SA (acquired by Recipharm in February 2022) to provide certain manufacturing and supply services to us for our product candidates for purposes of conducting clinical trials and supporting commercial supply. In March 2023, the term of the Supply Agreement was extended through June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loan and security agreement, or the Hercules Loan Agreement, with Hercules Capital, Inc., or Hercules, pursuant to which a term loan facility in an aggregate principal amount of up to $50.0 million, or the Original Credit Facility, was available to us in three tranches, subject to certain terms and conditions. We received the first tranche of $25.0 million upon signing the agreement on October 29, 2019, but did not borrow either of the second two tranches, which were available at different times upon Hercules’ approval until June 30, 2021.</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April 2020, we entered into an amendment to the Hercules Loan Agreement, or the First Amendment, permitting us to enter into a promissory note under the Paycheck Protection Program of the Coronavirus Aid, Relief and Economic Stability Act. In February 2022, we entered into a Second Amendment to the Original Credit Facility (as amended by the First Amendment), or the Hercules Credit Facility, pursuant to which a term loan facility in the amount of $100.0 million became available to us in five tranches including the first tranche of $25.0 million previously drawn under the Original Credit Facility, subject to certain terms and conditions. The Hercules Credit Facility was repaid on the Oaktree Closing Date (as defined below).</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Oaktree Credit Agreement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April 27, 2023, or the Oaktree Closing Date, we entered into the Oaktree Credit Agreement, among the Company, the subsidiary guarantors from time to time party thereto, the Oaktree Lenders, and Oaktree Fund Administration, LLC, in its capacity as administrative agent for the Oaktree Lenders (in such capacity, the “Agent”). The Oaktree Credit Agreement establishes a term loan facility of $250.0 million, consisting of (i) $110.0 million, or the Tranche A Loan, funded on the Oaktree Closing Date, (ii) $45.0 million, or the Tranche B Loan, that the Company may borrow subject to certain conditions, (iii) $45.0 million, or the Tranche C Loan, that the Company may borrow subject to certain conditions, and (iv) $50.0 million, or the Tranche D Loan, available in Oaktree’s sole discretion. The Tranche B Loan may be drawn by the Company until September 30, 2024, if VOWST net sales for the trailing six consecutive months are at least $35 million and at least 4.5% greater in the calendar quarter prior to the Applicable Funding Date (as defined in the Oaktree Credit Agreement) over the calendar quarter immediately preceding it. The Tranche C Loan may be drawn until September 30, 2025, if VOWST net sales for the trailing 12 consecutive months are at least $120 million and at least 4.5% greater in each of the two calendar quarters prior to the Applicable Funding Date relative, in each case, to the calendar quarter immediately preceding it. The Oaktree Term Loan has a maturity date of April 27, 2029, or the Oaktree Maturity Date. Of the $110.0 million Tranche A Loan advanced by the Lenders at closing, approximately $53.4 million repaid our existing credit facility with Hercules. After deducting other transaction expenses and fees, we received net proceeds of approximately $50.4 million.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further description of our material agreements, see “Management’s Discussion and Analysis of Financial Condition and Results of Operations</w:t>
      </w:r>
    </w:p>
    <w:p>
      <w:pPr>
        <w:spacing w:after="0" w:line="27" w:lineRule="exact"/>
        <w:rPr>
          <w:sz w:val="20"/>
          <w:szCs w:val="20"/>
          <w:color w:val="auto"/>
        </w:rPr>
      </w:pPr>
    </w:p>
    <w:p>
      <w:pPr>
        <w:ind w:left="5540" w:right="4740" w:hanging="5526"/>
        <w:spacing w:after="0" w:line="511" w:lineRule="auto"/>
        <w:rPr>
          <w:sz w:val="20"/>
          <w:szCs w:val="20"/>
          <w:color w:val="auto"/>
        </w:rPr>
      </w:pPr>
      <w:r>
        <w:rPr>
          <w:rFonts w:ascii="Times New Roman" w:cs="Times New Roman" w:eastAsia="Times New Roman" w:hAnsi="Times New Roman"/>
          <w:sz w:val="18"/>
          <w:szCs w:val="18"/>
          <w:color w:val="auto"/>
        </w:rPr>
        <w:t>– Liquidity and Capital Resources" in Part II, Item 7 of this Annual Report on Form 10-K.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5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79"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Our patent portfolio includes issued U.S. patents and patent applications in various stages of prosecution, including ex-U.S. international counterparts. We believe that issued claims will provide protection for our microbiome therapeutic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3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face competition with respect to VOWST and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VOWST and the product candidates that we develop, if approved, are likely to be their efficacy, safety, convenience, price, the level of competition and the availability of reimbursement from government and other third-party payors.</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approval by the FDA before being marketed in the United States.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biologic product candidates may be marketed in the United States generally involves the following:</w:t>
      </w:r>
    </w:p>
    <w:p>
      <w:pPr>
        <w:spacing w:after="0" w:line="117" w:lineRule="exact"/>
        <w:rPr>
          <w:sz w:val="20"/>
          <w:szCs w:val="20"/>
          <w:color w:val="auto"/>
        </w:rPr>
      </w:pPr>
    </w:p>
    <w:p>
      <w:pPr>
        <w:ind w:left="1020" w:right="4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good laboratory practice, or GLP,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in the United States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a trial is commenced;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9" w:name="page20"/>
    <w:bookmarkEnd w:id="19"/>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 and potential inspection of selected clinical investigation sites to assess compliance with GCPs;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prior to any commercial marketing, sale or shipment of the product.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studies include laboratory evaluations of drug chemistry, formulation and stability, as well as studies to evaluate toxicity in animals, certain of which must be conducted in accordance with GLP requirements. The results of the preclinical studies, together with manufacturing information and analytical data, are submitted to the FDA as part of an IND. An IND is a request for authorization from the FDA to administer an investigational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allows the trial to proceed, either explicitly or implicitly by not objecting, before each clinical trial can begin.</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BLA approval, clinical trials are typically conducted in three sequential phases, which may overlap or be combined.</w:t>
      </w:r>
    </w:p>
    <w:p>
      <w:pPr>
        <w:spacing w:after="0" w:line="115" w:lineRule="exact"/>
        <w:rPr>
          <w:sz w:val="20"/>
          <w:szCs w:val="20"/>
          <w:color w:val="auto"/>
        </w:rPr>
      </w:pPr>
    </w:p>
    <w:p>
      <w:pPr>
        <w:ind w:left="1020" w:right="320" w:hanging="503"/>
        <w:spacing w:after="0" w:line="290"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The investigational product is initially introduced into healthy human subjects or patients with the target disease or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47" w:lineRule="exact"/>
        <w:rPr>
          <w:rFonts w:ascii="Times New Roman" w:cs="Times New Roman" w:eastAsia="Times New Roman" w:hAnsi="Times New Roman"/>
          <w:sz w:val="17"/>
          <w:szCs w:val="17"/>
          <w:color w:val="auto"/>
        </w:rPr>
      </w:pPr>
    </w:p>
    <w:p>
      <w:pPr>
        <w:ind w:left="1020" w:right="480" w:hanging="503"/>
        <w:spacing w:after="0" w:line="28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The investigational product is typically administered to a limited patient population with a specified disease or condition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preliminary efficacy, optimal dosages and dosing schedule and to identify possible adverse side effects and safety risks.</w:t>
      </w:r>
    </w:p>
    <w:p>
      <w:pPr>
        <w:spacing w:after="0" w:line="50"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The investigational product is administered to an expanded patient population to further evaluate dosage, to provide statistically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54"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FDA Review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and biologics, for a new active ingredient, new indication, new dosage form, new dosing regimen or new route of administration. Under PREA, original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candidate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80"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Once a BLA has been accepted for review, the FDA’s goal is to review standard applications within ten months after the filing date, or, if the application qualifies for Priority Review, six months after the FDA accepts the application for filing,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w:t>
      </w:r>
    </w:p>
    <w:p>
      <w:pPr>
        <w:spacing w:after="0" w:line="7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After the FDA evaluates a BLA and conducts any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including additional clinical trials, or other significant and time-consuming requirements related to clinical trials, nonclinical studies or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right="880"/>
        <w:spacing w:after="0" w:line="282" w:lineRule="auto"/>
        <w:rPr>
          <w:sz w:val="20"/>
          <w:szCs w:val="20"/>
          <w:color w:val="auto"/>
        </w:rPr>
      </w:pPr>
      <w:r>
        <w:rPr>
          <w:rFonts w:ascii="Times New Roman" w:cs="Times New Roman" w:eastAsia="Times New Roman" w:hAnsi="Times New Roman"/>
          <w:sz w:val="18"/>
          <w:szCs w:val="18"/>
          <w:color w:val="auto"/>
        </w:rPr>
        <w:t>manufacturing. If a CRL is issued, the sponsor must resubmit the BLA, addressing all of the deficiencies identified in the letter, or withdraw the application. Even if such data and information are submitted, the FDA may decide that the BLA does not satisfy the criteria for approval.</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 BLA is eligible for Priority Review if the product candidate has the potential to provide a significant improvement in safety or effectiveness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confirmatory studies to verify and describe the product’s clinical benefit, and the FDA may require that such studies be underway before granting any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Approved biologics that are manufactured or distributed in the United States are subject to pervasive and continuing regulation by the FDA, including, among other things, requirements relating to recordkeeping, periodic reporting, product distribution,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380"/>
        <w:spacing w:after="0" w:line="282" w:lineRule="auto"/>
        <w:rPr>
          <w:sz w:val="20"/>
          <w:szCs w:val="20"/>
          <w:color w:val="auto"/>
        </w:rPr>
      </w:pPr>
      <w:r>
        <w:rPr>
          <w:rFonts w:ascii="Times New Roman" w:cs="Times New Roman" w:eastAsia="Times New Roman" w:hAnsi="Times New Roman"/>
          <w:sz w:val="18"/>
          <w:szCs w:val="18"/>
          <w:color w:val="auto"/>
        </w:rPr>
        <w:t>advertising and promotion and reporting of adverse experiences with the product. There also are continuing, annual user fee requirements for products marketed pursuant to approved applications.</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untitled lets, or holds on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3" w:name="page24"/>
    <w:bookmarkEnd w:id="23"/>
    <w:p>
      <w:pPr>
        <w:ind w:right="160"/>
        <w:spacing w:after="0" w:line="266" w:lineRule="auto"/>
        <w:rPr>
          <w:sz w:val="20"/>
          <w:szCs w:val="20"/>
          <w:color w:val="auto"/>
        </w:rPr>
      </w:pPr>
      <w:r>
        <w:rPr>
          <w:rFonts w:ascii="Times New Roman" w:cs="Times New Roman" w:eastAsia="Times New Roman" w:hAnsi="Times New Roman"/>
          <w:sz w:val="18"/>
          <w:szCs w:val="18"/>
          <w:color w:val="auto"/>
        </w:rPr>
        <w:t>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68"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existing periods of regulatory exclusivity protection or patent terms, may be granted based on the voluntary completion of a pediatric study in accordance with an FDA-issued “Written Request” for such a study.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disease or condition, except in limited circumstances, such as a subsequent product’s showing of clinical superiority over the product with orphan exclusivity or where the original applicant cannot produce sufficient quantities of product for the applicable disease or condition. Competitors, however, may receive approval of different therapeutic agents for the disease or condition for which the orphan product has exclusivity or obtain approval for the same therapeutic agent for a different disease or condition than that for which the orphan product has exclusivity. Further, if a designated orphan product receives marketing approval for a disease or condition broader than the rare disease or condition for which it received orphan designation, it may not be entitled to orphan exclusivity.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Because biologically sourced raw materials are subject to unique contamination risks, their use may be restricted in some countries.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 are subject to significant regulatory controls.</w:t>
      </w:r>
    </w:p>
    <w:p>
      <w:pPr>
        <w:spacing w:after="0" w:line="11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7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right="140"/>
        <w:spacing w:after="0" w:line="266" w:lineRule="auto"/>
        <w:rPr>
          <w:sz w:val="20"/>
          <w:szCs w:val="20"/>
          <w:color w:val="auto"/>
        </w:rPr>
      </w:pPr>
      <w:r>
        <w:rPr>
          <w:rFonts w:ascii="Times New Roman" w:cs="Times New Roman" w:eastAsia="Times New Roman" w:hAnsi="Times New Roman"/>
          <w:sz w:val="18"/>
          <w:szCs w:val="18"/>
          <w:color w:val="auto"/>
        </w:rPr>
        <w:t>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marketing authorization, or MA. To obtain regulatory approval of an investigational biological product in the EU, we must submit a MA application, or MAA. The process for doing this depends, among other things, on the nature of the medicinal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—Under the centralized procedure, following the opining of the EMA’s CHMP the European Commission issues a single 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 throughout the EU. The centralized procedure is compulsory for certain types of products, such as (i) medicinal products derived from biotechnology processes, such as genetic engineering, (ii) designated orphan medicinal products, (iii) advanced therapy medicinal products, or ATMPs, such as gene therapy, somatic cell therapy and tissue engineered products, and (iv) medicinal products that contain a new active substance indicated for the treatment of certain diseases, such as HIV/AIDS, cancer, neurodegenerative diseases, diabetes, autoimmune diseases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EMA's CHMP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Priority Medicines, or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8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National authorization procedures</w:t>
      </w:r>
      <w:r>
        <w:rPr>
          <w:rFonts w:ascii="Times New Roman" w:cs="Times New Roman" w:eastAsia="Times New Roman" w:hAnsi="Times New Roman"/>
          <w:sz w:val="18"/>
          <w:szCs w:val="18"/>
          <w:color w:val="auto"/>
        </w:rPr>
        <w:t>—There are also two other possible routes to authorize medicinal products in several member states,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products that fall outside the scope of the centralized procedure:</w:t>
      </w:r>
    </w:p>
    <w:p>
      <w:pPr>
        <w:spacing w:after="0" w:line="50" w:lineRule="exact"/>
        <w:rPr>
          <w:sz w:val="20"/>
          <w:szCs w:val="20"/>
          <w:color w:val="auto"/>
        </w:rPr>
      </w:pPr>
    </w:p>
    <w:p>
      <w:pPr>
        <w:ind w:left="1020" w:right="4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 Using the decentralized procedure, an applicant may apply for simultaneous authorizations in more than one EU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are issued by competent authorities of the EU member states for their respective territory.</w:t>
      </w:r>
    </w:p>
    <w:p>
      <w:pPr>
        <w:spacing w:after="0" w:line="75" w:lineRule="exact"/>
        <w:rPr>
          <w:rFonts w:ascii="Times New Roman" w:cs="Times New Roman" w:eastAsia="Times New Roman" w:hAnsi="Times New Roman"/>
          <w:sz w:val="18"/>
          <w:szCs w:val="18"/>
          <w:color w:val="auto"/>
        </w:rPr>
      </w:pPr>
    </w:p>
    <w:p>
      <w:pPr>
        <w:ind w:left="1020" w:right="220" w:hanging="503"/>
        <w:spacing w:after="0" w:line="267"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 In the mutual recognition procedure, a medicine is first authorized in one EU member state,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member state. Following this, further MAs can be sought from other EU member states in a procedure whereby the countries concerned recognize the validity of the original national MA.</w:t>
      </w:r>
    </w:p>
    <w:p>
      <w:pPr>
        <w:spacing w:after="0" w:line="6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EU, upon receiving a MA, reference medicinal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or biosimilar MA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6" w:name="page27"/>
    <w:bookmarkEnd w:id="26"/>
    <w:p>
      <w:pPr>
        <w:ind w:right="60"/>
        <w:spacing w:after="0" w:line="282" w:lineRule="auto"/>
        <w:rPr>
          <w:sz w:val="20"/>
          <w:szCs w:val="20"/>
          <w:color w:val="auto"/>
        </w:rPr>
      </w:pPr>
      <w:r>
        <w:rPr>
          <w:rFonts w:ascii="Times New Roman" w:cs="Times New Roman" w:eastAsia="Times New Roman" w:hAnsi="Times New Roman"/>
          <w:sz w:val="18"/>
          <w:szCs w:val="18"/>
          <w:color w:val="auto"/>
        </w:rPr>
        <w:t>therapies. However, there is no guarantee that a product will be considered by the EU’s regulatory authorities to be a new chemical or biological entity, and products may not qualify for data exclusivity.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w:t>
      </w:r>
    </w:p>
    <w:p>
      <w:pPr>
        <w:ind w:right="40" w:firstLine="8"/>
        <w:spacing w:after="0" w:line="251"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protocol assistance, access to the centralized procedure, and are, upon grant of a MA, entitled to ten years of market exclusivity for the approved therapeutic indication. During this ten-year orphan market exclusivity period, the competent authorities cannot accept another MAA, or grant a MA, or accept an application to extend a MA for a similar product for the same indication.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or where the prevalence of the condition has increased above the threshold.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EU,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7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(comprised of the 27 EU member states plus Iceland, Liechtenstein and Norway).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United Kingdom, or UK, law through secondary legislation remain applicable in Great Britain. However, new legislation such as the CTR or in relation to orphan medicines is not applicable in Great Britain.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Whilst Northern Ireland will continue to follow the EU regulatory regime, but its national competent authority will remain the MHRA.</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After Brexit, companies established in the UK cannot use the centralized procedure and instead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6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ind w:right="220"/>
        <w:spacing w:after="0" w:line="261" w:lineRule="auto"/>
        <w:rPr>
          <w:sz w:val="20"/>
          <w:szCs w:val="20"/>
          <w:color w:val="auto"/>
        </w:rPr>
      </w:pPr>
      <w:r>
        <w:rPr>
          <w:rFonts w:ascii="Times New Roman" w:cs="Times New Roman" w:eastAsia="Times New Roman" w:hAnsi="Times New Roman"/>
          <w:sz w:val="18"/>
          <w:szCs w:val="18"/>
          <w:color w:val="auto"/>
        </w:rPr>
        <w:t>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for each wrongful act. Moreover,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Office of Inspector General of the Department of Health and Human Services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6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the extent that VOWST or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7"/>
          <w:szCs w:val="17"/>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6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54" w:lineRule="exact"/>
        <w:rPr>
          <w:sz w:val="20"/>
          <w:szCs w:val="20"/>
          <w:color w:val="auto"/>
        </w:rPr>
      </w:pPr>
    </w:p>
    <w:p>
      <w:pPr>
        <w:jc w:val="both"/>
        <w:ind w:left="1020" w:right="1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7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For example, the Budget Control Act of 2011, enacted in August 2011, among other things, included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In addition, the American Rescue Plan Act of 2021 as signed into law, which eliminated the statutory Medicaid drug rebate cap, beginning January 1, 2024. The rebate was previously capped at 100% of a drug’s AMP.</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Most recently, on August 16,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and the impact of the IRA on the pharmaceutical industry cannot yet be fully determined.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state, or foreign level could further limit reimbursement for pharmaceuticals, including our product candidates if approved.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also be subject to U.S. federal, state and foreign laws, regulations and standards governing the collection, use, access to, confidentiality, and security of health-related and other personal information, that could apply now or in the future to our operations or the operations of our partners. Numerous federal and state laws and regulations, including data breach notification laws, health information privacy and security laws and consumer protection laws and regulations, govern the collection, use, disclosure, and protection of health-related and other personal information.</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November 2023, we announced the Restructuring Plan, which included a reduction in workforce of approximately 160 employees, or approximately 41% of our workforce. As of January 1, 2024, after the substantial implementation of the reduction in workforce in 2023, we had 233 full-time permanent employees. Thirty-nine employees work in administration, operations, and commercial and 194 work in research and development. None of our employees in the U.S. are currently represented by a labor union or covered by collective bargaining agreements, and we believe our relationship with our employees is good.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consider the intellectual capital, skills and experience of our employees to be an essential driver of our business and key to our future prospects. We face intense competition for qualified individuals from numerous pharmaceutical and biotechnology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ind w:right="140"/>
        <w:spacing w:after="0" w:line="258" w:lineRule="auto"/>
        <w:rPr>
          <w:sz w:val="20"/>
          <w:szCs w:val="20"/>
          <w:color w:val="auto"/>
        </w:rPr>
      </w:pPr>
      <w:r>
        <w:rPr>
          <w:rFonts w:ascii="Times New Roman" w:cs="Times New Roman" w:eastAsia="Times New Roman" w:hAnsi="Times New Roman"/>
          <w:sz w:val="17"/>
          <w:szCs w:val="17"/>
          <w:color w:val="auto"/>
        </w:rPr>
        <w:t>companies, universities, governmental entities and other research institutions, and we believe that our future success will depend in 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Inclusion, and Belonging</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microbiome therapeutics company developing a novel class of live biotherapeutic drugs, we believe that our long-term success and ability to deliver innovative, safe and effective medicines to patients requires a diverse and inclusive workforce. We value diversity at all levels of the organization and continue to focus on extending our diversity, equity and inclusion initiatives across our entire workforce, from: working with managers to develop strategies for fostering high performing teams from all backgrounds; to ensuring that we attract, develop and retain diverse talent from all backgrounds; to increasing awareness within our company of unconscious biases, and supporting all employees, including those who may be underrepresented in our company, industry or society, such as women, members of the LGBTQ community and people of color. 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diversity, equity and inclusion,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t>
      </w:r>
      <w:r>
        <w:rPr>
          <w:rFonts w:ascii="Times New Roman" w:cs="Times New Roman" w:eastAsia="Times New Roman" w:hAnsi="Times New Roman"/>
          <w:sz w:val="18"/>
          <w:szCs w:val="18"/>
          <w:i w:val="1"/>
          <w:iCs w:val="1"/>
          <w:color w:val="auto"/>
        </w:rPr>
        <w:t>www.serestherapeutics.com</w:t>
      </w:r>
      <w:r>
        <w:rPr>
          <w:rFonts w:ascii="Times New Roman" w:cs="Times New Roman" w:eastAsia="Times New Roman" w:hAnsi="Times New Roman"/>
          <w:sz w:val="18"/>
          <w:szCs w:val="18"/>
          <w:color w:val="auto"/>
        </w:rPr>
        <w:t>. The information contained in, or accessible through, our website does not constitute a part of this Annual Report on Form 10-K.</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accordingly, file reports, proxy statements and other information with the Securities and Exchange Commission, or SEC. The SEC maintains a web site (http://www.sec.gov) that contains material regarding issuers that file electronically, such as ourselves, with the SEC.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$113.7 million for the year ended December 31, 2023, and $250.2 million for the year ended December 31, 2022. As of December 31, 2023, we had an accumulated deficit of $978.2 million. As noted elsewhere in this Annual Report on Form 10-K, we have identified conditions and events that raise substantial doubt about our ability to continue as a going concern. To date, we have financed our operations through the public offerings of our common stock, private placements of our common stock and preferred stock, payments under our collaboration agreements, and loan facility. We have devoted substantially all of our financial resources and efforts to developing our microbiome therapeutics platform, identifying potential product candidates and conducting preclinical studies and clinical trials. We have only had one product, VOWST, which was approved for marketing in the United States to prevent the recurrence of CDI in individuals 18 years of age and older following antibacterial treatment for recurrent CDI on April 26, 2023, and launched in June 2023. We have not completed development of any of our other product candidates, which we call microbiome therapeutic candidates, or other drugs or biologics. We expect to continue to incur significant expenses and operating losses for the foreseeable future. While we plan to focus our investment on supporting commercialization of VOWST and on our SER-155 Phase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1b study in the near-term, our expenses may increase substantially in connection with our ongoing and future activities, particularly if and as we:</w:t>
      </w:r>
    </w:p>
    <w:p>
      <w:pPr>
        <w:spacing w:after="0" w:line="99"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and manufacture VOWST for adult patients with recurrent CDI with our collaborator Nestlé;</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to potentially reduce incidences of gastrointestinal infections, resulting bloodstream infections, and GvHD in patients receiving allo-HSCT;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activities supported by partnerships;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760" w:right="240" w:hanging="378"/>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augment our extensive proprietary microbiome therapeutic drug development know-how that may be used to support future research and development efforts, including our intellectual property portfolio and intellectual property that we may opportunistically acquire;</w:t>
      </w:r>
    </w:p>
    <w:p>
      <w:pPr>
        <w:spacing w:after="0" w:line="31" w:lineRule="exact"/>
        <w:rPr>
          <w:rFonts w:ascii="Times New Roman" w:cs="Times New Roman" w:eastAsia="Times New Roman" w:hAnsi="Times New Roman"/>
          <w:sz w:val="17"/>
          <w:szCs w:val="17"/>
          <w:color w:val="auto"/>
        </w:rPr>
      </w:pPr>
    </w:p>
    <w:p>
      <w:pPr>
        <w:ind w:left="760" w:right="6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and distribution infrastructure and scale-up manufacturing capabilities to commercialize any products for which we have obtained and in the future may obtain regulatory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our agreements with our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have already obtained and may in the future obtain regulatory approval. We are in the preliminary stages of many of these activities. We may never succeed in these activities and, even if we do, may never generate revenue that is significant enough to achieve profitability.</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and commercialization efforts, diversify our product offerings or even continue our operations.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currently available cash resources and our current level of operations and cash flows for the 12-month period subsequent to the date of issuance of the consolidated financial statements included elsewhere in this Annual Report on Form 10-K, we will require additional funding prior to the end of 2024. Because the ability to obtain sufficient additional equity or debt financing with terms favorable or acceptable to us cannot be considered probable according to the applicable accounting standards because they are outside our control, there is substantial doubt about our ability to continue as a going concern for at least 12 months from the date that our consolidated financial statements for the year ended December 31, 2023 were issued.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prepared our consolidated financial statements on a going concern basis, which contemplates the realization of assets and the satisfaction of liabilities and commitments in the normal course of business. Our audited consolidated financial statements included in this Annual Report on Form 10-K do not include any adjustments to reflect the possible inability of the Company to continue as a going concern within 12 months after the issuance of such financial statements.</w:t>
      </w:r>
    </w:p>
    <w:p>
      <w:pPr>
        <w:spacing w:after="0" w:line="68" w:lineRule="exact"/>
        <w:rPr>
          <w:sz w:val="20"/>
          <w:szCs w:val="20"/>
          <w:color w:val="auto"/>
        </w:rPr>
      </w:pPr>
    </w:p>
    <w:p>
      <w:pPr>
        <w:jc w:val="both"/>
        <w:ind w:right="5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in order to complete development of our product candidates and commercialize VOWST and our product candidates, if approved. If we are unable to raise capital when needed, we could be forced to delay, reduce or eliminate our product development programs or commercialization efforts.</w:t>
      </w:r>
    </w:p>
    <w:p>
      <w:pPr>
        <w:spacing w:after="0" w:line="6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expenses may increase in connection with our ongoing activities, particularly if and as we scale up manufacturing operations and continue the commercialization of VOWST, continue the SER-155 Phase 1b study, and research, develop and initiate clinical trials of our product candidates. In addition, if we obtain marketing approval for any of our product candidates, we expect to incur costs related to product manufacturing and commercialization, including marketing, sales and distribution, and may not generate meaningful product revenues or collaboration profit in the near future. Furthermore, we have incurred and expect to continue to incur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current or future commercialization efforts.</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noted above, we have identified conditions and events that raise substantial doubt about our ability to continue as a going concern. Our future capital requirements will depend on many factors, including:</w:t>
      </w:r>
    </w:p>
    <w:p>
      <w:pPr>
        <w:spacing w:after="0" w:line="54"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continued increase in inflation rates or interest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VOWST and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of the profits and losses from commercial sales of VOWST pursuant to the 2021 License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Restructuring Plan announced in November 2023, which has been substantially implemented;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products or product candidates. In addition, we cannot guarantee that future financing will be available in sufficient amounts or on terms acceptable to us, if at all. Additionally, market volatility resulting from current macroeconomic conditions, the COVID-19 pandemic, the conflicts involving Ukraine and Russia and Israel and its surrounding regions,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60"/>
        <w:spacing w:after="0" w:line="258" w:lineRule="auto"/>
        <w:rPr>
          <w:sz w:val="20"/>
          <w:szCs w:val="20"/>
          <w:color w:val="auto"/>
        </w:rPr>
      </w:pPr>
      <w:r>
        <w:rPr>
          <w:rFonts w:ascii="Times New Roman" w:cs="Times New Roman" w:eastAsia="Times New Roman" w:hAnsi="Times New Roman"/>
          <w:sz w:val="18"/>
          <w:szCs w:val="18"/>
          <w:color w:val="auto"/>
        </w:rPr>
        <w:t>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VOWST or any product candidates, or be unable to expand our operations or otherwise capitalize on our business opportunities, as desired, which could materially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Other than with respect to VOWST, which was approved by the FDA in April 2023, we have not yet demonstrated our ability to obtain regulatory approvals. Moreover, with the recent approval of VOWST, we have limited experience in demonstrating our ability to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including for example, the impact of our Restructuring Plan announced in November 2023 and substantially implemented by December 31, 2023, many of which are beyond our control. Consequently, any predictions made about our future success or viability may not be as accurate as they could be if we had a longer operating history.</w:t>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than VOWST, we are early in our development efforts of our product candidates and may not be successful in our efforts to use our reverse translational microbiome therapeutics platform to build a pipeline of product candidates and develop additional marketable drugs.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using our reverse translational microbiome therapeutics platform to develop microbiome therapeutic candidates. Other than VOWST, which launched in the United States in June 2023, we are at an early stage of development of our product candidates and our platform has not yet, and may never, lead to other approvable or marketable drugs. We are developing additional product candidates that we intend to develop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if approved, achieve market acceptance.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product and product candidates will depend on several factors, including the following:</w:t>
      </w:r>
    </w:p>
    <w:p>
      <w:pPr>
        <w:spacing w:after="0" w:line="11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our own, commercial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collaborations throughout the development process as appropriate, from preclinical studies through to commercialization;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and our product candidates,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third-party payors, including government payors, for our products, if approved;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5" w:name="page36"/>
    <w:bookmarkEnd w:id="35"/>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products and technology.</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successfully develop and commercialize our products or product candidates we will not be able to obtain product revenue or collaboration profit in future periods, which likely would result in significant harm to our financial position and adversely affect our stock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VOWST and our product candidates are based on microbiome therapeutics, which is a novel approach to therapeutic intervention.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VOWST and our product candidates are based on microbiome therapeutics, a novel class of biological drugs, which are designed to treat disease by modulating the microbiome to restore health by repairing the function of a disrupted microbiome to a non-disease state. To our knowledge, VOWST is the first oral product based on this approach to receive FDA approval. We cannot be certain that our approach will lead to the development of additional approvable or marketable products or that we will be able to manufacture at commercial scale. Finally, the FDA or other regulatory authorities may lack experience in evaluating the safety and efficacy of novel product candidates based on microbiome therapeutics, which could result in a longer than expected regulatory review process, increase our expected development costs and delay or prevent commercialization of our product candidates.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reverse translational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VOWST or our product candidates.</w:t>
      </w:r>
    </w:p>
    <w:p>
      <w:pPr>
        <w:spacing w:after="0" w:line="7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Other than VOWST, which received FDA approval in April 2023 to prevent the recurrence of CDI in individuals 18 years of age and older following antibacterial treatment for recurrent CDI, 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or other regulatory authorities, will require us to conduct before we may successfully gain approval to market any of our product candidates. Prior to approving a new therapeutic product, the FDA (or other regulatory authorities) generally requires that safety and efficacy, or with respect to biological products such as our microbiome therapeutic candidates, safety, purity and potency,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1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reaching agreement on acceptable clinical trial contracts or clinical trial protocols with prospective trial sites;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left="7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760" w:right="20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60" w:right="8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current or any future collaborators, requiring us to bear more of the burden of development of certain compounds;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 or desire;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These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IRBs or ethics committees for reexamination, which may impact the costs, timing or successful completion of a clinical trial. Additional clinical trials or changes in our development plans could cause us to incur significant development costs, delay or prevent the commercialization of our product candidates or otherwise adversely affect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EU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contract research organizations, or CROs, may impact our developments plans.</w:t>
      </w:r>
    </w:p>
    <w:p>
      <w:pPr>
        <w:spacing w:after="0" w:line="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or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or MHRA, launched an eight-week consultation on reframing the UK legislation for clinical trials with the aim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be closely watched and will determine how closely the UK regulations are aligned with the CTR. Under the terms of the Protocol on Ireland/Northern Ireland, provisions of the CTR which relate to the manufacture and import of investigational medicinal products and auxiliary medicinal products apply in Northern Ireland. On February 27, 2023, the UK Government and the European Commission reached a political agreement on the “Windsor Agreement” which will revise the Protocol on Ireland/Northern Ireland in order to address some of the perceived shortcomings in its operation. Once implemented, this may have further impact on the application of the CTR in Northern Ireland. A decision by the UK Government not to closely align any new legislation with the new approach that has been adopted in the EU may have an effect on the cost of conducting clinical trials in the UK as opposed to other countries.</w:t>
      </w:r>
    </w:p>
    <w:p>
      <w:pPr>
        <w:spacing w:after="0" w:line="8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business may be impacted.</w:t>
      </w:r>
    </w:p>
    <w:p>
      <w:pPr>
        <w:spacing w:after="0" w:line="5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5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also affected by other factors including: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or perceived burden, of the clinical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5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the price of our common stock.</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4"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obtain, or if there are delays in obtaining, required regulatory approvals, we or our collaborators will not be able to commercialize our product candidates or will not be able to do so as soon as anticipated, and our ability to generate revenue will be materially impaired.</w:t>
      </w:r>
    </w:p>
    <w:p>
      <w:pPr>
        <w:spacing w:after="0" w:line="2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our collaborators from commercializing the product candidate in that jurisdiction and may affect our plans for commercialization in other jurisdictions as well. Other than FDA approval for VOWST in the United States to prevent the recurrence of CDI in individuals 18 years of age and older following antibacterial treatment for recurrent CDI,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or with respect to biologics such as our microbiome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right="180"/>
        <w:spacing w:after="0" w:line="261" w:lineRule="auto"/>
        <w:rPr>
          <w:sz w:val="20"/>
          <w:szCs w:val="20"/>
          <w:color w:val="auto"/>
        </w:rPr>
      </w:pPr>
      <w:r>
        <w:rPr>
          <w:rFonts w:ascii="Times New Roman" w:cs="Times New Roman" w:eastAsia="Times New Roman" w:hAnsi="Times New Roman"/>
          <w:sz w:val="18"/>
          <w:szCs w:val="18"/>
          <w:color w:val="auto"/>
        </w:rPr>
        <w:t>therapeutic candidates, safety, purity and potency.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7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microbiome 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(not expected before early 2026) and may have a significant impact on the biopharmaceutical industry in the long term.</w:t>
      </w:r>
    </w:p>
    <w:p>
      <w:pPr>
        <w:spacing w:after="0" w:line="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regulatory authorities have substantial discretion in the approval process and may refuse to accept or file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7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Furthermore, our product candidates may not receive marketing approval even if they achieve their specified endpoints in clinical trials. Clinical data are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submitting a marketing application.</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microbiome therapeutic candidates.</w:t>
      </w:r>
    </w:p>
    <w:p>
      <w:pPr>
        <w:spacing w:after="0" w:line="6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and may in the future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In December 2023, we received Fast Track designation for SER-155 to reduce the risk of infection and GvHD in patients undergoing allo-HSCT, and for SER-287 for the induction and maintenance of clinical remission in adults with mild-to-moderate UC. Fast Track designation applies to the combination of the product candidate and the specific indication for which it is being studied. Once granted, Fast Track designation provides increased opportunities for sponsor meetings with the FDA during preclinical and clinical development, and a BLA submitted for a Fast Track product candidate may also be eligible for rolling review, where the FDA may consider for review sections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0" w:name="page41"/>
    <w:bookmarkEnd w:id="40"/>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application.</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receiving FDA approval for VOWST, we received Breakthrough Therapy designation for SER-109 for treatment of CDI, and we may seek a Breakthrough Therapy designation for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also receive all of the Fast Track program features, including eligibility for rolling review of the associated marketing application.</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a Breakthrough Therapy designation for any future designation we receive is no longer supported by subsequent data, the FDA may rescind the designation.</w:t>
      </w:r>
    </w:p>
    <w:p>
      <w:pPr>
        <w:spacing w:after="0" w:line="7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7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but may not be able to obtain it.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previously obtained orphan drug designation from the FDA for SER-109 for recurrent CDI and SER-287 for pediatric UC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if a product with an orphan drug designation subsequently receives the first marketing approval for the disease or condition for which it has such designation, the product is entitled to a period of marketing exclusivity, which precludes the FDA or other regulatory authorities from approving another marketing application for the same drug and same disease or condition during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the EU. The European exclusivity period can be reduced to six years if, at the end of the fifth year, it is established that a product no longer meets the criteria for orphan designation, if the product is sufficiently profitable so that market exclusivity is no longer justified, or the prevalence of the condition has increased above the orphan designation threshold.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connection with VOWST’s approval, we received a seven year period of exclusivity to prevent the recurrence of CDI in individuals 18 years of age and older following antibacterial treatment for recurrent CDI, which period began on April 26, 2023.</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disease or condition. Even after an orphan drug or biologic is approved, the FDA or other regulatory authorities can subsequently approve the same drug or biologic for the same disease or condition if the FDA or other regulatory authorities conclude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spacing w:after="0" w:line="7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following its relocation to Amsterdam and resulting staff changes, may also slow the time necessary for new drugs and biologics to be reviewed and/or approved by necessary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If a prolonged government shutdown occurs, or if global health concerns continue to delay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collaboration and license agreements with Société des Produits Nestlé 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NHSc Rx License GmbH (collectively, and together with their affiliates and subsidiaries, Nestlé) are important to our business. If we or Nestlé fail to adequately perform under these agreements, or if we or Nestlé terminate the agreements, the development and commercialization of our CDI and IBD product candidates and/or VOWST could be adversely affected, delayed or terminated and our business would be adversely affected.</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January 2016, we entered into a Collaboration and License Agreement with Nestlé, or the 2016 License Agreement. The 2016 License Agreement may be terminated:</w:t>
      </w:r>
    </w:p>
    <w:p>
      <w:pPr>
        <w:spacing w:after="0" w:line="54" w:lineRule="exact"/>
        <w:rPr>
          <w:sz w:val="20"/>
          <w:szCs w:val="20"/>
          <w:color w:val="auto"/>
        </w:rPr>
      </w:pPr>
    </w:p>
    <w:p>
      <w:pPr>
        <w:ind w:left="760" w:right="2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Nestlé in the event of serious safety issues related to VOWST, SER-287, SER-301 or other specific products added under the 2016 License Agreement, or, collectively, the 2016 Collaboration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if Nestlé challenges the validity or enforceability of any of our licensed patents;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Nestlé or us in the event of the other party’s uncured material breach or insolvency.</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Upon termination of the 2016 License Agreement, all licenses granted to Nestlé by us will terminate, and all rights in and to the 2016 Collaboration Products held by Nestlé will revert to us. If we commit a material breach of the 2016 License Agreement, Nestlé may elect not to terminate the 2016 License Agreement but instead apply specified adjustments to its payment obligations and other terms and conditions of the 2016 License Agreement. If Nestlé were to make such adjustments, the funding from and benefits of the 2016 License Agreement could be diminished, which could adversely affect our financial condition. Unless the 2016 License Agreement is terminated by us for Nestlé’s uncured material breach, upon termination of the 2016 License Agreement, Nestlé will be eligible to receive post-termination royalties from us until Nestlé has recouped certain development costs related to the 2016 Collaboration Products and specified percentages of any milestone payments paid to us under the 2016 License Agreement prior to termination, which could have a material adverse effect on our business.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2021, we entered into a License Agreement with Nestlé, or the 2021 License Agreement. The 2021 License Agreement may be terminated:</w:t>
      </w:r>
    </w:p>
    <w:p>
      <w:pPr>
        <w:spacing w:after="0" w:line="117" w:lineRule="exact"/>
        <w:rPr>
          <w:sz w:val="20"/>
          <w:szCs w:val="20"/>
          <w:color w:val="auto"/>
        </w:rPr>
      </w:pPr>
    </w:p>
    <w:p>
      <w:pPr>
        <w:jc w:val="both"/>
        <w:ind w:left="760" w:right="200" w:hanging="378"/>
        <w:spacing w:after="0" w:line="312"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Nestlé with twelve months’ prior written notice, effective only on or after the third anniversary of first commercial sale of VOWST and any improvements and modifications thereto developed pursuant to the terms of the 2021 License Agreement, or the 2021 Collaboration Products;</w:t>
      </w:r>
    </w:p>
    <w:p>
      <w:pPr>
        <w:spacing w:after="0" w:line="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if Nestlé challenges the validity or enforceability of any of our licensed patents;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Nestlé or us in the event of the other party’s uncured material breach or insolvency.</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agreement. If Nestlé were to make such adjustments, the funding from and benefits of the 2021 License Agreement could be diminished, which could adversely affect our financial condition. In the event we materially breach the 2021 License Agreement or file for bankruptcy, the share of profits and milestones due to us will be reduced by a specified percentage until Nestlé has recouped twice the losses caused by our material breach or bankruptcy.</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Termination of these agreements could cause significant delays in our product development and commercialization efforts that could prevent us from commercializing our CDI and IBD products and product candidates without first expanding our internal capabilities or entering into another agreement with a third party. Any alternative collaboration or license could also be on less favorable terms to us. In addition, under the agreements, Nestlé agreed to provide funding for certain clinical development activities. If either of the agreements were terminated, we may need to refund those payments and seek additional financing to support the research and development or commercialization of any terminated products or discontinue any terminated products or product candidates, which could have a material adverse effect on our business.</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Under the collaboration and license agreements, we are dependent upon Nestlé to successfully commercialize any applicable collaboration products both outside and within the United States and Canada, as applicable. For example, we must work closely with Nestlé to supply VOWST to them and coordinate scientific messaging. To optimize the commercial potential of VOWST, we must execute these plans effectively and collaboratively. We cannot directly control Nestlé’s commercialization activities or the resources it allocates to our product candidates. Our interests and Nestlé’s interests may differ or conflict from time to time, or we may disagree with Nestlé’s level of effort or resource allocation. Nestlé may internally prioritize our product candidates differently than we do or it may not allocate sufficient resources to effectively or optimally commercialize them. If these events were to occur, our business would be adversely affected.</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Nestlé to provide information related to the commercialization of VOWST so that we can make strategic decisions and projections, and we may provide this data, or statements based upon this data, to investors. If the data Nestlé provides us is inaccurate or incomplete, it may adversely affect our financial statements, business operations, the commercial success of VOWST or our stock price.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2021 License Agreement, VOWST net sales are recorded by Nestlé and include gross sales net of discounts, rebates, allowances, and other applicable deductions. We rely on Nestlé to provide reporting related to net sales of VOWST in accordance with U.S. generally accepted accounting principles in order to calculate and record collaboration profit or loss. We also rely on Nestlé to provide timely, accurate and complete information related to the commercialization of VOWST, including data on prescribers, prescriptions and new patient starts. We use the information provided to us by Nestlé to report our results of operations, to plan for our future operations, and to make strategic decisions and projections, which may prove to be inaccurate or suboptimal. We base some of our strategic decisions and projections on the data Nestlé provides and we may provide this information to investors and analysts who may make their own predictions and estimates, all of which may prove to be inaccurate. Any failure by Nestlé to provide accurate and complete information related to the commercialization of VOWST, or to provide it on a timely basis, could adversely impact our financial statements, business operations, the commercial success of VOWST or our stock price.</w:t>
      </w:r>
    </w:p>
    <w:p>
      <w:pPr>
        <w:spacing w:after="0" w:line="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data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7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6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aspects of the manufacture of our product and product candidates, and we expect to continue to do so for the foreseeable future. This reliance on third parties increases the risk that we will not have sufficient quantities of our product and product candidates or that such quantities may not be available at an acceptable cost, which could delay, prevent or impair our development or commercialization efforts.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rely, and expect to continue to rely, on third parties, including GenIbet and Bacthera, for certain aspects of materials supply for our product candidates in preclinical and clinical testing, as well as for commercial manufacture of VOWST and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VOWST and certain of our product candidates rely on human stool from third-party donors. If we do not obtain an adequate supply of donor-derived material to meet clinical or commercial demand, our ability to manufacture VOWST and our product candidates may be delayed or adversely impacted.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rely on third-party manufacturers, which entails additional risks, including: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4" w:name="page45"/>
    <w:bookmarkEnd w:id="44"/>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comply with regulatory requirements and maintain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manufacturers to perform the manufacturing process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specifications;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supply components, intermediates, services, or product according to our schedule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manufacturers at times that are costly or inconvenient for us.</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Some of the contract manufacturers we rely on to produce VOWST or our product candidates have never produced any other FDA-approved therapeutic. One of the contract manufacturers on which we rely is constructing a building, which is substantially complete but remains under construction, to manufacture VOWST and our product candidates, however, upon completion, it may not be approved by the FDA for the manufacture of VOWST.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w:t>
      </w:r>
    </w:p>
    <w:p>
      <w:pPr>
        <w:spacing w:after="0" w:line="7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than the manufacture of VOWST after its recent FDA approval, we have very little experience manufacturing our product candidates commercially, and we cannot assure you that we can manufacture our product candidates in compliance with regulations at a cost or in quantities necessary to make them commercially viable.</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manufacturing facilities at our Cambridge and Waltham, Massachusetts locations where we conduct process development, scale-up activities and a portion of the manufacture of microbiome therapeutics as well as conduct quality control.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The FDA inspected our Cambridge and Waltham facilities in December 2022 and closed the inspections without issue. We currently intend to rely in part on third-party manufacturers for portions of the commercial manufacturing of VOWST and may establish a manufacturing facility for VOWST or any of our product candidates for production at a commercial scale. We have no experience in manufacturing, without reliance on third-party manufacturers, sufficient volume of our product candidates to meet potential market demands. We may not be able to develop commercial-scale manufacturing facilities that are adequate to produce materials for commercial use.</w:t>
      </w:r>
    </w:p>
    <w:p>
      <w:pPr>
        <w:spacing w:after="0" w:line="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some of our product candidates require donor material, of which we may not be able to collect sufficient quantities for commercial-scale or other manufacturing.</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Products, Product Candidates and</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Legal Matters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commercial success of VOWST, which was approved for marketing by the FDA in April 2023 and launched in the United States in June 2023. There is no assurance that our commercialization efforts, or those of our collaborators, in the United States with respect to VOWST will be successful or that we will be able to generate collaboration profit at the levels or within the timing we expect, or at the levels or within the timing necessary to support our goals for VOWST.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5" w:name="page46"/>
    <w:bookmarkEnd w:id="45"/>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currently depends heavily on our ability to successfully commercialize VOWST in the United States in its approved indication with our collaborator, Nestlé. We may never be able to successfully commercialize VOWST or meet our expectations with respect to collaboration profit. There is no guarantee that the infrastructure, systems, processes, policies, personnel, relationships and materials we have built in preparation for the launch and commercialization of VOWST in the United States will be sufficient for us to achieve success at the levels we expect. Additionally, healthcare providers may not accept a new treatment paradigm for patients with recurrent CDI. We may also encounter challenges related to reimbursement of VOWST, even if we have positive early indications from payors, including potential limitations in the scope, breadth, availability, or amount of reimbursement covering VOWST. Similarly, healthcare settings or patients may determine that the financial burdens of treatment are not acceptable. Our results may also be negatively impacted if we encounter deficiencies or inefficiencies in our infrastructure or processes. Any of these issues could impair our ability to successfully commercialize VOWST or to generate substantial collaboration profit or to meet our expectations with respect to the amount or timing of collaboration profit. Any issues or hurdles related to our commercialization efforts may materially adversely affect our business, results of operations, financial condition and prospects. There is no guarantee that we will be successful in our commercialization efforts with respect to VOWST, or that we will generate significant collaboration profit from VOWST or any product candidate or become profitable.</w:t>
      </w:r>
    </w:p>
    <w:p>
      <w:pPr>
        <w:spacing w:after="0" w:line="7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VOWST has received FDA approval and even if any of our product candidates receive marketing approval, VOWST and such product candidates may fail to achieve the degree of market acceptance by physicians, patients, hospitals, third-party payors and others in the medical community necessary for commercial success.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though VOWST has received FDA approval to prevent the recurrence of CDI in individuals 18 years of age and older following antibacterial treatment for recurrent CDI, and even if any of our product candidates receive marketing approval, VOWST or our product candidates may nonetheless fail to gain sufficient market acceptance by physicians, patients, third-party payors and others in the medical community. For example, current CDI treatment involves the use of antibiotics alone, which are well established in the medical community or the use of FMT, and physicians may continue to rely on these treatments or the treatments of our competitors. If VOWST or our product candidates (if and when they are approved) do not achieve an adequate level of acceptance, we or our collaborators may not generate significant collaboration profit and we may not become profitable. The degree of market acceptance of VOWST or any of our product candidates, if approved, will depend on a number of factors, including:</w:t>
      </w:r>
    </w:p>
    <w:p>
      <w:pPr>
        <w:spacing w:after="0" w:line="81"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such products are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products with other medicines patients are taking;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take our products.</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establish effective sales, marketing and distribution capabilities or enter into agreements with third parties with such capabilities, we or our collaborators may not be successful in commercializing VOWST or any of our product candidates if and when they are approved.</w:t>
      </w:r>
    </w:p>
    <w:p>
      <w:pPr>
        <w:spacing w:after="0" w:line="6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employees with experience in sales and marketing, but we have limited sales or marketing infrastructure and, as a company, have little experience in the sale, marketing, and distribution of pharmaceutical products. To achieve commercial success for VOWST or for any other product for which we obtain marketing approval, we will need to establish a sales and marketing organization and/or we will need our collaborator Nestlé to perform sales and marketing functions and they may not be successful in doing so.</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2021, we entered into the 2021 License Agreement with Nestlé, pursuant to which we granted Nestlé, under certain of our patent rights and know how, a co-exclusive, sublicensable (under certain conditions) license to develop, commercialize and conduct medical affairs activities for the 2021 Collaboration Products, including VOWST, in the United States and Canada. Under the 2021 License Agreement, Nestlé has the sole right to commercialize VOWST in the 2021 Licensed Territory in accordance with a commercialization plan, subject to our right to elect to provide up to a specified percentage of all promotional details for a certain target audience. Each party will use commercially reasonable efforts to commercialize VOWST in the 2021 Licensed Territory in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right="80"/>
        <w:spacing w:after="0" w:line="261" w:lineRule="auto"/>
        <w:rPr>
          <w:sz w:val="20"/>
          <w:szCs w:val="20"/>
          <w:color w:val="auto"/>
        </w:rPr>
      </w:pPr>
      <w:r>
        <w:rPr>
          <w:rFonts w:ascii="Times New Roman" w:cs="Times New Roman" w:eastAsia="Times New Roman" w:hAnsi="Times New Roman"/>
          <w:sz w:val="18"/>
          <w:szCs w:val="18"/>
          <w:color w:val="auto"/>
        </w:rPr>
        <w:t>accordance with the commercialization plan. Both parties will perform medical affairs activities for VOWST in the 2021 Licensed Territory in accordance with a medical affairs plan. We were responsible for commercialization and medical affairs activities costs incurred by the parties until first commercial sale of the first 2021 Collaboration Product, or VOWST, in the 2021 Licensed Territory and in accordance with a pre-launch plan, up to a specified cap. Since the first commercial sale of VOWST in June 2023, we are entitled to share equally in its commercial profits and losses.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or certain components of such infrastructure, if we were to market or co-promote VOWST and our product candidates, if and when they are approved in the United States and potentially elsewhere.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our collaborators cannot retain or reposition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efforts to commercialize our products include:</w:t>
      </w:r>
    </w:p>
    <w:p>
      <w:pPr>
        <w:spacing w:after="0" w:line="11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Outside the United States, we intend to rely and may increasingly rely on third parties, including Nestlé, to sell, market and distribute VOWST and our product candidates, if and when approved. We may not be successful in entering into arrangements with such third parties or may be unable to do so on terms that are favorable to us. In addition, our product revenue or collaboration profit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is highly competitive and is characterized by rapid and substantial technological development and product innovations. We and our collaborators face competition with respect to VOWST and our other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or commercialization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success rates for recurrent CDI.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86"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72"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7" w:name="page48"/>
    <w:bookmarkEnd w:id="47"/>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have or may in the future develop. Our competitors also may obtain FDA or other regulatory approval for their product candidates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VOWST or any of our product candidates, if approved, the products may become subject to unfavorable pricing regulations or third-party coverage and reimbursement policies, any of which would harm our business.</w:t>
      </w:r>
    </w:p>
    <w:p>
      <w:pPr>
        <w:spacing w:after="0" w:line="5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ability to continue to commercialize VOWST or any of our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VOWST or any product candidate for which we obtain marketing approval, and the royalties resulting from the sales of those products may also be adversely impacted.</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VOWST or any other products that we may develop.</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clinical trials and an even greater risk with the commercial sale of VOWST or any other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develop.</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occurrence limit of $10.0 million, which may not be adequate to cover all liabilities that we may incur. We may need to increase our insurance coverage as we expand our clinical trials, increase commercialization of VOWST,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impact on the future commercial prospects of VOWST or our product candidates.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Because we have received FDA approval of VOWST to prevent the recurrence of CDI in individuals 18 years of age and older following antibacterial treatment for recurrent CDI, and if we obtain approval or any of our product candidates,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four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though the FDA may not approve an application relying on such data for a further eight years.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VOWST qualified, and we believe that any of our product candidates approved as a biological product under a BLA should also qualify, for the 12-year period of reference product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EU,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VOWST 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VOWST and any product candidate for which we obtain marketing approval will remain subject to significant post-marketing regulatory requirements and oversight.</w:t>
      </w:r>
    </w:p>
    <w:p>
      <w:pPr>
        <w:spacing w:after="0" w:line="5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VOWST and 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our collaborators and others with whom we work, must continue to expend time, money and effort in all areas of regulatory compliance, including manufacturing, production and quality control. For example, the FDA-approved label for VOWST includes certain warnings and precautions regarding transmissible infectious agents and the potential presence of food allergens.</w:t>
      </w:r>
    </w:p>
    <w:p>
      <w:pPr>
        <w:spacing w:after="0" w:line="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 For example, the FDA-approved label for VOWST includes a limitation of use that VOWST is not indicated for the treatment of CDI.</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our collaborators may also lead to investigations alleging violations of federal and state health care fraud and abuse laws, as well as state consumer protection laws.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if a regulatory authority, we or our collaborators later discover previously unknown problems with our products, such as adverse events of unanticipated severity or frequency, problems with manufacturers or manufacturing processes, or failure to comply with regulatory requirements, the regulatory authority may impose restrictions on the products or us and our collaborators, including requiring withdrawal of the product from the market. Any failure by us or our collaborators to comply with applicable regulatory requirements may yield various results, including:</w:t>
      </w:r>
    </w:p>
    <w:p>
      <w:pPr>
        <w:spacing w:after="0" w:line="72"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potential collaborators;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1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authorities actively enforce the laws and regulations prohibiting the promotion of off-label uses.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or our collaborators are found to have improperly promoted off-label uses of approved products, including VOWST or any of our product candidates that may be approved in the future, we may become subject to significant liability. The FDA and other regulatory authorities strictly regulate the promotional claims that may be made about prescription products, such as VOWST and our product candidates, if approved. In particular, a product may not be promoted for uses that are not approved by the FDA or such other regulatory authorities as reflected in the product’s approved labeling. The current FDA-approved indication for VOWST is limited to prevent the recurrence of CDI in individuals 18 years of age and older following antibacterial treatment for recurrent CDI. Physicians may nevertheless prescribe VOWST or a product candidate that is approved in future, if any, to their patients in a manner that is inconsistent with the approved label. If we or our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VOWST or of our product candidates, if approved, we could become subject to significant liability, which would materially adversely affect our business and financial condition.</w:t>
      </w:r>
    </w:p>
    <w:p>
      <w:pPr>
        <w:spacing w:after="0" w:line="7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our collaborators to criminal sanctions, civil penalties, exclusion from governmental healthcare programs, contractual damages, reputational harm and diminished profits and future earnings.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VOWST and any product candidates for which we obtain marketing approval. Our and our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VOWST and any other products for which we may in the future obtain marketing approval. Restrictions under applicable federal and state healthcare laws and regulations include the following:</w:t>
      </w:r>
    </w:p>
    <w:p>
      <w:pPr>
        <w:spacing w:after="0" w:line="75" w:lineRule="exact"/>
        <w:rPr>
          <w:sz w:val="20"/>
          <w:szCs w:val="20"/>
          <w:color w:val="auto"/>
        </w:rPr>
      </w:pPr>
    </w:p>
    <w:p>
      <w:pPr>
        <w:ind w:left="760" w:right="20" w:hanging="378"/>
        <w:spacing w:after="0" w:line="25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imposes, among other things, impose criminal and civil penalties, including through civil whistleblower or qui tam actions, against individuals or entities for knowingly presenting, or causing to be presented, to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1" w:name="page52"/>
    <w:bookmarkEnd w:id="51"/>
    <w:p>
      <w:pPr>
        <w:jc w:val="both"/>
        <w:ind w:left="760" w:right="180"/>
        <w:spacing w:after="0" w:line="261" w:lineRule="auto"/>
        <w:rPr>
          <w:sz w:val="20"/>
          <w:szCs w:val="20"/>
          <w:color w:val="auto"/>
        </w:rPr>
      </w:pPr>
      <w:r>
        <w:rPr>
          <w:rFonts w:ascii="Times New Roman" w:cs="Times New Roman" w:eastAsia="Times New Roman" w:hAnsi="Times New Roman"/>
          <w:sz w:val="18"/>
          <w:szCs w:val="18"/>
          <w:color w:val="auto"/>
        </w:rPr>
        <w:t>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72" w:lineRule="exact"/>
        <w:rPr>
          <w:sz w:val="20"/>
          <w:szCs w:val="20"/>
          <w:color w:val="auto"/>
        </w:rPr>
      </w:pPr>
    </w:p>
    <w:p>
      <w:pPr>
        <w:ind w:left="760" w:hanging="378"/>
        <w:spacing w:after="0" w:line="26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 To the extent our patient assistance programs are found to be inconsistent with applicable laws, we may be required to restructure or discontinue such programs, or be subject to other significant penalties;</w:t>
      </w:r>
    </w:p>
    <w:p>
      <w:pPr>
        <w:spacing w:after="0" w:line="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67"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75" w:lineRule="exact"/>
        <w:rPr>
          <w:rFonts w:ascii="Times New Roman" w:cs="Times New Roman" w:eastAsia="Times New Roman" w:hAnsi="Times New Roman"/>
          <w:sz w:val="18"/>
          <w:szCs w:val="18"/>
          <w:color w:val="auto"/>
        </w:rPr>
      </w:pPr>
    </w:p>
    <w:p>
      <w:pPr>
        <w:ind w:left="760" w:right="20" w:hanging="378"/>
        <w:spacing w:after="0" w:line="25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79"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The risk of our or our collaborators being found in violation of these laws is increased by the fact that many of them have not been fully interpreted by the regulatory authorities or the courts, and their provisions are open to a variety of interpretations. Any action against us or our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6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products and product candidates and affect the prices we may obtain.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provisions of the ACA of importance to VOWST and our other potential product candidates are the following:</w:t>
      </w:r>
    </w:p>
    <w:p>
      <w:pPr>
        <w:spacing w:after="0" w:line="117" w:lineRule="exact"/>
        <w:rPr>
          <w:sz w:val="20"/>
          <w:szCs w:val="20"/>
          <w:color w:val="auto"/>
        </w:rPr>
      </w:pPr>
    </w:p>
    <w:p>
      <w:pPr>
        <w:ind w:left="760" w:right="28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new pathway for approval of lower-cost biosimilars to compete with biologic products, such as those we are developing or commercializing;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point-of-sale discounts off negotiated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enacted in August 2011, required sequestration that included aggregate reductions of Medicare payments to providers, which went into effect on April 1, 2013 and, due to subsequent legislative amendments, will remain in effect through 2032, unless additional Congressional action is taken. Under current legislation, the actual reduction in Medicare payments will increase in future years of the sequester.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in March 2021, the American Rescue Plan Act of 2021 was signed into law, which, among other things, eliminated the statutory cap on drug manufacturers’ Medicaid Drug Rebate Program rebate liability, effective January 1, 2024. Drug manufacturers’ Medicaid Drug Rebate Program rebate liability was previously capped at 100% of the average manufacturer price for a covered outpatient drug. 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price our products at what we consider to be a fair or competitive price, generate revenue, attain profitability, or commercialize VOWST or our product candidates, if approved.</w:t>
      </w:r>
    </w:p>
    <w:p>
      <w:pPr>
        <w:spacing w:after="0" w:line="8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Most significantly, on August 16,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Legally mandated price controls on payment amounts by third-party payors or other restrictions could harm our ability to price our products appropriately, which could negatively impact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VOWST or our product candidates, if approved, or put pressure on our product pricing, which could negatively affect our business, results of operations, financial condition and prospects.</w:t>
      </w:r>
    </w:p>
    <w:p>
      <w:pPr>
        <w:spacing w:after="0" w:line="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right="520"/>
        <w:spacing w:after="0" w:line="282" w:lineRule="auto"/>
        <w:rPr>
          <w:sz w:val="20"/>
          <w:szCs w:val="20"/>
          <w:color w:val="auto"/>
        </w:rPr>
      </w:pPr>
      <w:r>
        <w:rPr>
          <w:rFonts w:ascii="Times New Roman" w:cs="Times New Roman" w:eastAsia="Times New Roman" w:hAnsi="Times New Roman"/>
          <w:sz w:val="18"/>
          <w:szCs w:val="18"/>
          <w:color w:val="auto"/>
        </w:rPr>
        <w:t>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products are unavailable or limited in scope or amount, or if pricing is set at unsatisfactory levels that impacts our ability to compete with other products or our ability to recoup our costs of developing our products, our business could be harmed, possibly materially.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various stages. We have successfully obtained multiple patents (both U.S. and foreign) in some patent families. In others, prosecution is at an early stage (e.g., provisional or PCT stage). For many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firstLine="509"/>
        <w:spacing w:after="0" w:line="254" w:lineRule="auto"/>
        <w:rPr>
          <w:sz w:val="20"/>
          <w:szCs w:val="20"/>
          <w:color w:val="auto"/>
        </w:rPr>
      </w:pPr>
      <w:r>
        <w:rPr>
          <w:rFonts w:ascii="Times New Roman" w:cs="Times New Roman" w:eastAsia="Times New Roman" w:hAnsi="Times New Roman"/>
          <w:sz w:val="18"/>
          <w:szCs w:val="18"/>
          <w:color w:val="auto"/>
        </w:rPr>
        <w:t>Our patent portfolio currently includes 21 active patent application families (which includes exclusive licenses to certain IP from Memorial Sloan Kettering Cancer Center). Of these, 20 applications have been nationalized and one is at the PCT stage. While we have obtained 30 issued U.S. patents,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there can be no assurance that an alternative composition that may fall outside the scope of such claims will not be equally effective. Further, given that VOWST is a complex composition with some variation from lot-to-lot and that, likewise, third-party compositions may have similar complexity and variability, it is possible that a patent claim may provide coverage for some but not all lots of a product, product candidate or third-party product. These and other factors may provide opportunities for our competitors to design around our patents, should they issue.</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or product candidates. In addition, given the on-going prosecution of our portfolio, we continue development of our understanding of how patent offices react to our patent claims and whether they identify prior art of relevance that we have not already considered.</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Times New Roman" w:cs="Times New Roman" w:eastAsia="Times New Roman" w:hAnsi="Times New Roman"/>
          <w:sz w:val="18"/>
          <w:szCs w:val="18"/>
          <w:i w:val="1"/>
          <w:iCs w:val="1"/>
          <w:color w:val="auto"/>
        </w:rPr>
        <w:t>Third parties may initiate legal proceedings alleging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 we are infringing their intellectual property rights, the outcome of which would be uncertain and could have a material adverse effect on the success of our business</w:t>
      </w:r>
      <w:r>
        <w:rPr>
          <w:rFonts w:ascii="Times New Roman" w:cs="Times New Roman" w:eastAsia="Times New Roman" w:hAnsi="Times New Roman"/>
          <w:sz w:val="18"/>
          <w:szCs w:val="18"/>
          <w:color w:val="auto"/>
        </w:rPr>
        <w:t>.” The oral proceedings were held at the European Patent Office on February 18, 2019 and the Opposition Division required The University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Tokyo to narrow the scope of the claims of the patent. The University of Tokyo appealed certain aspects of the Opposition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if issued, will include claims having a scope sufficient to protect any products 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VOWST or any of our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any existing patent and pending patent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or design around our patents;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will not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obtain and/or maintain necessary or useful licenses on reasonable terms or at all;</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or proprietary rights of others.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know-how, our business and competitive position may be harmed.</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Leahy-Smith Act limits where a patentee may file a patent infringement suit and provides opportunities for third parties to challenge any issued patent in the USPTO. These provisions apply to all of our U.S. patents, even those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0"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569 U.S. 12-398 (2013);</w:t>
      </w:r>
      <w:r>
        <w:rPr>
          <w:rFonts w:ascii="Times New Roman" w:cs="Times New Roman" w:eastAsia="Times New Roman" w:hAnsi="Times New Roman"/>
          <w:sz w:val="18"/>
          <w:szCs w:val="18"/>
          <w:i w:val="1"/>
          <w:iCs w:val="1"/>
          <w:color w:val="auto"/>
        </w:rPr>
        <w:t xml:space="preserve"> Alice Corp. v. CLS Bank International</w:t>
      </w:r>
      <w:r>
        <w:rPr>
          <w:rFonts w:ascii="Times New Roman" w:cs="Times New Roman" w:eastAsia="Times New Roman" w:hAnsi="Times New Roman"/>
          <w:sz w:val="18"/>
          <w:szCs w:val="18"/>
          <w:color w:val="auto"/>
        </w:rPr>
        <w:t>, 573 U.S. 13-298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566 U.S. 10-1150 (2012). In response to these cases, the USPTO has issued guidance to the examining corps.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USPTO first issued a memorandum reflecting the USPTO’s interpretation of the cases related to patent eligibility of natural products on March 4, 2014, which it subsequently revised and expanded upon in several additional updates now incorporated into its Manual of Patent Examination Procedure. The USPTO’s interpretation of the case law and new guidelines for examination may influence, possibly adversely, prosecution and defense of certain types of claims in our portfolio.</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VOWST and our product candidates, if approved,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VOWST or our product candidates, or use of VOWST or our product candidates do not infringe third-party patents.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VOWST or our product candidates and technologies because patent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t>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VOWST or our product candidates. In addition, we may be unaware of one or more issued patents that would be infringed by the manufacture, sale or use of VOWST or our product candidates,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VOWST or our product candidates or the use of VOWST or our product candidates. We are aware of several pending patent applications containing one or more claims that could be construed to cover VOWST,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VOWST,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appealed certain aspects of the Oppositions Division’s decision, as did we and other opponents. On November 18, 2022, The University of Tokyo requested termination of the appeal proceeding and revocation of its patent. On December 19, 2022, the Opposition Division officially terminated the appeal proceeding, and European Patent No. 2 575 835 B1 has been revoked in its entirety.</w:t>
      </w:r>
    </w:p>
    <w:p>
      <w:pPr>
        <w:spacing w:after="0" w:line="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VOWST,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VOWST,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VOWST,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VOWST,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VOWST or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VOWST or our product candidates. Patent litigation is costly and time-consuming. We may not have sufficient resources to bring these actions to a successful conclusion. In addition, intellectual property litigation or claims could force us to do one or more of the following:</w:t>
      </w:r>
    </w:p>
    <w:p>
      <w:pPr>
        <w:spacing w:after="0" w:line="7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VOWST 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VOWST or our product candidates could be found invalid or unenforceable or could be interpreted narrowly if challenged in court.</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VOWST or one of our product candidates, the defendant could counterclaim that the patent covering VOWST or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VOWST or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83"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6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Europe's Unified Patent Court, or UPC, may present uncertainties for our ability to protect and enforce our patent rights against competitors in Europe. Although this new court has been implemented to provide more certainty and efficiency to patent enforcement throughout Europe, it will also provide our competitors with a new forum to use to centrally challenge our patents if opted into the UPC, rather than having to seek invalidity or non-infringement decisions on a country-by-country basis. It will be several years before the scope of patent rights that will be recognized and the strength of patent remedies that will be provided is known.</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75"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68"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4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realize the expected benefits from our Restructuring Plan and our business might be adversely affected.</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2023, we announced that, based on a challenging macro environment and financial backdrop, a Restructuring Plan to focus our business operations to prioritize the commercialization of VOWST and the completion of the SER-155 Phase 1b study, while significantly reducing costs and supporting longer-term business sustainability. Under the Restructuring Plan, we reduced our workforce by approximately 41% and significantly scaled back all non-partnered research and development activities other than the completion of the SER-155 Phase 1b study. The Restructuring Plan has been substantially implemented.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types of restructuring and cost reduction activities are complex and may result in unintended consequences and costs, such as unforeseen delays in the implementation of our strategic initiatives, business and operational disruptions, decreased employee morale and retention, loss of institutional knowledge and expertise, and potential impacts on financial reporting. The significant reduction in our workforce under the Restructuring Plan could also make it difficult for us to pursue, or prevent us from pursuing, new opportunities and initiatives due to insufficient personnel, or require us to incur additional and unanticipated costs to hire new personnel to pursue such opportunities or initiatives. In addition, the decision to significantly scale back all non-partnered research and development activities other than the completion of the SER-155 Phase 1b study may negatively impact our growth, competitive positioning, business and results of operations. If we do not successfully manage the impact of the Restructuring Plan or any other similar activities that we may undertake in the future, we may not achieve the expected costs savings and other expected benefits in the expected timeframe or at all, and our business, financial condition, and results of operations may be materially adversely affected.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Our Restructuring Plan may make it more difficult for us to hire qualified personnel. In addition, we rely on consultants and advisors, including scientific and clinical advisors, to assist us in formulating our research and development and commercialization strategy and execution.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internationally could materially adversely affect our business.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expanding internationally with respect to VOWST and if any of our product candidates receive regulatory approval. We have conducted clinical studies in Australia and New Zealand in the past, and may in the future conduct clinical studies in other countries as well. We currently plan to rely on collaborators, including Nestlé, to commercialize certain approved products outside of North America. Also, for certain manufacturing services for VOWST, we rely on GenIbet in Portugal, and Bacthera, which has substantially completed a dedicated full-scale production suite for us in Switzerland. Doing business internationally involves a number of risks, including but not limited to:</w:t>
      </w:r>
    </w:p>
    <w:p>
      <w:pPr>
        <w:spacing w:after="0" w:line="79" w:lineRule="exact"/>
        <w:rPr>
          <w:sz w:val="20"/>
          <w:szCs w:val="20"/>
          <w:color w:val="auto"/>
        </w:rPr>
      </w:pPr>
    </w:p>
    <w:p>
      <w:pPr>
        <w:ind w:left="760" w:right="12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products in various countries;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and enforcing our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a continued increase in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6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3"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its surrounding regions, which could delay or disrupt our business, and if such political unrest escalates or spills over to or otherwise impacts additional regions it could heighten many of the other risk factors included in this Item 1A;</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such as the COVID-19 pandemic, boycotts, curtailment of trade and other business restrictions;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 and</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personally identifiable information, intellectual property and proprietary business information owned or controlled by ourselves or our employees, customers and other third-parties. We manage and maintain our applications and data utilizing a combination of on-site systems and cloud-based data centers. We utilize external security and infrastructure vendors to manage parts of our data centers, and as a result a number of third-party vendors may or could have access to our confidential information.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or unauthorized access, use, modification or disclosure, and the risk of our being unable to adequately monitor and audit and modify our controls over our confidential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we take reasonable measures to protect sensitive data from unauthorized access, use or disclosure, our information technology systems and those of our third-party service providers, strategic partners and other contractors or consultants are vulnerable to attack, damage and interruption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2" w:name="page63"/>
    <w:bookmarkEnd w:id="62"/>
    <w:p>
      <w:pPr>
        <w:ind w:right="60"/>
        <w:spacing w:after="0" w:line="282" w:lineRule="auto"/>
        <w:rPr>
          <w:sz w:val="20"/>
          <w:szCs w:val="20"/>
          <w:color w:val="auto"/>
        </w:rPr>
      </w:pPr>
      <w:r>
        <w:rPr>
          <w:rFonts w:ascii="Times New Roman" w:cs="Times New Roman" w:eastAsia="Times New Roman" w:hAnsi="Times New Roman"/>
          <w:sz w:val="18"/>
          <w:szCs w:val="18"/>
          <w:color w:val="auto"/>
        </w:rPr>
        <w:t>adequately investigate or remediate incidents or breaches due to attackers increasingly using tools and techniques that are designed to circumvent controls, to avoid detection, and to remove or obfuscate forensic evidence.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If we or our third-party vendors were to experience a significant cybersecurity breach of our or their information technology systems or data, the costs associated with the investigation and remediation could be material. Any such real or perceived unauthorized access or use, breach, or other loss of confidential information could also result in regulatory scrutiny, reputational harm, legal claims or proceedings, and liability under federal or state laws that protect the privacy of personal information, and regulatory enforcement, including penalties or fines. Notice of breaches may be required to affected individuals or state, federal or foreign regulators, and for extensive breaches, notice may need to be made to the media or State Attorneys General. Such notifications could be costly, harm our reputation and our ability to compete. Although we have implemented security measures to prevent unauthorized access, such data is currently accessible through multiple channels, and there is no guarantee that our cybersecurity risk management program and processes, including our policies, controls or procedures, will be fully implemented, complied with or effective in protecting our systems and data from breach.</w:t>
      </w:r>
    </w:p>
    <w:p>
      <w:pPr>
        <w:spacing w:after="0" w:line="7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results of operations, financial performance and business.</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regulated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or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3" w:name="page64"/>
    <w:bookmarkEnd w:id="63"/>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7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European Union General Data Protection Regulation, or the GDPR, went into effect in May 2018 and imposes strict requirements for processing the personal data of individuals within the European Economic Area, or EEA, or in the context of our activities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 states that reliance on the standard contractual clauses, or SCCs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or DPF, rendering the DPF effective as a GDPR transfer mechanism to U.S. entities self-certified under the DPF. We expect the existing legal complexity and uncertainty regarding international personal data transfers to continue.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after the end of the transition period following the UK’s departure from the European Union, we are also subject to the UK General Data Protection Regulation and Data Protection Act 2018, or collectively, the UK GDPR, which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68"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cybersecurity risks and vulnerabilities from any newly acquired information technology infrastructure;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then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including from the novel coronavirus SARS-CoV-2, which causes the COVID-19 disease,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credits to offset future taxable income or income tax liabilities may be subject to certain limitations.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net operating loss carryforwards, or NOLs, of $527.1 million for federal income tax purposes and $504.2 million for state income tax purposes, which may be available to offset our future taxable income, if any. Our federal NOLs subject to expiration begin to expire in various amounts in 2035. Our federal NOLs generated in taxable years beginning after December 31, 2017 are not subject to expiration, but may generally only be used to offset 80% of taxable income in years beginning after December 31, 2020. Our state NOLs also begin to expire in various amounts in 2035. As of December 31, 2023, we also had federal and state research and development and other tax credit carryforwards of approximately $45.1 million and $7.7 million, respectively, net of uncertain tax position reserves, available to reduce future income tax liabilities, if any. Our federal and state tax credit carryforwards begin to expire in various amounts in 2031 and 2028, respectively. The federal research and development tax credit carryforwards include an orphan drug credit carryforward of $25.9 million. These NOLs and tax credit carryforwards could expire unused, to the extent subject to expiration, and be unavailable to offset future taxable income or income tax liabilities.</w:t>
      </w:r>
    </w:p>
    <w:p>
      <w:pPr>
        <w:spacing w:after="0" w:line="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right="40"/>
        <w:spacing w:after="0" w:line="254" w:lineRule="auto"/>
        <w:rPr>
          <w:sz w:val="20"/>
          <w:szCs w:val="20"/>
          <w:color w:val="auto"/>
        </w:rPr>
      </w:pPr>
      <w:r>
        <w:rPr>
          <w:rFonts w:ascii="Times New Roman" w:cs="Times New Roman" w:eastAsia="Times New Roman" w:hAnsi="Times New Roman"/>
          <w:sz w:val="18"/>
          <w:szCs w:val="18"/>
          <w:color w:val="auto"/>
        </w:rPr>
        <w:t>stock exceeds 50 percentage points over a rolling three-year period. Similar rules may apply under state tax laws. We have experienced ownership changes in the past, per a Section 382 study performed through December 31, 2020. We believe that none of our existing tax assets will expire unused as a result of the calculated limitations resulting from such ownership changes. However, we may have experienced additional ownership changes since December 31, 2020, and we may experience ownership changes in the future as a result of future transactions in our stock, some of which may be outside our control. If we have undergone additional ownership changes, or if we undergo ownership changes in the future,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w:t>
      </w:r>
    </w:p>
    <w:p>
      <w:pPr>
        <w:spacing w:after="0" w:line="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Oaktree Credit Agreement place restrictions on our operating and financial flexibility. If we raise additional capital through debt financing, the terms of any new debt could further restrict our ability to operate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27, 2023, we entered into the Oaktree Credit Agreement, which establishes a term loan facility of $250.0 million, consisting of (i) the Tranche A Loan, funded on the Oaktree Closing Date, (ii) the Tranche B Loan, that we may borrow subject to certain conditions, (iii) the Tranche C Loan, that we may borrow subject to certain conditions, and (iv) the Tranche D Loan, available in Oaktree's sole discretion (collectively with the Tranche A Loan, the Tranche B Loan, the Tranche C Loan, and the Tranche D Loan, the “Oaktree Term Loan”). We may draw the Tranche B Loan until September 30, 2024, if VOWST net sales for the trailing six consecutive months are at least $35.0 million and at least 4.5% greater in the calendar quarter prior to the Applicable Funding Date (as defined in the Oaktree Credit Agreement) over the calendar quarter immediately preceding it. We may draw the Tranche C Loan until September 30, 2025, if VOWST net sales for the trailing 12 consecutive months are at least $120.0 million and at least 4.5% greater in each of the two calendar quarters prior to the Applicable Funding Date relative, in each case, to the calendar quarter immediately preceding it. The Oaktree Term Loan has a maturity date of April 27, 2029 (the “Oaktree Maturity Date”).</w:t>
      </w:r>
    </w:p>
    <w:p>
      <w:pPr>
        <w:spacing w:after="0" w:line="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Oaktree Credit Agreement and the other Loan Documents (as defined in the Oaktree Credit Agreement) will be guaranteed by any of our domestic subsidiaries that become Guarantors (as defined in the Oaktree Credit Agreement), subject to certain exceptions. Our and our Guarantors’ (collectively, the “Loan Parties”) respective obligations under the Oaktree Credit Agreement and the other Loan Documents are secured by first priority security interests in substantially all assets of the Loan Parties, including intellectual property, subject to certain customary thresholds and exceptions. As of December 31, 2023, there are no Guarantors.</w:t>
      </w:r>
    </w:p>
    <w:p>
      <w:pPr>
        <w:spacing w:after="0" w:line="75"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Oaktree Credit Agreement contains customary representations, warranties and affirmative and negative covenants, including a financial covenant requiring us to maintain certain levels of cash and cash equivalents in accounts subject to a control agreement in favor of the Agent of at least $30.0 million at all times commencing from 30 days after the Oaktree Closing Date and decreasing to $25.0 million of cash and cash equivalents in such controlled accounts after we borrow any Tranche B Loan. As of December 31, 2023, we were in compliance with all financial covenants pursuant to the Oaktree Credit Agreement.</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Oaktree Credit Agreement contains certain events of default that entitle the Agent to cause our indebtedness under the Oaktree Credit Agreement to become immediately due and payable, and to exercise remedies against the Loan Parties and the collateral securing the Oaktree Term Loan, including cash. Under the Oaktree Credit Agreement, an event of default will occur if, among other things, we fail to make payments under the Oaktree Credit Agreement (subject to specified cure periods with respect to certain payments), we or our subsidiaries breach any of the covenants under the Oaktree Credit Agreement (subject to specified cure periods with respect to certain breaches), a material adverse change occurs, we, our subsidiaries or our or their respective assets become subject to certain legal proceedings, such as bankruptcy proceedings, we and/or our subsidiaries are unable to pay our or their debts as they become due or default on contracts with third parties which would permit the holder of indebtedness in excess of a certain threshold to accelerate the maturity of such indebtedness or that could cause a material adverse change. Upon the occurrence and for the duration of an event of default, an additional default interest rate equal to 2.0% per annum may apply to all obligations owed under the Oaktree Credit Agreement.</w:t>
      </w:r>
    </w:p>
    <w:p>
      <w:pPr>
        <w:spacing w:after="0" w:line="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Any declaration by the Oaktree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5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stockholders who owned more than 5% of our outstanding common stock and their respective affiliates, in the aggregate, hold shares representing approximately 43% of our outstanding voting stock as of December 31, 2023. As a result, if these stockholders were to choose to act together, they would be able to significantly influence all matters submitted to our stockholders for approval, as well as our management and affairs. For example, these persons, if they choose to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together, would significantly influence the election of directors and approval of any merger, consolidation or sale of all or substantially all of our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99"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6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We are a “smaller reporting company” as defined under the rules promulgated under the Exchange Act. We will remain a smaller reporting company until the fiscal year following the determination that both (i) the value of our voting and non-voting common shares held by non-affiliates is more than $250 million measured on the last business day of our second fiscal quarter and (ii) our annual revenues are more than $100 million during the most recently completed fiscal year and the value of our voting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voting common shares held by non-affiliates is $700 million or more as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and may in the future take advantage of these or others.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6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67"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5" w:lineRule="exact"/>
        <w:rPr>
          <w:sz w:val="20"/>
          <w:szCs w:val="20"/>
          <w:color w:val="auto"/>
        </w:rPr>
      </w:pPr>
    </w:p>
    <w:p>
      <w:pPr>
        <w:ind w:left="760" w:right="54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53" w:lineRule="exact"/>
        <w:rPr>
          <w:rFonts w:ascii="Times New Roman" w:cs="Times New Roman" w:eastAsia="Times New Roman" w:hAnsi="Times New Roman"/>
          <w:sz w:val="18"/>
          <w:szCs w:val="18"/>
          <w:color w:val="auto"/>
        </w:rPr>
      </w:pPr>
    </w:p>
    <w:p>
      <w:pPr>
        <w:ind w:left="760" w:right="280" w:hanging="378"/>
        <w:spacing w:after="0" w:line="312" w:lineRule="auto"/>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left="760" w:right="1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Oaktree Credit Agreement currently prohibits us from paying dividends on our equity securities, and any future debt agreements may likewise preclude us from paying dividends. As a result, capital appreciation, if any, of our common stock will be our stockholders’ sole source of gain for the foreseeable future.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72"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the benefits of strategic plans, such as the Restructuring Plan we announced in November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commercialization efforts;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may make our product candidates less attractive;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business, our common stock price and trading volume could decline.</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4"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6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ind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However, while we remain a non-accelerated filer,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82"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Failure to keep up with evolving laws, regulations, trends and stakeholder expectations relating to environmental, social and governance, or ESG, practices or reporting could adversely impact our reputation, share price and access to and cost of capital or otherwise adversely impact our business.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investors, investor advocacy groups, investment funds, creditors and other influential financial market participants, as well as governments, regulators, customers, patients, employees and other stakeholders or third parties, have become increasingly focused on companies’ ESG practices, including the impact of business on the environment and diversity, equity and inclusion matters. Certain organizations also provide ESG ratings, scores and benchmarking studies that assess companies’ ESG practices. Although there are no universal standards for such ratings, scores or benchmarking studies, they are used by some investors to inform their investment and voting decisions. It is possible that our future stockholders or organizations that report on, rate or score ESG practices will not be satisfied with our ESG strategy or performance. Unfavorable press about or ratings or assessments of our ESG strategies or practices, regardless of whether or not we comply with applicable legal requirements, may lead to negative investor sentiment toward us, which may hinder the Company’s access to capital.</w:t>
      </w:r>
    </w:p>
    <w:p>
      <w:pPr>
        <w:spacing w:after="0" w:line="8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Our reputation could be damaged if we do not, or are perceived not to, meet evolving stakeholder demand with respect to ESG matters, which could adversely affect our business, financial condition, profitability and cash flows. We may be criticized for our lack of ESG initiatives or goals or perceived as not taking sufficient action in connection with any of these matters. In turn, we may take certain actions, including the establishment of ESG-related goals or targets, to improve our ESG profile and/or respond to stakeholder demand; however, such actions may be costly or be subject to numerous conditions that are outside our control, and we cannot guarantee that we will meet these goals or targets or that such actions will have the desired effect even if met.</w:t>
      </w:r>
    </w:p>
    <w:p>
      <w:pPr>
        <w:spacing w:after="0" w:line="6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we and/or other parties in our value chain are subject to, or are expected to be subject to additional climate and other ESG-related obligations arising from legislation and regulation in the United States, the European Union and other jurisdictions, including new reporting requirements, even as the availability and quality of the information that may be required to comply with such laws and regulations remains limited. We expect for our compliance costs with these laws and regulations to increase in future, and any failure, or perceived failure, by us to adhere to such laws and regulations, or meet evolving and varied stakeholder expectations and standards, could harm our business, reputation,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security incident response plan.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20" w:right="5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who have access to our critical systems and information.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“Risk Factors— Risks Related to Our Operations—Our business and operations may suffer in the event of information technology system failures, cyberattacks or deficiencies in our cybersecurity.”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Audit Committee receives quarterly reports from our Chief Information Officer, or CIO, on our cybersecurity risks. In addition, our CIO updates the Audit Committee, as necessary, regarding any material cybersecurity incidents, as well as any incidents with lesser impact potential. The Audit Committee reports to the full Board regarding its activities, including those related to cybersecurity.</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CIO,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CIO has over three decades of IT experience in life sciences organizations. Her cybersecurity work includes the development and implementation of cybersecurity policies, platforms, and robust end-user training curriculums. Our CIO and IT Information Security Group work together to monitor and report cybersecurity trends and threats to management. Additionally, we work with an external IT partner and external cybersecurity counsel to assess, identify, and manage risks from cybersecurity threats. The IT Information Security Group undertakes table-top business disruption, disaster recovery and related response strategies, and plans on a periodic basis, and aims to review, and if appropriate update, applicable policies and procedures annually.</w:t>
      </w:r>
    </w:p>
    <w:p>
      <w:pPr>
        <w:spacing w:after="0" w:line="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management team and IT Information Security Group supervises efforts to prevent, detect, mitigate, and remediate cybersecurity risks and incidents through various means, which may include briefings from internal security personnel; threat intelligence and other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1" w:name="page72"/>
    <w:bookmarkEnd w:id="71"/>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obtained from public or private sources, including external consultants engaged by us; and alerts and reports produced by security tools deployed in the IT environment.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Research and Offices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lease approximately 82,714 square feet of office, research, development, warehouse and laboratory space under a lease that expires in March 2033.</w:t>
      </w:r>
    </w:p>
    <w:p>
      <w:pPr>
        <w:spacing w:after="0" w:line="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Clinical Manufacturing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93" w:right="679" w:bottom="1440" w:gutter="0" w:footer="0" w:header="0"/>
        </w:sectPr>
      </w:pPr>
    </w:p>
    <w:bookmarkStart w:id="72" w:name="page73"/>
    <w:bookmarkEnd w:id="72"/>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“MCRB” since June 26, 2015. Prior to that time, there was no public market for our common stock.</w:t>
      </w:r>
    </w:p>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March 1, 2024, there were approximately nine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 See “Management’s Discussion and Analysis of Financial Condition and Results of Operations – Liquidity and Capital Resources.”</w:t>
      </w:r>
    </w:p>
    <w:p>
      <w:pPr>
        <w:spacing w:after="0" w:line="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make any sales of unregistered securities during the quarter ended December 31, 2023.</w:t>
      </w:r>
    </w:p>
    <w:p>
      <w:pPr>
        <w:spacing w:after="0" w:line="11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quarter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appearing elsewhere in this Annual Report on Form 10-K. Some of the information contained in this discussion and analysis or set forth elsewhere in this Annual Report on Form 10-K, such as statements regarding our plans, objectives, expectations, intentions and projections,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7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years ended December 31, 2023 and 2022, including a year-to-year comparison between 2023 and 2022, is presented below. For a discussion regarding our financial condition and results of operations for the year ended December 31, 2021, including a year-to-year comparison between 2022 and 2021, refer to Part II, Item 7. "Management’s Discussion and Analysis of Financial Condition and Results of Operations" in our Annual Report on Form 10-K for the fiscal year ended December 31, 2022, filed with the SEC on March 7, 2023.</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a commercial-stage microbiome therapeutics company focused on the development and commercialization of a novel class of biological drugs, which are designed to treat disease by modulating the microbiome to restore health by repairing the function of a disrupted microbiome to a non-disease state. Our first drug, VOWST (fecal microbiota spores, live-brpk), formerly called SER-109, was approved by the U.S. Food and Drug Administration, or FDA, on April 26, 2023, to prevent recurrence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or CDI, in patients 18 or older following antibacterial treatment for recurrent CDI. Our drug discovery and development pipeline includes other pre-clinical and clinical-stage assets. VOWST and our microbiome therapeutic candidates are consortia of bacteria designed to optimize specific, targeted pharmacological properties, and are formulated for oral delivery. We maintain a differentiated microbiome therapeutics drug discovery and development platform that includes good manufacturing practices, or GMP, manufacturing capabilities for this novel drug modality.</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highest priority is the commercialization of VOWST in the United States, the first orally administered microbiome therapeutic approved by the FDA. We launched VOWST in the United States with our collaborator, Nestlé Health Science, or Nestlé, in June 2023.</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designing microbiome therapeutics optimized to decolonize pathogens and to modulate host function to both reduce and prevent infections and induce immune tolerance.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including pathogens that harbor antimicrobial resistance, or AMR.</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are evaluating SER-155 in a Phase 1b study in patients undergoing allogeneic hematopoietic stem cell transplantation, or allo-HSCT, to prevent enteric-derived infections and resulting blood stream infections, as well as induce immune tolerance responses to reduce the incidence of graft-versus-host disease, or GvHD. In May 2023, we announced the Phase 1b cohort 1 results. Gastrointestinal microbiome data from the first 100 days of SER-155 Phase 1b open-label study cohort 1 showed the successful engraftment of SER-155 bacterial strains, and a substantial reduction in the cumulative incidence of pathogen domination as compared to a reference cohort of patients, a biomarker associated with the risk of serious enteric infections and resulting bloodstream infections, as well as GvHD in this patient population. The tolerability profile observed was favorable, with no serious adverse events attributed to SER-155 administration. In December 2023, we received Fast Track Designation for SER-155 to reduce the risk of infection and GvHD in patients undergoing allo-HSCT. Enrollment in the placebo-controlled cohort 2 portion of the study is ongoing, and the cohort 2 data readout is anticipated in the third quarter of 2024.</w:t>
      </w:r>
    </w:p>
    <w:p>
      <w:pPr>
        <w:spacing w:after="0" w:line="80"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have progressed additional preclinical stage programs to evaluate whether microbiome therapeutics may reduce the incidence of infection in indications such as chronic liver disease, cancer neutropenia, solid organ transplant, and AMR infections more broadly in high-risk settings such as intensive care units, or ICUs. Additional efforts in the early-stage portfolio are focused on the SER-301 program in irritable bowel disease, or IBD, and programmatic objectives that are supported through a partnership with the Crohn’s and Colitis Foundation, or CCF. These efforts aim to (i) confirm the functional phenotype and inflammatory state of patient subpopulations observed in our prior ulcerative colitis, or UC clinical trials, and (ii) prioritize inflammatory targets and evaluate the potential to utilize biomarker-based patient selection and stratification for future studies. In addition, we continue to leverage microbiome pharmacokinetic and pharmacodynamic data from across our clinical and preclinical portfolios, using our reverse translational microbiome therapeutic development platform to prioritize future drug targets and to identify opportunities for combination therapies across various indications, including inflammatory and immune diseases, cancer, and metabolic diseases.</w:t>
      </w:r>
    </w:p>
    <w:p>
      <w:pPr>
        <w:spacing w:after="0" w:line="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built and deploy a reverse translational platform and knowledge base for the discovery and development of microbiome therapeutics, and maintain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ind w:right="220"/>
        <w:spacing w:after="0" w:line="261" w:lineRule="auto"/>
        <w:rPr>
          <w:sz w:val="20"/>
          <w:szCs w:val="20"/>
          <w:color w:val="auto"/>
        </w:rPr>
      </w:pPr>
      <w:r>
        <w:rPr>
          <w:rFonts w:ascii="Times New Roman" w:cs="Times New Roman" w:eastAsia="Times New Roman" w:hAnsi="Times New Roman"/>
          <w:sz w:val="18"/>
          <w:szCs w:val="18"/>
          <w:color w:val="auto"/>
        </w:rPr>
        <w:t>customized for microbiome therapeutics; and microbiological capabilities and a strain library that spans broad biological and functional breadth. This platform and knowledge base enables both identification of specific microbes and microbial metabolites/peptides that are associated with disease and the design of therapeutic consortia of bacteria optimized for specific pharmacological properties. In addition, we own a valuable intellectual property estate related to the development and manufacture of microbiome therapeutics.</w:t>
      </w:r>
    </w:p>
    <w:p>
      <w:pPr>
        <w:spacing w:after="0" w:line="7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Other than VOWST, our product candidates are still in preclinical development or early-stage discovery. Our ability to generate collaboration profit or product revenue sufficient to achieve profitability will depend heavily on the commercial success of VOWST, as well as the successful development and eventual commercialization of one or more of our product candidates. Since our inception, we have incurred significant operating losses. Our net loss was $113.7 million for the year ended December 31, 2023 and as of December 31, 2023, we had an accumulated deficit of $978.2 million.</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we announced a restructuring plan, or the Restructuring Plan, to prioritize the commercialization of VOWST and the completion of the SER-155 Phase 1b study, while reducing costs and supporting longer-term business sustainability. The Restructuring Plan included (i) a reduction of our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 The Restructuring Plan was substantially implemented around the end of fiscal 2023. In connection with the Restructuring Plan, for the year ended December 31, 2023, we incurred approximately $5.6 million in restructuring costs, primarily related to the workforce reduction, of which $5.3 million are expected to result in cash expenditures, and the remaining $0.3 million relates to stock-based compensation expense associated with the acceleration of unvested equity awards. These costs were incurred in the fourth quarter of 2023.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our audited consolidated financial statements included elsewhere in this Annual Report.</w:t>
      </w:r>
    </w:p>
    <w:p>
      <w:pPr>
        <w:spacing w:after="0" w:line="8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We expect to achieve annual cash savings of approximately $75.0 million to $85.0 million in 2024, of which approximately $35.0 million is expected to result from the reduction in workforce, and which excludes any one-time charges primarily associated with the workforce reduction.</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foregoing estimates are based upon current assumptions and expectations but are subject to known and unknown risks and uncertainties. Accordingly, we may not be able to fully realize the cost savings and benefits initially anticipated from the Restructuring Plan, and the expected costs may over time be greater than initially expected. See “Risk Factors—Risks Related to Our Operations—</w:t>
      </w:r>
      <w:r>
        <w:rPr>
          <w:rFonts w:ascii="Times New Roman" w:cs="Times New Roman" w:eastAsia="Times New Roman" w:hAnsi="Times New Roman"/>
          <w:sz w:val="18"/>
          <w:szCs w:val="18"/>
          <w:i w:val="1"/>
          <w:iCs w:val="1"/>
          <w:color w:val="auto"/>
        </w:rPr>
        <w:t>We may be unable to realize the expected benefits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Restructuring Plan and our business might be adversely affected.</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While we plan to focus our investment on supporting commercialization of VOWST and on our SER-155 Phase 1b study in the near-term, our expenses may increase in connection with future activities. See “Risk Factors—Risks Related to Our Financial Position and Need for Additional Capital— </w:t>
      </w:r>
      <w:r>
        <w:rPr>
          <w:rFonts w:ascii="Times New Roman" w:cs="Times New Roman" w:eastAsia="Times New Roman" w:hAnsi="Times New Roman"/>
          <w:sz w:val="18"/>
          <w:szCs w:val="18"/>
          <w:i w:val="1"/>
          <w:iCs w:val="1"/>
          <w:color w:val="auto"/>
        </w:rPr>
        <w:t>We are a commercial-stage company and have incurred significant losses since our inception. We expect to incur losses for the foreseeable future and may never achieve or maintain profitability.</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obtain marketing approval for any more of our product candidates, we expect to incur costs related to product manufacturing and commercialization, including marketing, sales and distribution. Furthermore, we expect to continue to incur additional costs associated with operating as a public company.</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For example, the trading prices for our and other biopharmaceutical companies’ stock have been highly volatile as a result of factors such as the impacts of pandemics, such as COVID-19, and increases in inflation rates or interest rates.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totaling $128.0 million. Based on our currently available cash resources and our current level of operations and cash flows for the 12-month period subsequent to the date of issuance of the consolidated financial statements included elsewhere in this Annual Report on Form 10-K we will require additional funding prior to the end of 2024. In accordance with applicable accounting standards, we evaluated whether there are conditions and events, considered in the aggregate, that raise substantial doubt about our ability to continue as a going concern within 12 months after the date of the issuance of the consolidated financial statements included elsewhere in this Annual Report on Form 10-K. In performing this analysis, we excluded certain elements of our operating plan that cannot be considered probable of occurring. Under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ind w:right="20"/>
        <w:spacing w:after="0" w:line="258" w:lineRule="auto"/>
        <w:rPr>
          <w:sz w:val="20"/>
          <w:szCs w:val="20"/>
          <w:color w:val="auto"/>
        </w:rPr>
      </w:pPr>
      <w:r>
        <w:rPr>
          <w:rFonts w:ascii="Times New Roman" w:cs="Times New Roman" w:eastAsia="Times New Roman" w:hAnsi="Times New Roman"/>
          <w:sz w:val="18"/>
          <w:szCs w:val="18"/>
          <w:color w:val="auto"/>
        </w:rPr>
        <w:t>applicable accounting standards, the receipt of potential funding from future equity issuances cannot be considered probable, as these events are outside our control. Accordingly, management has concluded that substantial doubt exists about the Company’s ability to continue as a going concern for 12 months from the date the consolidated financial statements included elsewhere in this Annual Report on Form 10-K, are issued. See “Risk Factors— Risks Related to Our Financial Position and Need for Additional Capital —We have identified conditions and events that raise substantial doubt regarding our ability to continue as a going concern.”</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22, 2024, our board of directors adopted a resolution to amend the Restated Certificate of Incorporation, subject to stockholder approval at our annual meeting of stockholders to be held in 2024, by increasing the number of authorized shares of our Common Stock from 240,000,000 shares to 360,000,000 shares, or the Share Increase Amendment.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VOWST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VOWST was approved by the FDA on April 26, 2023, to prevent recurrence of CDI in individuals 18 years of age or older following antibacterial treatment for recurrent CDI. VOWST is the first FDA-approved orally administered microbiome therapeutic, and consists of a consortium of purified Firmicutes spores designed to prevent recurrent CDI in patients with a history of CDI by modulating the microbiome to a state that resists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germination and growth. The VOWST manufacturing purification process is designed to remove unwanted microbes in an effort to reduce the risk of pathogen transmission beyond donor screening alone. We estimate that there will be approximately 156,000 recurrent CDI cases in the United States during 2023.</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launched VOWST in the United States with our collaborator, Nestlé, in June 2023. Under the terms of the 2021 License Agreement, Nestlé is assuming the role of lead commercialization party. We received an upfront license payment of $175 million in July 2021 and an additional $125 million in May 2023 following FDA approval of VOWST. The agreement also includes sales target milestones which, if achieved, could total up to $225 million. We were responsible for development and pre-commercialization costs in the United States. Following first commercial sale of VOWST, which occurred on June 2, 2023, we are entitled to share equally in its commercial profits and losses.</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Nestlé reported 1,284 VOWST units sold and $19.6 million in net sales, reflecting an estimated gross-to-net reduction of 13%, primarily due to returns reserve, prompt payment discounts, statutory discounts and rebates, and commercial rebates. The total collaboration loss for the year ended December 31, 2023 was $37.7 million. We record our 50% share of the collaboration loss, which includes commercial and medical affairs expenses incurred by us, on a net basis. Accordingly for the year ended December 31, 2023, our share of the VOWST net loss was $18.9 million.</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part of the commercialization of VOWST, we are closely monitoring the launch and focusing on a number of quantitative metrics. VOWST became commercially available in early June. Broad demand for VOWST has been observed across both recurrent patients and healthcare providers since June 2023 (metrics noted below are based on data provided by Nestlé through December 31, 2023):</w:t>
      </w:r>
    </w:p>
    <w:p>
      <w:pPr>
        <w:spacing w:after="0" w:line="68" w:lineRule="exact"/>
        <w:rPr>
          <w:sz w:val="20"/>
          <w:szCs w:val="20"/>
          <w:color w:val="auto"/>
        </w:rPr>
      </w:pPr>
    </w:p>
    <w:p>
      <w:pPr>
        <w:ind w:left="1020" w:right="3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completed prescription enrollment forms received for VOWST were 1,322; of those 1,082 resulted in new patient starts by year-end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launch through year-end 2023, there were 2,833 completed prescription enrollment forms received for VOWST; of those 2,015 resulted in new patient starts by year-end 2023;</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prescription enrollment forms were submitted by approximately 1,330 unique healthcare providers, or HCPs, since launch, with approximately 65% from gastroenterology and the remainder from other specialties; approximately 340 HCPs have prescribed VOWST to more than one patient; and</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VOWST demand has been observed across the recurrent CDI patient pool, including first recurrence, which is the largest recurrent CDI patient segment.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close collaboration with Nestlé, we have scaled our HCP education efforts, worked to create a positive customer experience with faster and higher conversion of enrollments to new patient starts, and continued to establish payer coverage. Since the FDA approval of VOWST, Nestlé commercial customer facing field teams have been promoting VOWST and generating healthcare provider demand, including significant presence at both IDWeek and the American College of Gastroenterology, or ACG, meetings in October 2023. IDWeek and ACG are two of the largest infectious disease and gastroenterology conferences. Nestlé’s 170 field sales representatives promoting VOWST are divided into two teams, comprised of 150 gastroenterology representatives and 20 hospital/infectious disease representatives.</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VOWST Voyage Support Program, or VOWST Voyage, was launched upon VOWST FDA approval to provide treatment and financial support for eligible patients. The VOWST Voyage staff work with healthcare providers and patients to convert patient enrollments into new patient starts and provide a robust high-touch customer experience.</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Nestlé’s payer field team continues to engage payers to build coverage, which would enable eligible patients to have access to VOWST as quickly and efficiently as possible. The team has been reinforcing what we believe to be a compelling value proposition for VOWST and is actively engaged with the three largest pharmacy benefit managers. In 2023, payers issued policies for VOWST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right="120"/>
        <w:spacing w:after="0" w:line="282" w:lineRule="auto"/>
        <w:rPr>
          <w:sz w:val="20"/>
          <w:szCs w:val="20"/>
          <w:color w:val="auto"/>
        </w:rPr>
      </w:pPr>
      <w:r>
        <w:rPr>
          <w:rFonts w:ascii="Times New Roman" w:cs="Times New Roman" w:eastAsia="Times New Roman" w:hAnsi="Times New Roman"/>
          <w:sz w:val="18"/>
          <w:szCs w:val="18"/>
          <w:color w:val="auto"/>
        </w:rPr>
        <w:t>coverage across plans representing 80% commercial and 54% Medicare Part D covered lives. Approximately 56% of the 1,082 fourth quarter new patient starts are being reimbursed through the patient's drug benefit.</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investing in patient financial assistance to increase access to VOWST for patients with affordability challenges due to co-pays or other cost sharing requirements imposed on them by their insurer after the prescription has been approved. We believe that providing this type of patient access early on will contribute to a positive patient and provider experience, thus increasing demand over time. In terms of free drug utilization, we saw approximately 46% of 2023 new patient starts dispensed via our free drug programs, mostly for Medicare patients. We expect utilization of these programs to drop when the benefit design changes contained in the Inflation Reduction Act, which address patient cost sharing requirements in Medicare Part D plans, go into effect in 2025.</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VOWST was previously granted Breakthrough Therapy and Orphan Drug Designations by the FDA. In connection with the FDA approval of VOWST, we received seven years of orphan-drug exclusivity, which began on April 26, 2023. During that time, VOWST is entitled to a period of marketing exclusivity, which precludes the FDA or other regulatory authorities from approving another marketing application for the same drug or biologic for the same disease or condition during that time period, except under certain circumstances.</w:t>
      </w:r>
    </w:p>
    <w:p>
      <w:pPr>
        <w:spacing w:after="0" w:line="7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FDA approval of VOWST was supported by the Phase 3 development program that included the ECOSPOR III and ECOSPOR IV studies. ECOSPOR III was a multicenter, randomized, placebo-controlled study that enrolled 182 patients with multiply recurrent CDI. All patients who entered ECOSPOR III must have tested positive for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toxin. This inclusion criterion was implemented in an effort to ensure enrollment of only patients with active infection rather than simple colonization. The study was designed to evaluate patients for 24 weeks, with the primary endpoint comparing the </w:t>
      </w:r>
      <w:r>
        <w:rPr>
          <w:rFonts w:ascii="Times New Roman" w:cs="Times New Roman" w:eastAsia="Times New Roman" w:hAnsi="Times New Roman"/>
          <w:sz w:val="18"/>
          <w:szCs w:val="18"/>
          <w:i w:val="1"/>
          <w:iCs w:val="1"/>
          <w:color w:val="auto"/>
        </w:rPr>
        <w:t xml:space="preserve">C. difficile </w:t>
      </w:r>
      <w:r>
        <w:rPr>
          <w:rFonts w:ascii="Times New Roman" w:cs="Times New Roman" w:eastAsia="Times New Roman" w:hAnsi="Times New Roman"/>
          <w:sz w:val="18"/>
          <w:szCs w:val="18"/>
          <w:color w:val="auto"/>
        </w:rPr>
        <w:t>recurrence rate in subjects who received SER-109 verses placebo at up to eight weeks after dosing.</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ECOSPOR III data demonstrated that the study achieved its primary endpoint where SER-109 was superior to placebo in reducing CDI recurrence at eight weeks, reflecting a recurrence-free rate of approximately 88% at eight weeks post-treatment. SER-109 resulted in a 27% absolute reduction of recurrence of CDI compared to placebo at eight weeks post-treatment, which is a relative risk reduction of 68%. The rate of recurrence at 12 weeks in the SER-109 arm was 18.0%, compared to a rate of 46.2% in the placebo arm, representing an absolute risk reduction of 28% (relative risk 0.40; 95% CI 0.24-0.65), and thereby consistent with the results seen at eight weeks. The efficacy results remained durable through 24 weeks of follow-up, as SER-109 was observed to </w:t>
      </w:r>
      <w:r>
        <w:rPr>
          <w:rFonts w:ascii="Times New Roman" w:cs="Times New Roman" w:eastAsia="Times New Roman" w:hAnsi="Times New Roman"/>
          <w:sz w:val="18"/>
          <w:szCs w:val="18"/>
          <w:color w:val="1B1C20"/>
        </w:rPr>
        <w:t>significantly reduced recurrence rates compared to placebo over 24 weeks, 21.3% vs. 47.3%, respectively.</w:t>
      </w:r>
      <w:r>
        <w:rPr>
          <w:rFonts w:ascii="Times New Roman" w:cs="Times New Roman" w:eastAsia="Times New Roman" w:hAnsi="Times New Roman"/>
          <w:sz w:val="18"/>
          <w:szCs w:val="18"/>
          <w:color w:val="auto"/>
        </w:rPr>
        <w:t xml:space="preserve"> These data were published in the </w:t>
      </w:r>
      <w:r>
        <w:rPr>
          <w:rFonts w:ascii="Times New Roman" w:cs="Times New Roman" w:eastAsia="Times New Roman" w:hAnsi="Times New Roman"/>
          <w:sz w:val="18"/>
          <w:szCs w:val="18"/>
          <w:i w:val="1"/>
          <w:iCs w:val="1"/>
          <w:color w:val="auto"/>
        </w:rPr>
        <w:t xml:space="preserve">New England Journal of Medicine </w:t>
      </w:r>
      <w:r>
        <w:rPr>
          <w:rFonts w:ascii="Times New Roman" w:cs="Times New Roman" w:eastAsia="Times New Roman" w:hAnsi="Times New Roman"/>
          <w:sz w:val="18"/>
          <w:szCs w:val="18"/>
          <w:color w:val="auto"/>
        </w:rPr>
        <w:t>in January 2022 and in the</w:t>
      </w:r>
      <w:r>
        <w:rPr>
          <w:rFonts w:ascii="Times New Roman" w:cs="Times New Roman" w:eastAsia="Times New Roman" w:hAnsi="Times New Roman"/>
          <w:sz w:val="18"/>
          <w:szCs w:val="18"/>
          <w:i w:val="1"/>
          <w:iCs w:val="1"/>
          <w:color w:val="auto"/>
        </w:rPr>
        <w:t xml:space="preserve"> Journal of the American Medical Association </w:t>
      </w:r>
      <w:r>
        <w:rPr>
          <w:rFonts w:ascii="Times New Roman" w:cs="Times New Roman" w:eastAsia="Times New Roman" w:hAnsi="Times New Roman"/>
          <w:sz w:val="18"/>
          <w:szCs w:val="18"/>
          <w:color w:val="auto"/>
        </w:rPr>
        <w:t>in October 2022.</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ECOSPOR IV was an open-label single-arm study evaluating SER-109 in 263 adult subjects with recurrent CDI. The overall safety profile observed in ECOSPOR IV through 24 weeks indicated that SER-109 was well tolerated, consistent with the safety profile observed in the prior completed Phase 3 study, ECOSPOR III. The ECOSPOR IV study results contributed to the SER-109 safety database and supported product approval. These data were published in the </w:t>
      </w:r>
      <w:r>
        <w:rPr>
          <w:rFonts w:ascii="Times New Roman" w:cs="Times New Roman" w:eastAsia="Times New Roman" w:hAnsi="Times New Roman"/>
          <w:sz w:val="18"/>
          <w:szCs w:val="18"/>
          <w:i w:val="1"/>
          <w:iCs w:val="1"/>
          <w:color w:val="auto"/>
        </w:rPr>
        <w:t>JAMA Network Open</w:t>
      </w:r>
      <w:r>
        <w:rPr>
          <w:rFonts w:ascii="Times New Roman" w:cs="Times New Roman" w:eastAsia="Times New Roman" w:hAnsi="Times New Roman"/>
          <w:sz w:val="18"/>
          <w:szCs w:val="18"/>
          <w:color w:val="auto"/>
        </w:rPr>
        <w:t xml:space="preserve"> in February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Infection Protection and SER-155</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the scientific and clinical data from our SER-109 program validate our novel approach of using microbiome therapeutics to decolonize pathogens, resulting in reduced rate of infections in medically compromised patients. Data from the SER-109 ECOSPOR III and ECOSPOR IV Phase 3 trial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(Feuerstadt et al., 2022) and </w:t>
      </w:r>
      <w:r>
        <w:rPr>
          <w:rFonts w:ascii="Times New Roman" w:cs="Times New Roman" w:eastAsia="Times New Roman" w:hAnsi="Times New Roman"/>
          <w:sz w:val="18"/>
          <w:szCs w:val="18"/>
          <w:i w:val="1"/>
          <w:iCs w:val="1"/>
          <w:color w:val="auto"/>
        </w:rPr>
        <w:t>Journal of the American Medical Association</w:t>
      </w:r>
      <w:r>
        <w:rPr>
          <w:rFonts w:ascii="Times New Roman" w:cs="Times New Roman" w:eastAsia="Times New Roman" w:hAnsi="Times New Roman"/>
          <w:sz w:val="18"/>
          <w:szCs w:val="18"/>
          <w:color w:val="auto"/>
        </w:rPr>
        <w:t xml:space="preserve"> (Sims et al., 2023) suggest that microbiome therapeutics have the potential to restructure the gut microbiome and shift the gut metabolic landscape. Additional data show that SER-109 rapidly reduced the abundance of bacteria associated with common antibiotic resistance genes, or ARGs, and reduced ARG abundance in the gut (Straub et al., 2023). Collectively, we believe these data suggest the potential for microbiome therapeutics to restore colonization resistance and ultimately to reduce infections and antimicrobial resistance. We believe this Infection Protection approach may be replicable in protecting a range of medically compromised patients from infections seeded by the gut microbiome and resulting downstream clinical sequelae. We believe this approach may also enable us to reduce antimicrobial resistant infections, which the World Health Organization declared as a top ten global public health threat facing humanity.</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evaluating SER-155 in a Phase 1b study in allo-HSCT recipients in an effort to reduce incidences of gastrointestinal infections, resulting bloodstream infections and GvHD. SER-155, an oral microbiome therapeutic candidate consisting of a consortium of cultivated bacteria, is designed to prevent enteric-derived infections and resulting blood stream infections, as well as induce immune tolerance responses to reduce the incidence of GvHD in patients undergoing allo-HSCT. SER-155 was designed using our reverse translational microbiome therapeutics development platform and the rationale for this program is based in part on published clinical evidence from our collaborators at Memorial Sloan Kettering Cancer Center showing that allo-HSCT patients with decreased diversity of commensal microbes and pathogen domination in the gastrointestinal tract were significantly more likely to die due to infection and/or lethal GvHD (Peled et al., 2020). In December 2023, we received Fast Track Designation for SER-155 to reduce the risk of infection and GvHD in allo-HSCT patients.</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SER-155 Phase 1b study is designed to include approximately 70 patients in both an open-label (cohort 1) and a randomized, double-blind, placebo-controlled cohort (cohort 2) that will evaluate safety and tolerability before and after HSCT.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7" w:name="page78"/>
    <w:bookmarkEnd w:id="77"/>
    <w:p>
      <w:pPr>
        <w:ind w:right="520"/>
        <w:spacing w:after="0" w:line="282" w:lineRule="auto"/>
        <w:rPr>
          <w:sz w:val="20"/>
          <w:szCs w:val="20"/>
          <w:color w:val="auto"/>
        </w:rPr>
      </w:pPr>
      <w:r>
        <w:rPr>
          <w:rFonts w:ascii="Times New Roman" w:cs="Times New Roman" w:eastAsia="Times New Roman" w:hAnsi="Times New Roman"/>
          <w:sz w:val="18"/>
          <w:szCs w:val="18"/>
          <w:color w:val="auto"/>
        </w:rPr>
        <w:t>Additionally, the engraftment of SER-155 bacteria (a measure of pharmacokinetics) and gastrointestinal pathogen domination, as well as the rates of enteric-derived infections and resulting blood stream infections, and GvHD will be evaluated.</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Cohort 1 was designed to assess safety and drug pharmacology including the engraftment of drug bacteria in the gastrointestinal tract. Cohort 1 included 13 subjects who received any dosing of the SER-155 regimen, with 11 of these subjects subsequently receiving an allo-HSCT. Nine subjects had evaluable samples for microbiome data analysis. Gastrointestinal microbiome data from the first 100 days of cohort 1 showed the successful engraftment of SER-155 bacterial strains, and a substantial reduction in the cumulative incidence of pathogen domination as compared to a reference cohort of patients, a biomarker associated with the risk of serious enteric infections and resulting bloodstream infections as well as GvHD. The tolerability profile results were favorable, with no serious adverse events attributed to SER-155 administration. Stem cell engraftment was observed in all subjects. We believe these initial SER-155 Phase 1b study results provide encouraging evidence to support further development of SER-155 to potentially reduce enteric-derived infections, resulting bloodstream infections, and GvHD in individuals undergoing allo-HSCT for cancers and other serious conditions. We also believe the available study data from cohort 1 suggest that SER-155 administration results in significantly lower incidence rates of gastrointestinal dominations with pathogens of clinical concern, such as </w:t>
      </w:r>
      <w:r>
        <w:rPr>
          <w:rFonts w:ascii="Times New Roman" w:cs="Times New Roman" w:eastAsia="Times New Roman" w:hAnsi="Times New Roman"/>
          <w:sz w:val="18"/>
          <w:szCs w:val="18"/>
          <w:i w:val="1"/>
          <w:iCs w:val="1"/>
          <w:color w:val="auto"/>
        </w:rPr>
        <w:t>Enterococcaceae, Enterobacteriaceae, Streptococcaceae, and Staphylococcaceae</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Enrollment of cohort 2 is ongoing, incorporating a randomized, double-blinded placebo-controlled design to further evaluate safety, engraftment, and incidence of gastrointestinal ESKAPE microbiome pathogen domination, as well as the incidence of enteric infections, enteric driven blood stream infections, and GvHD. Cohort 2 subjects are administered either SER-155 or placebo at a 1:1 ratio. The study is being conducted at a number of leading cancer centers across the U.S. The cohort 2 data readout is anticipated in the third quarter of 2024.</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an extensive patent portfolio directed to rationally designed ecologies of spores and microbes. The portfolio includes both company-owned patents and applications, and those that we have rights to as licensee. For example, pursuant to an exclusive license to certain intellectual property from Memorial Sloan Kettering Cancer Center, with a patent term running until at least 2035, we are responsible for paying a 2.5% royalty on net sales of VOWST, minimum annual royalties, and milestone payments. The milestone payments are based on VOWST target sales milestones, the first being $1.0 million which was payable upon the first commercial sale of VOWST and paid in July 2023, the second being $2.5 million payable upon annual VOWST sales of $100.0 million, and the last being $10.0 million payable upon annual VOWST sales of $500.0 million. The patents and applications included in our portfolio cover both composition of matter and methods (e.g., method of treating). Our intellectual property rights related to VOWST extend through 2034, through 2041 for SER-155, and through 2040 for SER-301. We plan on continuing to broaden our patent portfolio. Currently, we have 21 active patent application families, which includes 20 nationalized applications and one at the PCT stage. To date, we have obtained 30 issued U.S. patents.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If we obtain marketing approval for any of our product candidates, we expect to receive reference product exclusivity against biosimilar products. For example, VOWST (which was recently approved by the FDA) has a 12-year period of exclusivity in the United States. In the European Union, new molecular entities generally receive eight years of data exclusivity and an additional two years of market exclusivity upon marketing authorization.</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To date we have not generated any revenues from the sale of products. Our revenues have been derived primarily from our agreements with our collaborators. Under our 2021 License Agreement with Nestlé, beginning with the first commercial sale of VOWST, which occurred in June 2023, net sales of VOWST are recorded by Nestlé and include gross sales net of discounts, rebates, allowances, and other applicable deductions. We record our share of the net profits or losses from the sales of VOWST, including our commercial and medical affairs expenses, on a net basis, pursuant to the terms of the 2021 License Agreement. See </w:t>
      </w:r>
      <w:r>
        <w:rPr>
          <w:rFonts w:ascii="Times New Roman" w:cs="Times New Roman" w:eastAsia="Times New Roman" w:hAnsi="Times New Roman"/>
          <w:sz w:val="18"/>
          <w:szCs w:val="18"/>
          <w:i w:val="1"/>
          <w:iCs w:val="1"/>
          <w:color w:val="auto"/>
        </w:rPr>
        <w:t>Collaboration (Profit) Loss Sharing - related party</w:t>
      </w:r>
      <w:r>
        <w:rPr>
          <w:rFonts w:ascii="Times New Roman" w:cs="Times New Roman" w:eastAsia="Times New Roman" w:hAnsi="Times New Roman"/>
          <w:sz w:val="18"/>
          <w:szCs w:val="18"/>
          <w:color w:val="auto"/>
        </w:rPr>
        <w:t xml:space="preserve"> below, and also “–Liquidity and Capital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activities and general and administrative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which include:</w:t>
      </w:r>
    </w:p>
    <w:p>
      <w:pPr>
        <w:spacing w:after="0" w:line="54" w:lineRule="exact"/>
        <w:rPr>
          <w:sz w:val="20"/>
          <w:szCs w:val="20"/>
          <w:color w:val="auto"/>
        </w:rPr>
      </w:pPr>
    </w:p>
    <w:p>
      <w:pPr>
        <w:ind w:left="1020" w:right="8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6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in our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primary focus of research and development since inception has been on our reverse translational microbiome therapeutics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w:t>
      </w:r>
    </w:p>
    <w:p>
      <w:pPr>
        <w:spacing w:after="0" w:line="7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anticipate an overall decrease in research and development expenses beginning in 2024, as we expect the Restructuring Plan to significantly reduce research and development activities other than the completion of the SER-155 Phase 1b study. Research and development expenses may increase in the future as we initiate technology transfer activities with Bacthera and prepare for qualification of the Bacthera manufacturing facility, and if and as we resume development of any clinical or preclinical programs.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commercial,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Prior to the commercial launch of VOWST, general and administrative expenses also included professional service fees for marketing and market access activities to commercialize VOWST.</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decrease starting in 2024 as the Restructuring Plan is expected to result in a reduction of personnel expenses due the workforce reduction and a reduction in external expenses including the elimination of non-essential expenses and consolidation of office space. General and administrative expenses may increase as we undertake efforts from time to time to raise additional capital. We may also continue to incur increased expenses associated with being a public company, including increased costs of accounting, audit, legal, regulatory and tax-related services associated with maintaining compliance with exchange listing rules and the requirements of the Securities and Exchange Commission, director and officer insurance costs and investor and public relations costs.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(Profit) Loss Sharing - related party</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2021 License Agreement with Nestlé, VOWST net sales are recorded by Nestlé and include gross sales net of discounts, rebates, allowances, and other applicable deductions. These amounts include the use of estimates and judgments, which could be adjusted based on actual results in the future. We record our share of the profits or losses from the sales of VOWST, including our commercial and medical affairs expenses, on a net basis, as collaboration (profit) loss sharing - related party. This treatment is in accordance with our revenue recognition and collaboration policy, given that Nestlé and we are both active participants in commercialization activities and are exposed to significant risks and rewards that are dependent on the commercial success of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9" w:name="page80"/>
    <w:bookmarkEnd w:id="79"/>
    <w:p>
      <w:pPr>
        <w:ind w:right="400"/>
        <w:spacing w:after="0" w:line="282" w:lineRule="auto"/>
        <w:rPr>
          <w:sz w:val="20"/>
          <w:szCs w:val="20"/>
          <w:color w:val="auto"/>
        </w:rPr>
      </w:pPr>
      <w:r>
        <w:rPr>
          <w:rFonts w:ascii="Times New Roman" w:cs="Times New Roman" w:eastAsia="Times New Roman" w:hAnsi="Times New Roman"/>
          <w:sz w:val="18"/>
          <w:szCs w:val="18"/>
          <w:color w:val="auto"/>
        </w:rPr>
        <w:t>activities in the arrangement. Nestlé provides us with reporting related to net sales of VOWST in accordance with U.S. generally accepted accounting principles in order to calculate and record collaboration profit or loss.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(profit) loss sharing - related party line item also includes our profit on the transfer of VOWST inventory to Nestlé, which represents the excess of the supply price paid by Nestlé over our cost to manufacture VOWST, subject to a supply price cap.</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collaboration (profit) loss sharing - related party line item also includes collaboration loss related to pre-launch activities, which were completed prior to the first commercial sale of VOWST in June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investments.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under our loan and security agreement with Hercules Capital, Inc. and Oaktree, including the accretion of the discount on our Oaktree Term Loan.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(expense) income primarily consists of amortization of premiums or accretion of discounts on investments, and changes in the fair values of our warrant liabilities associated with our Oaktree Term Loan.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2023, we had federal and state net operating loss carryforwards of $527.1 million and $504.2 million, respectively, both of which begin to expire in 2035. As of December 31, 2023, we also had federal and state research and development tax credit carryforwards of $45.1 million and $7.7 million, respectively, net of uncertain tax position reserves, which begin to expire in 2031 and 2028, respectively. The federal research and development tax credits include an orphan drug credit carryforward of $25.9 million.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or GAAP. The preparation of our consolidated financial statements and related disclosures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consolidated financial statements and disclosures based on varying assumptions.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guidance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79"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 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meets the requirements of a performance obligation.</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7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68"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When we conclude that a contract should be accounted for as a combined performance obligation and recognized over time, we must then determine the period over which revenue should be recognized and the method by which to measure revenue. We generally recognize revenue using a cost-based input method.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Supply Services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Application of the above guidance requires significant judgment and requires us to make determinations based on the facts and circumstances under each 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Profit and Loss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analyze our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which includes determining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those that are more reflective of a vendor-customer relationship and therefore within the scope of ASC 606. For those elements of the arrangement that are accounted for pursuant to ASC 606, we apply the five-step model prescribed in ASC 606, as described above. For elements of collaboration arrangements that are accounted for pursuant to ASC 808, an appropriate recognition method is determined and applied consistently, generally by analogy to ASC 606. We record our share of the profits or losses from the sales of VOWST on a net basis as collaboration (profit) loss sharing - related party because Nestlé and we are both active participants in commercialization activities and are exposed to significant risks and rewards that are dependent on the commercial success of the activities in the arrangement. The collaboration (profit) loss sharing - related party line item also includes our profit on the transfer of VOWST inventory to Nestlé, which represents the excess of the supply price paid by Nestlé over our cost to manufacture VOWST.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which include information from our CROs and CMOs reported to us on a periodic basis. Examples of estimated accrued research and development expenses include fees paid to:</w:t>
      </w:r>
    </w:p>
    <w:p>
      <w:pPr>
        <w:spacing w:after="0" w:line="8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services on our behalf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or other providers in connection with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and clinical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preclinical and clinical supplies.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2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145,860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(27,060 )</w:t>
            </w: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(19,310 )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(107,983 )</w:t>
            </w:r>
          </w:p>
        </w:tc>
        <w:tc>
          <w:tcPr>
            <w:tcW w:w="3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(246,490 )</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(13,176 )</w:t>
            </w: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(6,020 )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(7,156 )</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(705 )</w:t>
            </w: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(5,741 )</w:t>
            </w: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(3,667 )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(2,074 )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(113,724 )</w:t>
            </w:r>
          </w:p>
        </w:tc>
        <w:tc>
          <w:tcPr>
            <w:tcW w:w="3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(250,157 )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136,433</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-2082165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-2082165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-2082165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-1302385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-1302385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-1302385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-976630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-976630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-976630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-351155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-351155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Total revenue was $126.3 million and $7.1 million for the years ended December 31, 2023 and 2022, respectively. The increase in total revenue of $119.2 million was primarily due to the milestone payment of $125.0 million received from our collaborator Nestlé, upon FDA approval of VOWST. The increase was partially offset by a $3.7 million decrease in collaboration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3" w:name="page84"/>
    <w:bookmarkEnd w:id="83"/>
    <w:p>
      <w:pPr>
        <w:ind w:right="440"/>
        <w:spacing w:after="0" w:line="282" w:lineRule="auto"/>
        <w:rPr>
          <w:sz w:val="20"/>
          <w:szCs w:val="20"/>
          <w:color w:val="auto"/>
        </w:rPr>
      </w:pPr>
      <w:r>
        <w:rPr>
          <w:rFonts w:ascii="Times New Roman" w:cs="Times New Roman" w:eastAsia="Times New Roman" w:hAnsi="Times New Roman"/>
          <w:sz w:val="18"/>
          <w:szCs w:val="18"/>
          <w:color w:val="auto"/>
        </w:rPr>
        <w:t>attributable to the services performed pursuant to the 2016 License Agreement and a $2.1 million decrease in collaboration revenue attributable to the services performed pursuant to the 2021 License Agreement.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Microbiome therapeutics platform</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44,062</w:t>
            </w:r>
          </w:p>
        </w:tc>
        <w:tc>
          <w:tcPr>
            <w:tcW w:w="5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37,857</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VOWST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(30,778 )</w:t>
            </w: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SER-155</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80" w:type="dxa"/>
            <w:vAlign w:val="bottom"/>
            <w:shd w:val="clear" w:color="auto" w:fill="CFF0FC"/>
          </w:tcPr>
          <w:p>
            <w:pPr>
              <w:spacing w:after="0"/>
              <w:rPr>
                <w:sz w:val="21"/>
                <w:szCs w:val="21"/>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Early stage programs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(514 )</w:t>
            </w:r>
          </w:p>
        </w:tc>
      </w:tr>
      <w:tr>
        <w:trPr>
          <w:trHeight w:val="20"/>
        </w:trPr>
        <w:tc>
          <w:tcPr>
            <w:tcW w:w="5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70,937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93,334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(22,397 )</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(4,663 )</w:t>
            </w:r>
          </w:p>
        </w:tc>
      </w:tr>
      <w:tr>
        <w:trPr>
          <w:trHeight w:val="20"/>
        </w:trPr>
        <w:tc>
          <w:tcPr>
            <w:tcW w:w="5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145,860</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(27,060 )</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$145.9 million for the year ended December 31, 2023, compared to $172.9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decrease of $27.1 million was due primarily to the following:</w:t>
      </w:r>
    </w:p>
    <w:p>
      <w:pPr>
        <w:spacing w:after="0" w:line="99" w:lineRule="exact"/>
        <w:rPr>
          <w:sz w:val="20"/>
          <w:szCs w:val="20"/>
          <w:color w:val="auto"/>
        </w:rPr>
      </w:pPr>
    </w:p>
    <w:p>
      <w:pPr>
        <w:ind w:left="1020" w:right="40" w:hanging="503"/>
        <w:spacing w:after="0" w:line="25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personnel-related costs of $4.7 million, primarily due to a decrease of $13.3 million resulting from the capitalization of certain labor costs into inventory beginning with the commercialization of VOWST, and a decrease of $2.0 million resulting from the receipt of payroll tax credits, partially offset by an increase of $2.5 million in salaries, bonus, and employee benefits expenses, a $5.9 million increase in stock-based compensation expense, which was primarily as a result of options and awards with performance conditions that were achieved during the year following the FDA approval of VOWST, and a $2.2 million increase in employee post-termination benefits due to the Restructuring Plan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our audited consolidated financial statements included elsewhere in this Annual Report);</w:t>
      </w:r>
    </w:p>
    <w:p>
      <w:pPr>
        <w:spacing w:after="0" w:line="79"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$30.8 million in expenses related to our VOWST program, primarily due to a decrease in clinical trial costs of $12.6 million, and a decrease of $12.0 million in lab supplies and consumables and facility-related costs, as we have capitalized certain of these costs into inventory in conjunction with the commercialization of VOWST. The total decrease is also attributable to a decrease of $6.0 million in consulting and professional fees and a decrease of $0.2 million in analytical testing and other manufacturing costs;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$0.5 million in expenses of our early stage programs, primarily driven by reduced clinical trial costs of $1.2 million, partially offset by an increase in analytical testing of $0.7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020" w:right="300" w:hanging="503"/>
        <w:spacing w:after="0" w:line="26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$6.2 million in research expenses related to our microbiome therapeutics platforms, primarily due to an increase of $7.0 million in facilities costs, lab supplies, and consumables, driven primarily by our new and amended lease agreements for laboratory and office spaces in Massachusetts and Pennsylvania, and an increase of $1.6 million in consulting and professional fees, partially offset by a decrease of $2.2 million in analytical testing expenses, and a decrease of $0.2 million in clinical trial costs and other manufacturing costs;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expenses related to our SER-155 program due to an increase in clinical trial and other manufacturing costs.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36,629</w:t>
            </w:r>
          </w:p>
        </w:tc>
        <w:tc>
          <w:tcPr>
            <w:tcW w:w="5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31,277</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(3,814 )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Facility-related and other</w:t>
            </w:r>
          </w:p>
        </w:tc>
        <w:tc>
          <w:tcPr>
            <w:tcW w:w="10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87,744</w:t>
            </w:r>
          </w:p>
        </w:tc>
        <w:tc>
          <w:tcPr>
            <w:tcW w:w="5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-1096645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-1096645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were $87.7 million for the year ended December 31, 2023, compared to $79.7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increase of $8.1 million was primarily due to the following:</w:t>
      </w:r>
    </w:p>
    <w:p>
      <w:pPr>
        <w:spacing w:after="0" w:line="99" w:lineRule="exact"/>
        <w:rPr>
          <w:sz w:val="20"/>
          <w:szCs w:val="20"/>
          <w:color w:val="auto"/>
        </w:rPr>
      </w:pPr>
    </w:p>
    <w:p>
      <w:pPr>
        <w:ind w:left="1020" w:hanging="503"/>
        <w:spacing w:after="0" w:line="25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personnel-related costs of $5.4 million, due to an increase of $1.0 million in salaries, bonus, payroll taxes and employee benefit expenses, a $1.7 million increase in employee post-termination benefits due to the Restructuring Plan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our audited consolidated financial statements included elsewhere in this Annual Report), and a $2.7 million increase in stock-based compensation expense, which was primarily the result of options and awards with performance conditions that were achieved during the year ended December 31, 2023 upon FDA approval of VOWST, partially offset by the reversal of stock-based compensation expense associated with the forfeiture of unvested awards; and</w:t>
      </w:r>
    </w:p>
    <w:p>
      <w:pPr>
        <w:spacing w:after="0" w:line="79"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facility-related and other costs of $6.5 million, due to increases in laboratory and office rent expenses of $3.8 million and an increase in information technology costs of $2.7 million; partially offset by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professional fees of $3.8 million, due to a $9.8 million decrease in professional services, consulting and recruiting fees, offset by a $6.0 million increase in legal expenses primarily due to certain transaction and milestone payments due to third parties as a result of the FDA approval of VOWST.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(Profit) Loss Sharing - related party</w:t>
      </w:r>
    </w:p>
    <w:p>
      <w:pPr>
        <w:spacing w:after="0" w:line="119" w:lineRule="exact"/>
        <w:rPr>
          <w:sz w:val="20"/>
          <w:szCs w:val="20"/>
          <w:color w:val="auto"/>
        </w:rPr>
      </w:pPr>
    </w:p>
    <w:p>
      <w:pPr>
        <w:ind w:right="120" w:firstLine="578"/>
        <w:spacing w:after="0" w:line="255" w:lineRule="auto"/>
        <w:rPr>
          <w:sz w:val="20"/>
          <w:szCs w:val="20"/>
          <w:color w:val="auto"/>
        </w:rPr>
      </w:pPr>
      <w:r>
        <w:rPr>
          <w:rFonts w:ascii="Times New Roman" w:cs="Times New Roman" w:eastAsia="Times New Roman" w:hAnsi="Times New Roman"/>
          <w:sz w:val="18"/>
          <w:szCs w:val="18"/>
          <w:color w:val="auto"/>
        </w:rPr>
        <w:t>Collaboration (profit) loss sharing – related party resulted in $0.7 million of expense for the year ended December 31, 2023, compared to $1.0 million of expense for the year ended December 31, 2022. Beginning with the commercial launch of VOWST in June 2023, we record our share of the net profits and losses from the sales of VOWST, which are recorded by Nestlé and include gross sales net of discounts, rebates, allowances, and other applicable deductions, as collaboration (profit) loss sharing - related party. Our share of VOWST net profits and losses also includes commercial and medical affairs expenses incurred by us. For the year ended December 31, 2023, our share of the VOWST net loss was $18.9 million. We also record as collaboration (profit) loss sharing - related party our net profit on the transfer of VOWST to Nestlé, as well as our share of pre-launch expenses. For the year ended December 31, 2023, these amounts were $23.3 million in net profit and $5.1 million in net loss, respectively.</w:t>
      </w:r>
    </w:p>
    <w:p>
      <w:pPr>
        <w:spacing w:after="0" w:line="81" w:lineRule="exact"/>
        <w:rPr>
          <w:sz w:val="20"/>
          <w:szCs w:val="20"/>
          <w:color w:val="auto"/>
        </w:rPr>
      </w:pPr>
    </w:p>
    <w:p>
      <w:pPr>
        <w:ind w:right="180" w:firstLine="57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incurred $15.1 million of pre-launch expenses which we recorded within research and development expense or general and administrative expense based on the nature of the underlying expense, and our collaborative partner incurred $17.1 million of pre-launch expenses. The $1.0 million of expense recorded for the year ended December 31, 2022 represent the sharing of 50% of the pre-launch expenses. These amounts represent expense to us in 2022 because our collaborative partner performed more of the pre-launch activities than us.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the collaboration (profit) loss sharing - related party are as follows (in thousands):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of VOWST 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Profit on transfer of VOWST inventory to Nestlé</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(23,327 )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(profit)/loss related to pre-launch activities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(1,732 )</w:t>
            </w:r>
          </w:p>
        </w:tc>
      </w:tr>
      <w:tr>
        <w:trPr>
          <w:trHeight w:val="20"/>
        </w:trPr>
        <w:tc>
          <w:tcPr>
            <w:tcW w:w="5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collaboration (profit) loss sharing - related party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(1,732 )</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(expense) income, net was $5.7 million of expense for the year ended December 31, 2023 compared to $3.7 million of expense for the year ended December 31, 2022. The increase in other expense, net was primarily due to an increase in interest expense of $7.1 million as a result of higher interest rates and a higher borrowing base with the Oaktree Term Loan. This increase was partially offset by an increase in other income of $0.8 million and an increase in interest income of $4.3 million.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revenue only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right="180" w:firstLine="578"/>
        <w:spacing w:after="0" w:line="254" w:lineRule="auto"/>
        <w:rPr>
          <w:sz w:val="20"/>
          <w:szCs w:val="20"/>
          <w:color w:val="auto"/>
        </w:rPr>
      </w:pPr>
      <w:r>
        <w:rPr>
          <w:rFonts w:ascii="Times New Roman" w:cs="Times New Roman" w:eastAsia="Times New Roman" w:hAnsi="Times New Roman"/>
          <w:sz w:val="18"/>
          <w:szCs w:val="18"/>
          <w:color w:val="auto"/>
        </w:rPr>
        <w:t>On February 22, 2024, our board of directors adopted a resolution to amend the Restated Certificate of Incorporation, subject to stockholder approval at our annual meeting of stockholders to be held in 2024, by increasing the number of authorized shares of our common stock from 240,000,000 shares to 360,000,000 shares, or the Share Increase Amendment. Our board of directors believes it is in the best interests of us and our stockholders to increase our authorized shares of common stock in order to have additional shares available for use as our board of directors deems appropriate or necessary. As such, the primary purpose of the Share Increase Amendment is to provide us with greater flexibility with respect to managing our common stock in connection with such corporate purposes as may, from time to time, be considered advisable by our Board. These corporate purposes could include, without limitation, financing activities, public or private offerings of common stock, stock dividends or splits, conversions of convertible securities, issuance of options and other equity awards pursuant to our incentive plans, establishing a strategic relationship with a corporate collaborator and acquisition transactions.</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2021, we entered into a Sales Agreement, or the 2021 Sales Agreement, with Cowen and Company, LLC, or Cowen, to sell shares of our common stock with aggregate gross sales proceeds of up to $150.0 million, from time to time, through an "at-the-market" equity offering program under which Cowen acts as sales agent. During the year ended December 31, 2023, we sold 7,711,199 shares of common stock under the 2021 Sales Agreement, at an average price of approximately $2.46 per share, raising aggregate net proceeds of approximately $18.2 million after deducting an aggregate commission of approximately 3% and other issuance costs. During the year ended December 31, 2022, we sold 655,000 shares of common stock under the 2021 Sales Agreement, at an average price of approximately $7.26 per share, raising aggregate net proceeds of approximately $4.4 million after deducting an aggregate commission of approximately 3%. Between December 31, 2023 and February 29, 2024, we sold 15,366,630 shares of common stock under the 2021 Sales Agreement, at an average price of approximately $1.23 per share, raising aggregate net proceeds of approximately $18.5 million after deducting an aggregate commission of approximately 3% and other issuance costs.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we had cash and cash equivalents totaling $128.0 million and an accumulated deficit of $978.2 million. For </w:t>
      </w:r>
      <w:r>
        <w:rPr>
          <w:rFonts w:ascii="Times New Roman" w:cs="Times New Roman" w:eastAsia="Times New Roman" w:hAnsi="Times New Roman"/>
          <w:sz w:val="18"/>
          <w:szCs w:val="18"/>
          <w:color w:val="222222"/>
        </w:rPr>
        <w:t>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ended December 31, 2023, we incurred a net loss of $113.7 million, and used cash in operations of $117.4 million. We expect that our operating losses and negative cash flows will continue for the foreseeable future.</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Under applicable accounting standards, we have the responsibility to evaluate whether conditions or events raise substantial doubt about our ability to meet our future financial obligations as they become due within 12 months after the date the consolidated financial statements are issued. The ability to obtain sufficient additional equity or debt financing with terms favorable or acceptable to us cannot be considered probable, as these events are outside of our control. Based on our currently available cash resources, we will require additional funding prior to the end of 2024. Accordingly, management has concluded that these circumstances raise substantial doubt about our ability to continue as a going concern. Substantial doubt about our ability to continue as a going concern may materially and adversely affect the price per share of our common stock, and it may be more difficult for us to obtain financing. If potential collaborators decline to do business with us or potential investors decline to participate in any future financings due to such concerns, our ability to increase our cash position may be limited. We will need to generate significant revenues to achieve profitability, and we may never do so. Because of the numerous risks and uncertainties associated with the development of our current and any future product candidates, the development of our platform and technology and because the extent to which we may enter into collaborations with third parties for development of any of our product candidates is unknown, we are unable to estimate the amounts of increased capital outlays and operating expenses required for completing the research and development of our product candidates.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Plan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we announced the Restructuring Plan to prioritize the commercialization of VOWST and the completion of the SER-155 Phase 1b study, while reducing costs and supporting longer-term business sustainability. The Restructuring Plan included (i) a reduction of our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 The Restructuring Plan was substantially implemented around the end of fiscal 2023. In connection with the Restructuring Plan, for the year ended December 31, 2023, we incurred approximately $5.6 million in restructuring costs, primarily related to the workforce reduction, of which $5.3 million are expected to result in cash expenditures, and the remaining $0.3 million relates to stock-based compensation expense associated with the acceleration of unvested equity awards. These costs were incurred in the fourth quarter of 2023.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to our audited consolidated financial statements included elsewhere in this Annual Report. We expect to achieve annual cash savings of approximately $75.0 million to $85.0 million in 2024, of which approximately $35.0 million is expected to result from the reduction in workforce, and which excludes any one-time charges primarily associated with the workforce reduction.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Manufacturing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Société des Produits Nestlé S.A. (Nestlé)</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January 2016, we entered into the 2016 License Agreement with Nestec, Ltd., as succeeded by Société des Produits Nestlé S.A., or, together with NHSc Rx License GmbH, their affiliates, and their subsidiaries, Nestlé, for the development and commercialization of certain of our product candidates in development for the treatment and management of CDI and IBD, including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spacing w:after="0" w:line="268" w:lineRule="auto"/>
        <w:rPr>
          <w:sz w:val="20"/>
          <w:szCs w:val="20"/>
          <w:color w:val="auto"/>
        </w:rPr>
      </w:pPr>
      <w:r>
        <w:rPr>
          <w:rFonts w:ascii="Times New Roman" w:cs="Times New Roman" w:eastAsia="Times New Roman" w:hAnsi="Times New Roman"/>
          <w:sz w:val="17"/>
          <w:szCs w:val="17"/>
          <w:color w:val="auto"/>
        </w:rPr>
        <w:t>UC and Crohn’s disease. In exchange for the license, Nestlé agreed to pay us an upfront cash payment of $120.0 million, which we received in February 2016. Nestlé has also agreed to pay us tiered royalties, at percentages ranging from the high single digits to high teens, of net sales of certain products based on our microbiome technology that are being developed for the treatment of CDI and IBD, including VOWST, SER-262, SER-287 and SER-301, or collectively, the 2016 Collaboration Products, in markets outside of the United States and Canada, or the 2016 Licensed Territory. We are eligible to receive up to $285.0 million in development milestone payments, $375.0 million in regulatory payments and up to an aggregate of $1.1 billion for the achievement of certain commercial milestones related to the sales of 2016 Collaboration Products. The full potential value of the up-front payment and milestone payments payable by Nestlé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VOWST (ECOSPOR III) in patients with multiply recurrent CDI. In July 2017, we received $20.0 million based on the achievement of this milestone under the 2016 License Agreement. In November 2018, we executed a letter agreement with Nestlé, or the Letter Agreement, modifying certain terms of the 2016 License Agreement. Under the Letter Agreement, Nestlé agreed to pay us the $20.0 million Phase 3 milestone payment upon commencement of the Phase 2b study for SER-287. In December 2018, we received $40.0 million in milestone payments in connection with the commencement of the Phase 2b study for SER-287. In August 2020, we received $10.0 million from Nestlé in connection with the initiation of the Phase 1b SER-301 study. To date, we have received $80.0 million in development milestones under the 2016 License Agreement with Nestlé.</w:t>
      </w:r>
    </w:p>
    <w:p>
      <w:pPr>
        <w:spacing w:after="0" w:line="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the development of 2016 Collaboration Products for IBD under a global development plan, we agreed to pay the costs of clinical trials of such products up to and including Phase 2 clinical trials, and 67% of the costs for Phase 3 and other clinical trials of such products, with Nestlé bearing the remaining 33% of such costs. For other clinical development of 2016 Collaboration Products for IBD, we agreed to pay the costs of such activities to support approval in the United States and Canada.</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With respect to development of 2016 Collaboration Products for CDI under a global development plan, we agreed to pay all costs of Phase 2 clinical trials for VOWST and for Phase 3 clinical trials for VOWST. We agreed to bear all costs of conducting any Phase 1 or Phase 2 clinical trials under a global development plan for 2016 Collaboration Products other than VOWST for CDI. We agreed to pay 67% and Nestlé agreed to pay 33% of other costs of Phase 3 clinical trials conducted for 2016 Collaboration Products other than VOWST for CDI under a global development plan. For other clinical development of 2016 Collaboration Products for CDI, we agreed to pay costs of such development activities to support approval in the United States and Canada, and Nestlé agreed to bear the cost of such activities to support approval of 2016 Collaboration Products in the 2016 Licensed Territory.</w:t>
      </w:r>
    </w:p>
    <w:p>
      <w:pPr>
        <w:spacing w:after="0" w:line="7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2016 License Agreement continues in effect until terminated by either party on the following bases: (i) Nestlé may terminate the 2016 License Agreement in the event of serious safety issues related to any of the 2016 Collaboration Products; (ii) we may terminate the 2016 License Agreement if Nestlé challenges the validity or enforceability of any of our licensed patents; and (iii) either party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with NHSc Rx License GmbH (Nestlé)</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On July 1, 2021, we entered into a License Agreement, or the 2021 License Agreement, with NHSc Pharma Partners, succeeded by NHSc Rx License GmbH, or, together with Société des Produits Nestlé S.A., their affiliates, and their subsidiaries,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VOWST) that are developed by us or on our behalf for the treatment of CDI and recurrent CDI, as well as any other indications pursued for the products upon mutual agreement of the parties, or the 2021 Field, in the United States and Canada, or the 2021 Licensed Territory, and (ii) VOWST and any improvements and modifications thereto developed pursuant to the terms of the 2021 License Agreement, or the 2021 Collaboration Products, for any indications in the 2021 Licensed Territory.</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were responsible for, and used commercially reasonable efforts in, conducting development of VOWST in the 2021 Field in the United States until first regulatory approval for VOWST was obtained in the 2021 Field in the United States and in accordance with a development and regulatory activity plan, at our cost, subject to certain exceptions specified in the 2021 License Agreement. We are also responsible for all regulatory affairs related to the 2021 Collaboration Products in the 2021 Field in the 2021 Licensed Territory, at our cost, except that expenses incurred for regulatory activities approved by a joint steering committee pursuant to a life cycle management plan for the 2021 Collaboration Products are shared equally between the parties. We are now solely responsible for manufacturing and supplying VOWST for development in the 2021 Field in the 2021 Licensed Territory.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7" w:name="page88"/>
    <w:bookmarkEnd w:id="87"/>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Nestlé has the sole right to commercialize VOWST in the 2021 Licensed Territory in accordance with a commercialization plan, subject to our right to elect to provide up to a specified percentage of all promotional details for a certain target audience. Each party will use commercially reasonable efforts to commercialize VOWST in the 2021 Licensed Territory in accordance with the commercialization plan. Both parties will perform medical affairs activities for VOWST in the 2021 Licensed Territory in accordance with a medical affairs plan. We are solely responsible for the manufacturing and supply of VOWST for commercialization under a supply agreement that has been executed between the parties. We were responsible for commercialization and medical affairs activities costs incurred by the parties until first commercial sale of the first 2021 Collaboration Product, or VOWST, in the 2021 Licensed Territory and in accordance with a pre-launch plan, up to a specified cap. Since the first commercial sale of VOWST in June 2023, we are entitled to share equally in its commercial profits and losses.</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exchange for the grant of the licenses under the 2021 License Agreement, Nestlé agreed to pay us a non-refundable, non-creditable and non-cancelable upfront payment of $175.0 million, which was received in July 2021. Nestlé also agreed to pay us an additional $125.0 million due upon FDA approval of VOWST, which we received in May 2023, $10.0 million upon Canadian regulatory approval of VOWST, and sales target milestones payments totaling up to $225.0 million.</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2021 License Agreement continues in effect until all development and commercialization activities for VOWST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with twelve months’ prior written notice, effective only on or after the third anniversary of first commercial sale of VOWST in the 2021 Licensed Territory. We may also terminate the 2021 License Agreement immediately upon written notice if Nestlé challenges any licensed patent in the 2021 Licensed Territory.</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 provisions including ownership, patent prosecution, enforcement and defense, certain indemnification rights in favor of each party, and customary confidentiality provisions and limitations of liability.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Term Manufacturing Agreement with Bacthera</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a Long Term Manufacturing Agreement with BacThera AG, or Bacthera, a joint venture between Chr. Hansen and a Lonza Group affiliate, which was amended on December 14, 2022, or the Bacthera Agreement. The Bacthera Agreement governs the general terms under which Bacthera, or one of its affiliates, will (i) construct a dedicated full-scale production suite for us at Bacthera’s Microbiome Center of Excellence in Visp, Switzerland, which is substantially complete; and (ii) provide manufacturing services to us for VOWST and other products, as agreed to by the parties.</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Bacthera Agreement, we agreed to pay Bacthera a total of at least 256 million CHF (or approximately $301 million) for the initial term of the agreement, inclusive of the construction fees and annual operating fees. Bacthera is funding the majority of the construction costs and will own and control the manufacturing suite during construction. The construction fees that we are responsible for represent a small percentage of the overall construction costs and are payable upon the achievement of certain milestones related to the construction of the dedicated manufacturing suite. The annual operating fee includes the cost of a baseline annual batch production volume. We have also agreed to pay certain other ancillary fees and a per-batch fee in excess of the baseline batches. These fees are subject to adjustment during construction for certain items outside of Bacthera’s control and annually against an agreed index. We will supply the active pharmaceutical ingredients to Bacthera to enable it to perform the services and pay for certain other raw materials and manufacturing components, which will be acquired by Bacthera.</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 The initial term is subject to renewals, which could extend the term to 16 years, and additional three-year terms thereafter. Each party has the ability to terminate the Bacthera Agreement upon the occurrence of certain customary conditions. We may also terminate the Bacthera Agreement for convenience after a defined period. In the event of a termination, we have certain financial obligations that would apply, and Bacthera has agreed to grant a license to Bacthera-developed manufacturing know how, if any, and provide technical assistance to us, so that we could transfer the manufacturing operations to ourselves or a third party. The Bacthera Agreement also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contains representations, warranties and indemnity obligations as well as limitations of liability that are customary for agreements of this type.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October 2019, we entered into a loan and security agreement, or the Hercules Loan Agreement, with Hercules Capital, Inc., or Hercules, pursuant to which a term loan facility in an aggregate principal amount of up to $50.0 million, or the Original Credit Facility, was available to us in three tranches, subject to certain terms and conditions. We received the first tranche of $25.0 million upon signing the agreement on October 29, 2019, but did not borrow either of the second two tranches, which were available at different times upon Hercules’ approval until June 30, 2021.</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April 16, 2020, we entered into an amendment to the Hercules Loan Agreement, or the First Amendment, permitting us to enter into a promissory note under the Paycheck Protection Program of the Coronavirus Aid, Relief and Economic Stability Act. On April 17, 2020 we issued a Promissory Note to Bank of America, NA, or the Loan, pursuant to which we received loan proceeds of $2.9 million, however, based on updated guidance related to this program, we decided to repay the full amount of the Loan, and repaid the Loan on May 4, 2020.</w:t>
      </w:r>
    </w:p>
    <w:p>
      <w:pPr>
        <w:spacing w:after="0" w:line="72"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Effective as of February 24, 2022, we entered into a Second Amendment to the Original Credit Facility (as amended by the First Amendment), or the Hercules Credit Facility, pursuant to which a term loan facility in the amount of $100.0 million became available to us in five tranches including the first tranche of $25.0 million previously drawn under the Original Credit Facility, subject to certain terms and conditions.</w:t>
      </w:r>
    </w:p>
    <w:p>
      <w:pPr>
        <w:spacing w:after="0" w:line="68"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Hercules Credit Facility was secured by substantially all of our assets, other than our intellectual property. We agreed to not pledge or secure our intellectual property to others.</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Hercules Credit Facility was repaid on the Oaktree Closing Date (as defined below). For a further description of the Hercules Credit Facility, see Note 9 to our consolidated financial statements included elsewhere in this Annual Report on Form 10-K.</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Oaktree Credit Agreement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April 27, 2023, or the Oaktree Closing Date, we entered into the Oaktree Credit Agreement, among the Company, the subsidiary guarantors from time to time party thereto, the Oaktree Lenders, and the Agent. The Oaktree Credit Agreement establishes a term loan facility of $250.0 million, consisting of (i) $110.0 million, or the Tranche A Loan, funded on the Closing Date, (ii) $45.0 million, or the Tranche B Loan, that the Company may borrow subject to certain conditions, (iii) $45.0 million, or the Tranche C Loan, that the Company may borrow subject to certain conditions, and (iv) $50.0 million, or the Tranche D Loan, available in Oaktree’s sole discretion. The Tranche B Loan may be drawn by the Company until September 30, 2024, if VOWST net sales for the trailing six consecutive months are at least $35 million and at least 4.5% greater in the calendar quarter prior to the Applicable Funding Date (as defined in the Oaktree Credit Agreement) over the calendar quarter immediately preceding it. The Tranche C Loan may be drawn until September 30, 2025, if VOWST net sales for the trailing 12 consecutive months are at least $120 million and at least 4.5% greater in each of the two calendar quarters prior to the Applicable Funding Date relative, in each case, to the calendar quarter immediately preceding it. The Oaktree Term Loan has a maturity date of April 27, 2029, or the Oaktree Maturity Date. Of the $110.0 million Tranche A Loan advanced by the Lenders at closing, approximately $53.4 million repaid the Company's then-existing credit facility with Hercules Capital, Inc. After deducting other transaction expenses and fees, the Company received net proceeds of approximately $50.4 million.</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Oaktree Term Loan bear interest at a rate per annum equal to the three-month term Secured Overnight Financing Rate (subject to a 2.500% floor and a 5.000% cap), plus an applicable margin of 7.875%, payable quarterly in arrears. If certain VOWST net sales targets are met, the applicable margin will be reduced from 7.875% to 7.50% through the Oaktree Maturity Date. We are required to make quarterly interest-only payments on the Oaktree Term Loan for the first three years after the Oaktree Closing Date. Beginning on June 30, 2026, we will be required to make quarterly payments of interest, plus repay 7.5% of the outstanding principal of the Oaktree Term Loan in quarterly installments until the Oaktree Maturity Date, unless the interest only period is extended based upon the achievement of certain VOWST net sales targets.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obligated to pay the Oaktree Lenders an exit fee equal to 1.50% of the aggregate amount of the Oaktree Term Loan funded, such exit fee to be due and payable upon the earliest to occur of (1) the Oaktree Maturity Date, (2) the acceleration of the outstanding Oaktree Term Loan, and (3) the prepayment of the outstanding Oaktree Term Loan. We may voluntarily prepay the outstanding Oaktree Term Loan, subject to a customary make-whole for the first two years following the Oaktree Closing Date plus 4.0% of the principal amount of the Oaktree Term Loan prepaid, and thereafter a prepayment premium equal to (i) 4.0% of the principal amount of the Oaktree Term Loan prepaid, if prepaid after the second anniversary of the Oaktree Closing Date through and including the third anniversary of the Oaktree Closing Date, (ii) 2.0% of the principal amount of the Oaktree Term Loan if prepaid after the third anniversary of the Oaktree Closing Date through and including the fourth anniversary of the Oaktree Closing Date, (iii) 1.0% of the principal amount of the Oaktree Term Loan if prepaid after the fourth anniversary of the Oaktree Closing Date through</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right="180"/>
        <w:spacing w:after="0" w:line="282" w:lineRule="auto"/>
        <w:rPr>
          <w:sz w:val="20"/>
          <w:szCs w:val="20"/>
          <w:color w:val="auto"/>
        </w:rPr>
      </w:pPr>
      <w:r>
        <w:rPr>
          <w:rFonts w:ascii="Times New Roman" w:cs="Times New Roman" w:eastAsia="Times New Roman" w:hAnsi="Times New Roman"/>
          <w:sz w:val="18"/>
          <w:szCs w:val="18"/>
          <w:color w:val="auto"/>
        </w:rPr>
        <w:t>and including the fifth anniversary of the Oaktree Closing Date, with no prepayment premium due after the fifth anniversary of the Oaktree Closing Date through the Oaktree Maturity Date.</w:t>
      </w:r>
    </w:p>
    <w:p>
      <w:pPr>
        <w:spacing w:after="0" w:line="5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Oaktree Credit Agreement and the other Loan Documents (as defined in the Oaktree Credit Agreement) will be guaranteed by any of our domestic subsidiaries that become Guarantors (as defined in the Oaktree Credit Agreement), subject to certain exceptions. Our and our Guarantors’, or collectively, the Loan Parties, respective obligations under the Oaktree Credit Agreement and the other Loan Documents are secured by first priority security interests in substantially all assets of the Loan Parties, including intellectual property, subject to certain customary thresholds and exceptions. As of December 31, 2023, there were no Guarantors.</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Oaktree Credit Agreement contains customary representations, warranties and affirmative and negative covenants, including a financial covenant requiring us to maintain certain levels of cash and cash equivalents in accounts subject to a control agreement in favor of the Agent of at least $30.0 million at all times commencing from 30 days after the Oaktree Closing Date and decreasing to $25.0 million of cash and cash equivalents in such controlled accounts after we borrow any Tranche B Loan. As of December 31, 2023, we were in compliance with all financial covenants pursuant to the Oaktree Credit Agreement.</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the Oaktree Credit Agreement contains certain events of default that entitle the Agent to cause our indebtedness under the Oaktree Credit Agreement to become immediately due and payable, and to exercise remedies against the Loan Parties and the collateral securing the Oaktree Term Loan, including cash. Under the Oaktree Credit Agreement, an event of default will occur if, among other things, we fail to make payments under the Oaktree Credit Agreement (subject to specified periods), we or our subsidiaries breach any of the covenants under the Oaktree Credit Agreement (subject to specified cure periods with respect to certain breaches), a material adverse change occurs, we, our subsidiaries or our or their respective assets become subject to certain legal proceedings, such as bankruptcy proceedings, we and/or our subsidiaries are unable to pay our or their debts as they become due or default on contracts with third parties which would permit the holder of indebtedness in excess of a certain threshold to accelerate the maturity of such indebtedness or that could cause a material adverse change. Upon the occurrence and for the duration of an event of default, an additional default interest rate equal to 2.0% per annum may apply to all obligations owed under the Oaktree Credit Agreement.</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Oaktree Closing Date, we issued to the Oaktree Lenders of such Tranche A Loan warrants to purchase 647,589 shares (subject to certain adjustments) of our common stock, or the Warrant, at an exercise price per share of $6.69. The Tranche A Warrant is immediately exercisable and the exercise period expires on April 26, 2030. Upon the funding of each of the Tranche B Loan and the Tranche C Loan, we are required to issue to the Oaktree Lenders of the Oaktree Term Loan warrants to purchase 264,922 shares (subject to certain adjustments) of the Company’s common stock on each such funding date at an exercise price equal to the trailing volume weighted average price of the Company’s common stock for the 30 trading days prior to the funding date for each tranche, or the Tranche B Warrant, and the Tranche C Warrant, respectively, and together the Additional Warrants. The Additional Warrants will be immediately exercisable upon issuance, and the exercise period will expire seven years from the date of issuance.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sources and uses of cash, cash equivalents and restricted cash for the years ended December 31, 2023 and 2022.</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(117,354 )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(228,816 )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82,428</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71,705</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(35,067 )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(16,786 )</w:t>
            </w:r>
          </w:p>
        </w:tc>
      </w:tr>
      <w:tr>
        <w:trPr>
          <w:trHeight w:val="20"/>
        </w:trPr>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net cash used in operating activities was $117.4 million, primarily due to a net loss of $113.7 million and changes in our operating assets and liabilities of $59.0 million, partially offset by non-cash charges of $55.3 million. Non-cash charges consisted of $34.1 million of stock-based compensation expense, loss sharing under the 2021 License Agreement with Nestlé of $5.2 million, $8.9 million related to the amortization of right-of-use assets, $6.2 million of depreciation, $0.9 million of net amortization of premiums related to our investments and amortization of debt issuance costs, and $1.6 million of loss from the extinguishment of the Hercules Credit Facility. These were partially offset by a $1.6 million decrease in the fair value of the Additional Warrants. Changes in our operating assets and liabilities during the year ended December 31, 2023 primarily consisted of a $29.1 million increase in prepaid expenses and other current and non-current assets, an increase in inventories of $29.6 million and an increase in collaboration receivable - related party of $8.7 million, as a result of the commencement of our commercial operations since the FDA approval of VOWST in April 2023, an $11.6 million decrease in accounts payable, a $1.3 million decrease in deferred revenue and a $2.2 million decrease in operating lease liabilities, partially offset by a $15.8 million increase in accrued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0" w:name="page91"/>
    <w:bookmarkEnd w:id="90"/>
    <w:p>
      <w:pPr>
        <w:ind w:right="160"/>
        <w:spacing w:after="0" w:line="261" w:lineRule="auto"/>
        <w:rPr>
          <w:sz w:val="20"/>
          <w:szCs w:val="20"/>
          <w:color w:val="auto"/>
        </w:rPr>
      </w:pPr>
      <w:r>
        <w:rPr>
          <w:rFonts w:ascii="Times New Roman" w:cs="Times New Roman" w:eastAsia="Times New Roman" w:hAnsi="Times New Roman"/>
          <w:sz w:val="18"/>
          <w:szCs w:val="18"/>
          <w:color w:val="auto"/>
        </w:rPr>
        <w:t>expenses and other liabilities and an increase in deferred income - related party of $7.7 million. The increase in prepaid expenses and other current and non-current assets and accrued expenses and other liabilities was primarily due to the achievement of the substantial completion milestone pursuant to the Bacthera Agreement. The decrease in deferred revenue was due to recognition of revenue during the year for services performed under both the 2021 License Agreement and the 2016 License Agreement. The decrease in operating lease liabilities was due to the cash payment of lease obligations.</w:t>
      </w:r>
    </w:p>
    <w:p>
      <w:pPr>
        <w:spacing w:after="0" w:line="7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net cash used in operating activities was $228.8 million, primarily due to a net loss of $250.2 million and changes in our operating assets and liabilities of $18.4 million, partially offset by non-cash charges of $39.7 million. Non-cash charges consisted of $25.5 million of stock-based compensation expense, $5.2 million related to the amortization of right-of-use assets, $6.6 million of depreciation, $1.4 million of net amortization of premiums related to our investments and amortization of debt issuance costs, and collaboration loss sharing of $1.0 million related to the 2021 License Agreement with Nestlé. Changes in our operating assets and liabilities during the year ended December 31, 2022 primarily consisted of a $12.6 million increase in prepaid expenses and other current and non-current assets, a $7.1 million decrease in deferred revenue and a $4.2 million decrease in operating lease liabilities, partially offset by a $3.3 million increase in accrued expenses and other liabilities and a $2.2 million increase in accounts payable. The increase in prepaid expenses and other current and non-current assets was primarily due to the remittance of the second milestone payment pursuant to the Bacthera Agreement. The decrease in deferred revenue was due to recognition of revenue during the year for services performed under both the 2021 License Agreement and the 2016 License Agreement. The decrease in operating lease liabilities was due to the cash payment of lease obligations.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investing activities was $10.6 million, primarily due to maturities of investments of $23.0 million, partially offset by purchases of investments of $4.4 million and purchases of property and equipment of $8.0 million.</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investing activities was $82.4 million, primarily due to maturities of investments of $140.5 million, partially offset by purchases of investments of $48.2 million and purchases of property and equipment of $9.8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$71.7 million, consisting of $103.4 million in proceeds from the issuance of the Oaktree Term Loan, offset by $52.9 million for the repayment of the Hercules Credit Facility. Cash provided by financing activities also consisted of $18.2 million from the issuance of common stock under our at the market equity program, net of issuance costs. We also received $0.9 million from the issuance of common stock associated with the exercise of stock options, and $2.2 million in connection with the issuance of common stock under our 2015 Employee Stock Purchase Plan, or ESPP.</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$129.6 million, consisting of $96.7 million of net proceeds received from the Registered Direct Offering that we completed in July 2022, $27.6 million of proceeds received from the New Credit Facility, and $4.4 million from the issuance of common stock via our at the market equity program, net of issuance costs. We also received $1.0 million from the issuance of common stock associated with the exercise of stock options and $1.8 million in connection with the issuance of common stock under our ESPP. These cash inflows were partially offset by principal payments under the Original Credit Facility of $1.9 million.</w:t>
      </w:r>
    </w:p>
    <w:p>
      <w:pPr>
        <w:spacing w:after="0" w:line="3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expenses may increase substantially in connection with our ongoing clinical development activities and our research and development activities. In addition, we expect to continue to incur additional costs associated with operating as a public company. We anticipate that our expenses will increase substantially if and as we:</w:t>
      </w:r>
    </w:p>
    <w:p>
      <w:pPr>
        <w:spacing w:after="0" w:line="68"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commercialization of VOWST;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SER-155 to reduce incidences of gastrointestinal infections, bloodstream infections and GvHD in patients receiving allo-HSCT;</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evaluating preclinical stage programs to reduce incidence of infection, in indications such as cancer neutropenia, chronic liver disease, solid organ transplant, and antimicrobial resistant infections more broadly;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translational research activities, informed by the SER-287 Phase 2b and SER-301 Phase 1b study data, to evaluate the potential to utilize biomarker-based patient selection and stratification in future clinical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our research discovery and development platforms and capabilities to advance our priority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strategic investments in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augment our intellectual property portfolio and opportunistically acquire complementary intellectual property;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and distribution infrastructure and scale-up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our obligations under our agreements with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Restructuring Plan, including its anticipated benefits;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continued increase in inflation rates or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studies and preclinical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 research activities;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Additionally, market volatility resulting from macroeconomic conditions, the COVID-19 pandemic, or other factors could also adversely impact our ability to access capital as and when needed.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Our Hercules Loan Agreement included and our Oaktree Term Loan includes,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shareholders’ ownership interest.</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12 months after the date the consolidated financial statements are issued. The receipt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ind w:right="220"/>
        <w:spacing w:after="0" w:line="261" w:lineRule="auto"/>
        <w:rPr>
          <w:sz w:val="20"/>
          <w:szCs w:val="20"/>
          <w:color w:val="auto"/>
        </w:rPr>
      </w:pPr>
      <w:r>
        <w:rPr>
          <w:rFonts w:ascii="Times New Roman" w:cs="Times New Roman" w:eastAsia="Times New Roman" w:hAnsi="Times New Roman"/>
          <w:sz w:val="18"/>
          <w:szCs w:val="18"/>
          <w:color w:val="auto"/>
        </w:rPr>
        <w:t>potential funding from future equity issuances cannot be considered probable, as these events are outside of our control. Based on our currently available cash resources and our current level of operations and cash flow analysis for the 12-month period subsequent to the date of issuance of the consolidated financial statements, we believe it is reasonably likely that we will require additional funding prior to the end of 2024. Accordingly, management has concluded that these circumstances raise substantial doubt about our ability to continue as a going concern.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include those related to our lease commitments, long-term debt, and long-term manufacturing agreements.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lease commitments reflect payments due under our operating lease agreements for our corporate headquarters, office and laboratory space, and donor collection facilities, that expire between November 2028 and April 2033. As of December 31, 2023, our contractual commitments for our leases were $177.4 million, of which $19.9 million is expected to be paid within one year, and $157.5 million will be paid over the remaining term of such leases. Our lease commitments also include $0.8 million for leases that had not yet commenced as of December 31, 2023. For additional information on our leases and timing of future payments, please read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this Form 10-K.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commitments due for our term loan under our arrangement with Oaktree total $14.4 million in interest-only payments through December 31, 2024. Our remaining commitments are due through April 2029, and include principal and interest payments of $153.3 million, and an additional fee upon maturity of the loan of $1.7 million. The interest rate in effect at December 31, 2023 was 12.875%. See Note 9,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to the consolidated financial statements for further discussion of the Oaktree Term Loan.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Bacthera Long Term Manufacturing Agreement</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commitments due under the Bacthera Agreement, inclusive of construction fees and annual operating fees, total $288.8 million. Under the Bacthera Agreement $30.0 million was due upon substantial completion of our dedicated production suite, which occurred in late 2023, and remains unpaid, accruing interest in accordance with the Bacthera Agreement. The remaining construction milestones are approximately $12.6 million and $29.2 million, which will be due and payable upon provisional acceptance and final acceptance, respectively, and are expected to be due within the next 12 months. We have entered into negotiations with Bacthera to realign the timing of milestone payments. The Bacthera Agreement also includes $14.6 million in operating fees expected to be paid in the next year, with the remaining $202.3 million in operating fees paid over the remaining 9 years of the contract, beginning in 2025.</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jc w:val="both"/>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standards see Note 2, Summary of Significant Accounting Policies, to our consolidated financial statements included in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Interest Rate Fluctuation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 related to changes in interest rates.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72" w:lineRule="exact"/>
        <w:rPr>
          <w:sz w:val="20"/>
          <w:szCs w:val="20"/>
          <w:color w:val="auto"/>
        </w:rPr>
      </w:pPr>
    </w:p>
    <w:p>
      <w:pPr>
        <w:ind w:firstLine="509"/>
        <w:spacing w:after="0" w:line="227" w:lineRule="exact"/>
        <w:rPr>
          <w:sz w:val="20"/>
          <w:szCs w:val="20"/>
          <w:color w:val="auto"/>
        </w:rPr>
      </w:pPr>
      <w:r>
        <w:rPr>
          <w:rFonts w:ascii="Times New Roman" w:cs="Times New Roman" w:eastAsia="Times New Roman" w:hAnsi="Times New Roman"/>
          <w:sz w:val="18"/>
          <w:szCs w:val="18"/>
          <w:color w:val="auto"/>
        </w:rPr>
        <w:t>As of December 31, 2023, we had outstanding borrowings under the Oaktree Term Loan. Borrowings under the Oaktree Term Loan bear interest at a rate per annum equal to three-month term Secured Overnight Financing Rate (subject to a 2.500% floor and a 5.000% cap), plus an applicable margin of 7.875%, payable quarterly in arrears. An immediate 10% change in the Secured Overnight Financing Rate would not have a material impact on our debt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obligations, financial position or results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has concluded that as of December 31, 2023, our disclosure controls and procedures were effective at the reasonable assurance level.</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Securities Exchange Act of 1934, as amended.</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2023, our internal control over financial reporting was effective.</w:t>
      </w:r>
    </w:p>
    <w:p>
      <w:pPr>
        <w:spacing w:after="0" w:line="11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As we are a non-accelerated filer, management’s report is not subject to attestation by our independent registered public accounting firm.</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4" w:name="page95"/>
    <w:bookmarkEnd w:id="94"/>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093" w:right="12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32"/>
              <w:spacing w:after="0"/>
              <w:rPr>
                <w:sz w:val="20"/>
                <w:szCs w:val="20"/>
                <w:color w:val="auto"/>
              </w:rPr>
            </w:pPr>
            <w:r>
              <w:rPr>
                <w:rFonts w:ascii="Times New Roman" w:cs="Times New Roman" w:eastAsia="Times New Roman" w:hAnsi="Times New Roman"/>
                <w:sz w:val="18"/>
                <w:szCs w:val="18"/>
                <w:b w:val="1"/>
                <w:bCs w:val="1"/>
                <w:color w:val="auto"/>
                <w:w w:val="96"/>
              </w:rPr>
              <w:t>PART III</w:t>
            </w:r>
          </w:p>
        </w:tc>
      </w:tr>
      <w:tr>
        <w:trPr>
          <w:trHeight w:val="324"/>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24"/>
        </w:trPr>
        <w:tc>
          <w:tcPr>
            <w:tcW w:w="3320" w:type="dxa"/>
            <w:vAlign w:val="bottom"/>
          </w:tcPr>
          <w:p>
            <w:pPr>
              <w:spacing w:after="0"/>
              <w:rPr>
                <w:sz w:val="24"/>
                <w:szCs w:val="24"/>
                <w:color w:val="auto"/>
              </w:rPr>
            </w:pPr>
          </w:p>
        </w:tc>
        <w:tc>
          <w:tcPr>
            <w:tcW w:w="7920" w:type="dxa"/>
            <w:vAlign w:val="bottom"/>
            <w:gridSpan w:val="6"/>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Director Biographical Information</w:t>
            </w:r>
          </w:p>
        </w:tc>
      </w:tr>
      <w:tr>
        <w:trPr>
          <w:trHeight w:val="378"/>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5"/>
        </w:trPr>
        <w:tc>
          <w:tcPr>
            <w:tcW w:w="33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Dennis A. Ausiello, M.D. (3)(4)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ind w:left="219"/>
              <w:spacing w:after="0" w:line="205" w:lineRule="exact"/>
              <w:rPr>
                <w:sz w:val="20"/>
                <w:szCs w:val="20"/>
                <w:color w:val="auto"/>
              </w:rPr>
            </w:pPr>
            <w:r>
              <w:rPr>
                <w:rFonts w:ascii="Times New Roman" w:cs="Times New Roman" w:eastAsia="Times New Roman" w:hAnsi="Times New Roman"/>
                <w:sz w:val="18"/>
                <w:szCs w:val="18"/>
                <w:color w:val="auto"/>
                <w:w w:val="99"/>
              </w:rPr>
              <w:t>78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Berenson (3)</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R. Biondi (2)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Willard H. Dere, M.D. (1)(4)</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Claire M. Fraser, Ph.D. (1)(4)</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Kurt C. Graves (2)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N. Kender (1)(2)</w:t>
            </w:r>
          </w:p>
        </w:tc>
        <w:tc>
          <w:tcPr>
            <w:tcW w:w="190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1"/>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D. Shaff</w:t>
            </w:r>
          </w:p>
        </w:tc>
        <w:tc>
          <w:tcPr>
            <w:tcW w:w="1900" w:type="dxa"/>
            <w:vAlign w:val="bottom"/>
            <w:tcBorders>
              <w:bottom w:val="single" w:sz="8" w:color="auto"/>
            </w:tcBorders>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48</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90"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audit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compensation and talent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nominating and corporate governance committee.</w:t>
      </w:r>
    </w:p>
    <w:p>
      <w:pPr>
        <w:spacing w:after="0" w:line="11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Member of the science and clinical development committee.</w:t>
      </w:r>
    </w:p>
    <w:p>
      <w:pPr>
        <w:spacing w:after="0" w:line="1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Dennis A. Ausiello, M.D., </w:t>
      </w:r>
      <w:r>
        <w:rPr>
          <w:rFonts w:ascii="Times New Roman" w:cs="Times New Roman" w:eastAsia="Times New Roman" w:hAnsi="Times New Roman"/>
          <w:sz w:val="18"/>
          <w:szCs w:val="18"/>
          <w:color w:val="231F20"/>
        </w:rPr>
        <w:t>has served as a member of our board of directors since April 2015. Dr. Ausiello has served as the Jackson Distinguished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Professor 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as Vice Chairman of the board of directors of Spexis AG, a clinical-stage biopharmaceutical company, since December 2021,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i w:val="1"/>
          <w:iCs w:val="1"/>
          <w:color w:val="231F20"/>
        </w:rPr>
        <w:t xml:space="preserve">Stephen A. Berenson </w:t>
      </w:r>
      <w:r>
        <w:rPr>
          <w:rFonts w:ascii="Times New Roman" w:cs="Times New Roman" w:eastAsia="Times New Roman" w:hAnsi="Times New Roman"/>
          <w:sz w:val="17"/>
          <w:szCs w:val="17"/>
          <w:color w:val="231F20"/>
        </w:rPr>
        <w:t>has served as Chairman of our board of directors since December 2019 and as a member of our board of directors since August 2019.</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Mr. Berenson has been a Managing Partner at Flagship Pioneering, a life sciences innovation firm which conceives, creates, resources and develops first-in-category bioplatform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a privately held pharmaceutical company, since July 2021, and has served on the board of directors of Moderna, Inc., a pharmaceutical and biotechnology company, since October 2017.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6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Paul R. Biondi </w:t>
      </w:r>
      <w:r>
        <w:rPr>
          <w:rFonts w:ascii="Times New Roman" w:cs="Times New Roman" w:eastAsia="Times New Roman" w:hAnsi="Times New Roman"/>
          <w:sz w:val="18"/>
          <w:szCs w:val="18"/>
          <w:color w:val="231F20"/>
        </w:rPr>
        <w:t>has served as a member of our board of directors since March 2020. Mr. Biondi is an Executive Partner and President of Pioneering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Medicines at Flagship Pioneering, a life sciences innovation firm which conceives, creates, resources and develops first-in-category bioplatform companies, roles he has held since November 2019. Mr. Biondi joined Flagship Pioneering following a seventeen-year tenure at Bristol-Myers Squibb, or BMS, a pharmaceutical company, where he was most recently the 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231F20"/>
        </w:rPr>
        <w:t>Willard H. Dere, M.D.</w:t>
      </w:r>
      <w:r>
        <w:rPr>
          <w:rFonts w:ascii="Times New Roman" w:cs="Times New Roman" w:eastAsia="Times New Roman" w:hAnsi="Times New Roman"/>
          <w:sz w:val="18"/>
          <w:szCs w:val="18"/>
          <w:color w:val="231F20"/>
        </w:rPr>
        <w:t>, has served as a member our board of directors since July 2017. Dr. Dere has been Professor Emeritus, Department of Internal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Medicine, at the University of Utah School of Medicine since July 2022. Prior to retirement, and beginning in November 2014, Dr. Dere held multiple roles at the University of Utah Health Sciences Center, including Associate Vice President for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ind w:right="100"/>
        <w:spacing w:after="0" w:line="254" w:lineRule="auto"/>
        <w:rPr>
          <w:sz w:val="20"/>
          <w:szCs w:val="20"/>
          <w:color w:val="auto"/>
        </w:rPr>
      </w:pPr>
      <w:r>
        <w:rPr>
          <w:rFonts w:ascii="Times New Roman" w:cs="Times New Roman" w:eastAsia="Times New Roman" w:hAnsi="Times New Roman"/>
          <w:sz w:val="18"/>
          <w:szCs w:val="18"/>
          <w:color w:val="231F20"/>
        </w:rPr>
        <w:t>Research, Co-Director of the Utah Clinical and Translational Science Institute, and Co-Director of the Center for Genomic Medicine. Prior to his professorship, from 2003 until 2014, Dr. Dere worked at Amgen, where he was Senior Vice President and head of Global Development, and led development programs in multiple therapeutic areas. From 1989 to 2014, he worked at Eli Lilly and led multiple development programs, and also worked in clinical pharmacology, regulatory affairs and safety. Dr. Dere has served on the boards of directors of BioMarin Pharmaceutical, Inc. since 2016, Mersana Therapeutics, Inc. since 2018, and Metagenomi, Inc. since August 2021, and previously served on the boards of directors of Ocera Therapeutics and Radius Health.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231F20"/>
        </w:rPr>
        <w:t>Claire M. Fraser, Ph.D.</w:t>
      </w:r>
      <w:r>
        <w:rPr>
          <w:rFonts w:ascii="Times New Roman" w:cs="Times New Roman" w:eastAsia="Times New Roman" w:hAnsi="Times New Roman"/>
          <w:sz w:val="18"/>
          <w:szCs w:val="18"/>
          <w:color w:val="231F20"/>
        </w:rPr>
        <w:t>, has served as a member of our board of directors since January 2023. Since 2007, Dr. Fraser has been the director of the Institute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Genome Sciences and a Professor of Medicine and Microbiology and Immunology at the University of Maryland School of Medicine in Baltimore, Maryland. From 1998 to 2007, she served as president and director of The Institute for Genomic Research, a not-for-profit research organization engaged in human and microbial genomics studies. Dr. Fraser has served on the board of directors of Becton, Dickinson, and Company, a medical technology company, since 2006, and previously served as the Chair of the Board and a director of the American Association for the Advancement of Science. Dr. Fraser received her bachelor’s degree in Biology from Rensselaer Polytechnic Institute and her Ph.D. in Pharmacology from State University of New York-Buffalo. We believe Dr. Fraser is qualified to serve on our board of directors due to her extensive academic experience and her knowledge of the microbiome industry.</w:t>
      </w:r>
    </w:p>
    <w:p>
      <w:pPr>
        <w:spacing w:after="0" w:line="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Kurt C. Graves </w:t>
      </w:r>
      <w:r>
        <w:rPr>
          <w:rFonts w:ascii="Times New Roman" w:cs="Times New Roman" w:eastAsia="Times New Roman" w:hAnsi="Times New Roman"/>
          <w:sz w:val="18"/>
          <w:szCs w:val="18"/>
          <w:color w:val="231F20"/>
        </w:rPr>
        <w:t>has served as a member of our board of directors since November 2015. Mr. Graves has served as the Chairman, President and Chief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Executive Officer of i20 Therapeutics, Inc., a biotechnology company, since August 2023, and he previously served as the Executive Chairman of its board of directors from August 2021 to August 2023.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senior leadership positions at Novartis Pharmaceuticals Corporation, or Novartis Corp., from 1999 to June 2007, including the Global General Medicines Business Unit Head and Global Chief Marketing Officer for the pharmaceuticals division of Novartis Corp. from September 2003 to June 2007. Prior to Novartis Corp., Mr. Graves held senior leadership positions at Merck and Astra-Merck where he led the U.S. Business Unit responsible for Prilosec, Nexium and Prilosec OTC over a 10-year period. He served as Chairman on the board of directors of Radius Health, Inc. from May 2011 to March 2020, and as a director on Achillion Pharmaceuticals, Inc., or Achillion, from June 2012 to January 2020, when Achillion was acquired.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Richard N. Kender </w:t>
      </w:r>
      <w:r>
        <w:rPr>
          <w:rFonts w:ascii="Times New Roman" w:cs="Times New Roman" w:eastAsia="Times New Roman" w:hAnsi="Times New Roman"/>
          <w:sz w:val="18"/>
          <w:szCs w:val="18"/>
          <w:color w:val="231F20"/>
        </w:rPr>
        <w:t>has served as a member of our board of directors since October 2014. From October 1978 to September 2013, Mr. Kender held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positions in a variety of corporate areas at Merck &amp; Co., Inc., or Merck, a pharmaceutical company, most recently serving as Senior Vice President of Business Development and Corporate Licensing. Mr. Kender has served on the boards of directors of Poxel S.A., a clinical stage biopharmaceutical company, since March 2015 and Bicycle Therapeutics PLC since July 2019. He previously served on the boards of directors of INC Research Holdings, Inc. (now known as Syneos Health) between December 2014 and August 2017, Abide Therapeutics, Inc., a privately held company, between December 2015 and May 2019, and ReViral Ltd., a privately held company, from November 2019 to June 2022.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231F20"/>
        </w:rPr>
        <w:t xml:space="preserve">Eric D. Shaff </w:t>
      </w:r>
      <w:r>
        <w:rPr>
          <w:rFonts w:ascii="Times New Roman" w:cs="Times New Roman" w:eastAsia="Times New Roman" w:hAnsi="Times New Roman"/>
          <w:sz w:val="18"/>
          <w:szCs w:val="18"/>
          <w:color w:val="231F20"/>
        </w:rPr>
        <w:t>has served as our President and Chief Executive Officer and a member of our board of directors since January 2019. Previously, he served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previously served on the board of directors of Sigilon Therapeutics, Inc. from 2017 to August 2023.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8380" w:type="dxa"/>
            <w:vAlign w:val="bottom"/>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0" w:type="dxa"/>
            <w:vAlign w:val="bottom"/>
          </w:tcPr>
          <w:p>
            <w:pPr>
              <w:spacing w:after="0"/>
              <w:rPr>
                <w:sz w:val="1"/>
                <w:szCs w:val="1"/>
                <w:color w:val="auto"/>
              </w:rPr>
            </w:pPr>
          </w:p>
        </w:tc>
      </w:tr>
      <w:tr>
        <w:trPr>
          <w:trHeight w:val="439"/>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Eric D. Shaff</w:t>
            </w:r>
            <w:r>
              <w:rPr>
                <w:rFonts w:ascii="Times New Roman" w:cs="Times New Roman" w:eastAsia="Times New Roman" w:hAnsi="Times New Roman"/>
                <w:sz w:val="24"/>
                <w:szCs w:val="24"/>
                <w:color w:val="auto"/>
                <w:vertAlign w:val="superscript"/>
              </w:rPr>
              <w:t>(1)(2)</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David Arkowitz</w:t>
            </w:r>
            <w:r>
              <w:rPr>
                <w:rFonts w:ascii="Times New Roman" w:cs="Times New Roman" w:eastAsia="Times New Roman" w:hAnsi="Times New Roman"/>
                <w:sz w:val="24"/>
                <w:szCs w:val="24"/>
                <w:color w:val="auto"/>
                <w:vertAlign w:val="superscript"/>
              </w:rPr>
              <w:t>(2)</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 Business</w:t>
            </w:r>
          </w:p>
        </w:tc>
        <w:tc>
          <w:tcPr>
            <w:tcW w:w="0" w:type="dxa"/>
            <w:vAlign w:val="bottom"/>
          </w:tcPr>
          <w:p>
            <w:pPr>
              <w:spacing w:after="0"/>
              <w:rPr>
                <w:sz w:val="1"/>
                <w:szCs w:val="1"/>
                <w:color w:val="auto"/>
              </w:rPr>
            </w:pPr>
          </w:p>
        </w:tc>
      </w:tr>
      <w:tr>
        <w:trPr>
          <w:trHeight w:val="229"/>
        </w:trPr>
        <w:tc>
          <w:tcPr>
            <w:tcW w:w="2860" w:type="dxa"/>
            <w:vAlign w:val="bottom"/>
            <w:vMerge w:val="continue"/>
          </w:tcPr>
          <w:p>
            <w:pPr>
              <w:spacing w:after="0"/>
              <w:rPr>
                <w:sz w:val="19"/>
                <w:szCs w:val="19"/>
                <w:color w:val="auto"/>
              </w:rPr>
            </w:pP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DesRosier</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 Ege, Ph.D.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Technology Officer</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Henn, Ph.D.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Scientific Officer</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von Moltke, M.D.</w:t>
            </w:r>
          </w:p>
        </w:tc>
        <w:tc>
          <w:tcPr>
            <w:tcW w:w="266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Medical Officer</w:t>
            </w:r>
          </w:p>
        </w:tc>
        <w:tc>
          <w:tcPr>
            <w:tcW w:w="0" w:type="dxa"/>
            <w:vAlign w:val="bottom"/>
          </w:tcPr>
          <w:p>
            <w:pPr>
              <w:spacing w:after="0"/>
              <w:rPr>
                <w:sz w:val="1"/>
                <w:szCs w:val="1"/>
                <w:color w:val="auto"/>
              </w:rPr>
            </w:pPr>
          </w:p>
        </w:tc>
      </w:tr>
      <w:tr>
        <w:trPr>
          <w:trHeight w:val="241"/>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Teresa L. Young, Ph.D.</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and Strategy Officer</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concerning Eric D. Shaff, our President and Chief Executive Officer, may be found above in the section entitled “Director Biographical Information.”</w:t>
      </w:r>
    </w:p>
    <w:p>
      <w:pPr>
        <w:spacing w:after="0" w:line="3" w:lineRule="exact"/>
        <w:rPr>
          <w:rFonts w:ascii="Times New Roman" w:cs="Times New Roman" w:eastAsia="Times New Roman" w:hAnsi="Times New Roman"/>
          <w:sz w:val="14"/>
          <w:szCs w:val="14"/>
          <w:color w:val="auto"/>
        </w:rPr>
      </w:pPr>
    </w:p>
    <w:p>
      <w:pPr>
        <w:ind w:left="520" w:right="60" w:hanging="512"/>
        <w:spacing w:after="0" w:line="230" w:lineRule="auto"/>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26, 2024, the Company announced that David Arkowitz is retiring as Executive Vice President, Chief Financial Officer and Head of Business Development, principal financial officer and principal accounting officer of the Company, effective as of March 15, 2024. Effective as of Mr. Arkowitz’s retirement, the Board has designated Eric Shaff to serve as the Company’s interim principal financial officer and interim principal accounting officer until the expected commencement of employment of Marella Thorell as the Company’s Executive Vice President and Chief Financial Officer, principal financial officer, and principal accounting officer on or about March 25, 2024.</w:t>
      </w:r>
    </w:p>
    <w:p>
      <w:pPr>
        <w:spacing w:after="0" w:line="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Arkowitz </w:t>
      </w:r>
      <w:r>
        <w:rPr>
          <w:rFonts w:ascii="Times New Roman" w:cs="Times New Roman" w:eastAsia="Times New Roman" w:hAnsi="Times New Roman"/>
          <w:sz w:val="18"/>
          <w:szCs w:val="18"/>
          <w:color w:val="auto"/>
        </w:rPr>
        <w:t>has served as our Executive Vice President, Chief Financial Officer and Head of Business Development since June 2021.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of Flexion Therapeutics, Inc., a biotechnology company,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 Mr. Arkowitz currently serves on the board of directors of Kineta, Inc., and has previously served on the boards of directors of F-star Therapeutics, Inc., Yumanity Therapeutics, Inc., Spring Bank Pharmaceuticals, Inc. and Proteostasis Therapeutics, Inc. He obtained his B.A. in mathematics at Brandeis University and his M.B.A. in finance at Columbia University Business School.</w:t>
      </w:r>
    </w:p>
    <w:p>
      <w:pPr>
        <w:spacing w:after="0" w:line="7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J. DesRosier </w:t>
      </w:r>
      <w:r>
        <w:rPr>
          <w:rFonts w:ascii="Times New Roman" w:cs="Times New Roman" w:eastAsia="Times New Roman" w:hAnsi="Times New Roman"/>
          <w:sz w:val="18"/>
          <w:szCs w:val="18"/>
          <w:color w:val="auto"/>
        </w:rPr>
        <w:t>has served as our Chief Legal Officer, Executive Vice President, and Secretary since May 2016. Previously, he served as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 Ege, Ph.D., </w:t>
      </w:r>
      <w:r>
        <w:rPr>
          <w:rFonts w:ascii="Times New Roman" w:cs="Times New Roman" w:eastAsia="Times New Roman" w:hAnsi="Times New Roman"/>
          <w:sz w:val="18"/>
          <w:szCs w:val="18"/>
          <w:color w:val="auto"/>
        </w:rPr>
        <w:t>has served as our Executive Vice President and Chief Technology Officer since October 2020. Previously, Dr. Ege served in a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Matthew Henn, Ph.D., </w:t>
      </w:r>
      <w:r>
        <w:rPr>
          <w:rFonts w:ascii="Times New Roman" w:cs="Times New Roman" w:eastAsia="Times New Roman" w:hAnsi="Times New Roman"/>
          <w:sz w:val="18"/>
          <w:szCs w:val="18"/>
          <w:color w:val="auto"/>
        </w:rPr>
        <w:t>has served as our Executive Vice President and Chief Scientific Officer since February 2019. He has been involved in the discovery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of multiple microbiome therapeutics across infectious, inflammatory, and oncology indications, and has authored over 75 peer-reviewed publications. His research has focused on microbial populations and the functional role of microbes in both environmental and human disease applications, and the development of genomic and functional technologies to study these populations. Prior to participating in the launch of our company in 2012, he was the Director of Viral Genomics and Assistant Director of the Genome Sequencing Center for Infectious Diseases at the Broad Institute of Massachusetts Institute of Technology and Harvard. He has served on various National Institutes of Health, or NIH, working groups on antimicrobial resistance and microbiome research, as a scientific advisor for NIH’s Viral Pathogen Bioinformatics Resource Center, as an ad-hoc reviewer and editor of various peer-reviewed journals, and as a scientific advisor to non-profit and for-profit organizations. He currently serves on the Microbiome Therapeutics Innovation Group board of directors, the World Microbiome Partnership steering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ind w:right="100"/>
        <w:spacing w:after="0" w:line="266" w:lineRule="auto"/>
        <w:rPr>
          <w:sz w:val="20"/>
          <w:szCs w:val="20"/>
          <w:color w:val="auto"/>
        </w:rPr>
      </w:pPr>
      <w:r>
        <w:rPr>
          <w:rFonts w:ascii="Times New Roman" w:cs="Times New Roman" w:eastAsia="Times New Roman" w:hAnsi="Times New Roman"/>
          <w:sz w:val="18"/>
          <w:szCs w:val="18"/>
          <w:color w:val="auto"/>
        </w:rPr>
        <w:t>committee, Life Sciences Cares board of advisors, and the scientific advisory board of Growcentia, Inc., an agricultural microbiome company. Dr. Henn is formally trained in ecology and evolutionary biology and earned his Ph.D. in ecosystem sciences from the University of California at Berkeley, where he was a NASA Earth Systems Sciences Fellow, and trained as a NSF Postdoctoral Fellow in Microbiology at Duke University.</w:t>
      </w:r>
    </w:p>
    <w:p>
      <w:pPr>
        <w:spacing w:after="0" w:line="6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Lisa von Moltke, M.D., </w:t>
      </w:r>
      <w:r>
        <w:rPr>
          <w:rFonts w:ascii="Times New Roman" w:cs="Times New Roman" w:eastAsia="Times New Roman" w:hAnsi="Times New Roman"/>
          <w:sz w:val="18"/>
          <w:szCs w:val="18"/>
          <w:color w:val="auto"/>
        </w:rPr>
        <w:t>has served as our Executive Vice President and Chief Medical Officer since March 2020. Previously, Dr. von Moltke worked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Dr. von Moltke has served on the board of directors of Cara Therapeutics, Inc. since November 2022.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Teresa L. Young, Ph.D., </w:t>
      </w:r>
      <w:r>
        <w:rPr>
          <w:rFonts w:ascii="Times New Roman" w:cs="Times New Roman" w:eastAsia="Times New Roman" w:hAnsi="Times New Roman"/>
          <w:sz w:val="18"/>
          <w:szCs w:val="18"/>
          <w:color w:val="auto"/>
        </w:rPr>
        <w:t>has served as our Executive Vice President, Chief Commercial and Strategy Officer since June 2020. Previously, Dr. Young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all officers, directors and employees, which is available on our website at www.serestherapeutics.com in the “Investors and News”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640" w:firstLine="578"/>
        <w:spacing w:after="0" w:line="282" w:lineRule="auto"/>
        <w:rPr>
          <w:sz w:val="20"/>
          <w:szCs w:val="20"/>
          <w:color w:val="auto"/>
        </w:rPr>
      </w:pPr>
      <w:r>
        <w:rPr>
          <w:rFonts w:ascii="Times New Roman" w:cs="Times New Roman" w:eastAsia="Times New Roman" w:hAnsi="Times New Roman"/>
          <w:sz w:val="18"/>
          <w:szCs w:val="18"/>
          <w:color w:val="auto"/>
        </w:rPr>
        <w:t>The remainder of the information required to be disclosed by this item will be contained in the Proxy Statement for our Annual Meeting of Stockholders to be held in 2024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2024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2024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2024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contained in the Proxy Statement for our Annual Meeting of Stockholders to be held in 2024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all exhibits filed as a part of this Annual Report on Form 10-K.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1"/>
        </w:trPr>
        <w:tc>
          <w:tcPr>
            <w:tcW w:w="10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1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1"/>
                <w:szCs w:val="11"/>
                <w:color w:val="auto"/>
              </w:rPr>
            </w:pPr>
          </w:p>
        </w:tc>
        <w:tc>
          <w:tcPr>
            <w:tcW w:w="13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1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9"/>
              </w:rPr>
            </w:pPr>
            <w:hyperlink r:id="rId147">
              <w:r>
                <w:rPr>
                  <w:rFonts w:ascii="Times New Roman" w:cs="Times New Roman" w:eastAsia="Times New Roman" w:hAnsi="Times New Roman"/>
                  <w:sz w:val="18"/>
                  <w:szCs w:val="18"/>
                  <w:color w:val="auto"/>
                  <w:w w:val="99"/>
                </w:rPr>
                <w:t>Restated Certificate of Incorporation</w:t>
              </w:r>
            </w:hyperlink>
          </w:p>
        </w:tc>
        <w:tc>
          <w:tcPr>
            <w:tcW w:w="2140" w:type="dxa"/>
            <w:vAlign w:val="bottom"/>
            <w:gridSpan w:val="12"/>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7/1/15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Amendment to Restated Certificate of</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6/28/23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Incorporation of Registrant, dated June 27, 2023</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Bylaws</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1/2/24</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Specimen Stock Certificate evidencing the shares of common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50">
              <w:r>
                <w:rPr>
                  <w:rFonts w:ascii="Times New Roman" w:cs="Times New Roman" w:eastAsia="Times New Roman" w:hAnsi="Times New Roman"/>
                  <w:sz w:val="18"/>
                  <w:szCs w:val="18"/>
                  <w:color w:val="auto"/>
                </w:rPr>
                <w:t>stock</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4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Warrant, dated April 27, 2023, issued by the Registrant</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to the Lenders, together with a schedule of warrant holders</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2015 Incentive Award Plan, as amended and forms of award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8"/>
              </w:rPr>
            </w:pPr>
            <w:hyperlink r:id="rId153">
              <w:r>
                <w:rPr>
                  <w:rFonts w:ascii="Times New Roman" w:cs="Times New Roman" w:eastAsia="Times New Roman" w:hAnsi="Times New Roman"/>
                  <w:sz w:val="18"/>
                  <w:szCs w:val="18"/>
                  <w:color w:val="auto"/>
                  <w:w w:val="98"/>
                </w:rPr>
                <w:t>2015 Employee Stock Purchase Plan</w:t>
              </w:r>
            </w:hyperlink>
          </w:p>
        </w:tc>
        <w:tc>
          <w:tcPr>
            <w:tcW w:w="2140" w:type="dxa"/>
            <w:vAlign w:val="bottom"/>
            <w:gridSpan w:val="12"/>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10.3#</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2012 Stock Incentive Plan, as amended and form of option</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333-204484</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agreement thereunder</w:t>
              </w:r>
            </w:hyperlink>
          </w:p>
        </w:tc>
        <w:tc>
          <w:tcPr>
            <w:tcW w:w="316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2022 Employment Inducement Award Plan and forms of award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agreements thereunder</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10.5#</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Non-Employee Director Compensation Program</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10.5</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3/7/23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47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Lease, dated September 22, 2021, by and between the Registrant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and HCP/KING 101 CPD LLC</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Second Amended and Restated Employment Agreement, dated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January 29, 2021, by and between the Registrant and Eric 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2"/>
              </w:rPr>
            </w:pPr>
            <w:hyperlink r:id="rId157">
              <w:r>
                <w:rPr>
                  <w:rFonts w:ascii="Times New Roman" w:cs="Times New Roman" w:eastAsia="Times New Roman" w:hAnsi="Times New Roman"/>
                  <w:sz w:val="18"/>
                  <w:szCs w:val="18"/>
                  <w:color w:val="auto"/>
                  <w:w w:val="92"/>
                </w:rPr>
                <w:t>Shaff</w:t>
              </w:r>
            </w:hyperlink>
          </w:p>
        </w:tc>
        <w:tc>
          <w:tcPr>
            <w:tcW w:w="440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Amended and Restated Employment Agreement, dated January</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29, 2021, by and between the Registrant and Thomas J.</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5"/>
              </w:rPr>
            </w:pPr>
            <w:hyperlink r:id="rId158">
              <w:r>
                <w:rPr>
                  <w:rFonts w:ascii="Times New Roman" w:cs="Times New Roman" w:eastAsia="Times New Roman" w:hAnsi="Times New Roman"/>
                  <w:sz w:val="18"/>
                  <w:szCs w:val="18"/>
                  <w:color w:val="auto"/>
                  <w:w w:val="95"/>
                </w:rPr>
                <w:t>DesRosier</w:t>
              </w:r>
            </w:hyperlink>
          </w:p>
        </w:tc>
        <w:tc>
          <w:tcPr>
            <w:tcW w:w="404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Second Amended and Restated Employment Agreement, dated</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January 29, 2021, by and between the Registrant and Matthew</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R. Henn, Ph.D.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Amended and Restated Employment Agreement, dated January</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8/3/21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29, 2021, by and between the Registrant and David S. Ege,</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180" w:type="dxa"/>
            <w:vAlign w:val="bottom"/>
            <w:gridSpan w:val="6"/>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2"/>
              </w:rPr>
            </w:pPr>
            <w:hyperlink r:id="rId160">
              <w:r>
                <w:rPr>
                  <w:rFonts w:ascii="Times New Roman" w:cs="Times New Roman" w:eastAsia="Times New Roman" w:hAnsi="Times New Roman"/>
                  <w:sz w:val="18"/>
                  <w:szCs w:val="18"/>
                  <w:color w:val="auto"/>
                  <w:w w:val="92"/>
                </w:rPr>
                <w:t>Ph.D.</w:t>
              </w:r>
            </w:hyperlink>
          </w:p>
        </w:tc>
        <w:tc>
          <w:tcPr>
            <w:tcW w:w="438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4780" w:type="dxa"/>
            <w:vAlign w:val="bottom"/>
            <w:gridSpan w:val="22"/>
          </w:tcPr>
          <w:p>
            <w:pPr>
              <w:spacing w:after="0"/>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Letter Agreement, dated November 4, 2021, by and between the</w:t>
              </w:r>
            </w:hyperlink>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001-37465</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11/10/21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80" w:type="dxa"/>
            <w:vAlign w:val="bottom"/>
            <w:gridSpan w:val="22"/>
          </w:tcPr>
          <w:p>
            <w:pPr>
              <w:spacing w:after="0" w:line="196" w:lineRule="exact"/>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Registrant and David S. Ege, Ph.D.</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Borders>
              <w:top w:val="single" w:sz="8" w:color="0000EE"/>
            </w:tcBorders>
            <w:gridSpan w:val="9"/>
          </w:tcPr>
          <w:p>
            <w:pPr>
              <w:spacing w:after="0"/>
              <w:rPr>
                <w:sz w:val="24"/>
                <w:szCs w:val="24"/>
                <w:color w:val="auto"/>
              </w:rPr>
            </w:pPr>
          </w:p>
        </w:tc>
        <w:tc>
          <w:tcPr>
            <w:tcW w:w="19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081"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Amended and Restated Employment Agreement, dated January</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29, 2021, by and between the Registrant and Teresa L. Young</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Amended and Restated Employment Agreement, dated January</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29, 2021, by and between the Registrant and Lisa von Moltke,</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M.D.</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Employment Agreement, dated May 10, 2021 by and between</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the Registrant and David Arkowitz</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Collaboration and License Agreement, dated January 9, 2016,</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by and between the Registrant and Société des Produits Nestlé</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S.A.</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Amendment No. 1 to the Collaboration and License Agreement,</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dated August 10, 2016, by and between the Registrant and</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6"/>
              </w:rPr>
            </w:pPr>
            <w:hyperlink r:id="rId168">
              <w:r>
                <w:rPr>
                  <w:rFonts w:ascii="Times New Roman" w:cs="Times New Roman" w:eastAsia="Times New Roman" w:hAnsi="Times New Roman"/>
                  <w:sz w:val="18"/>
                  <w:szCs w:val="18"/>
                  <w:color w:val="auto"/>
                  <w:w w:val="96"/>
                </w:rPr>
                <w:t>Nestec Ltd.</w:t>
              </w:r>
            </w:hyperlink>
          </w:p>
        </w:tc>
        <w:tc>
          <w:tcPr>
            <w:tcW w:w="382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Letter Agreement dated October 30, 2018, by and between the</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69">
              <w:r>
                <w:rPr>
                  <w:rFonts w:ascii="Times New Roman" w:cs="Times New Roman" w:eastAsia="Times New Roman" w:hAnsi="Times New Roman"/>
                  <w:sz w:val="18"/>
                  <w:szCs w:val="18"/>
                  <w:color w:val="auto"/>
                </w:rPr>
                <w:t>Registrant and Nestec Ltd.</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Securities Purchase Agreement, dated August 12, 2020 by and</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3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w w:val="99"/>
              </w:rPr>
            </w:pPr>
            <w:hyperlink r:id="rId170">
              <w:r>
                <w:rPr>
                  <w:rFonts w:ascii="Times New Roman" w:cs="Times New Roman" w:eastAsia="Times New Roman" w:hAnsi="Times New Roman"/>
                  <w:sz w:val="18"/>
                  <w:szCs w:val="18"/>
                  <w:color w:val="auto"/>
                  <w:w w:val="99"/>
                </w:rPr>
                <w:t>between the Company and Société des Produits Nestlé S.A.</w:t>
              </w:r>
            </w:hyperlink>
          </w:p>
        </w:tc>
        <w:tc>
          <w:tcPr>
            <w:tcW w:w="3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License Agreement, dated July 1, 2021, by and between the</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auto"/>
              </w:rPr>
            </w:pPr>
            <w:hyperlink r:id="rId171">
              <w:r>
                <w:rPr>
                  <w:rFonts w:ascii="Times New Roman" w:cs="Times New Roman" w:eastAsia="Times New Roman" w:hAnsi="Times New Roman"/>
                  <w:sz w:val="18"/>
                  <w:szCs w:val="18"/>
                  <w:color w:val="auto"/>
                </w:rPr>
                <w:t>Registrant and NHSc Pharma Partners</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Amendment No. 1 to License Agreement, dated March 24,</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auto"/>
                <w:w w:val="99"/>
              </w:rPr>
            </w:pPr>
            <w:hyperlink r:id="rId172">
              <w:r>
                <w:rPr>
                  <w:rFonts w:ascii="Times New Roman" w:cs="Times New Roman" w:eastAsia="Times New Roman" w:hAnsi="Times New Roman"/>
                  <w:sz w:val="18"/>
                  <w:szCs w:val="18"/>
                  <w:color w:val="auto"/>
                  <w:w w:val="99"/>
                </w:rPr>
                <w:t>2022, by and between the Registrant and NHSc Pharma Partners</w:t>
              </w:r>
            </w:hyperlink>
          </w:p>
        </w:tc>
        <w:tc>
          <w:tcPr>
            <w:tcW w:w="520" w:type="dxa"/>
            <w:vAlign w:val="bottom"/>
          </w:tcPr>
          <w:p>
            <w:pPr>
              <w:spacing w:after="0"/>
              <w:rPr>
                <w:sz w:val="17"/>
                <w:szCs w:val="17"/>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73">
              <w:r>
                <w:rPr>
                  <w:rFonts w:ascii="Times New Roman" w:cs="Times New Roman" w:eastAsia="Times New Roman" w:hAnsi="Times New Roman"/>
                  <w:sz w:val="18"/>
                  <w:szCs w:val="18"/>
                  <w:color w:val="auto"/>
                </w:rPr>
                <w:t>Long Term Manufacturing Agreement, dated November 8,</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9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w w:val="98"/>
              </w:rPr>
            </w:pPr>
            <w:hyperlink r:id="rId173">
              <w:r>
                <w:rPr>
                  <w:rFonts w:ascii="Times New Roman" w:cs="Times New Roman" w:eastAsia="Times New Roman" w:hAnsi="Times New Roman"/>
                  <w:sz w:val="18"/>
                  <w:szCs w:val="18"/>
                  <w:color w:val="auto"/>
                  <w:w w:val="98"/>
                </w:rPr>
                <w:t>2021, by and between the Registrant and BacThera AG</w:t>
              </w:r>
            </w:hyperlink>
          </w:p>
        </w:tc>
        <w:tc>
          <w:tcPr>
            <w:tcW w:w="66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640" w:type="dxa"/>
            <w:vAlign w:val="bottom"/>
            <w:gridSpan w:val="2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to Long Term Manufacturing Agreement, dated</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December 14, 2022, by and between the Registrant and</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BacThera AG</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3140" w:type="dxa"/>
            <w:vAlign w:val="bottom"/>
            <w:tcBorders>
              <w:bottom w:val="single" w:sz="8" w:color="0000EE"/>
            </w:tcBorders>
            <w:gridSpan w:val="12"/>
          </w:tcPr>
          <w:p>
            <w:pPr>
              <w:spacing w:after="0"/>
              <w:rPr>
                <w:rFonts w:ascii="Times New Roman" w:cs="Times New Roman" w:eastAsia="Times New Roman" w:hAnsi="Times New Roman"/>
                <w:sz w:val="18"/>
                <w:szCs w:val="18"/>
                <w:color w:val="auto"/>
                <w:w w:val="99"/>
              </w:rPr>
            </w:pPr>
            <w:hyperlink r:id="rId175">
              <w:r>
                <w:rPr>
                  <w:rFonts w:ascii="Times New Roman" w:cs="Times New Roman" w:eastAsia="Times New Roman" w:hAnsi="Times New Roman"/>
                  <w:sz w:val="18"/>
                  <w:szCs w:val="18"/>
                  <w:color w:val="auto"/>
                  <w:w w:val="99"/>
                </w:rPr>
                <w:t>Form of Non-Affiliate Purchase Agreement</w:t>
              </w:r>
            </w:hyperlink>
          </w:p>
        </w:tc>
        <w:tc>
          <w:tcPr>
            <w:tcW w:w="1500" w:type="dxa"/>
            <w:vAlign w:val="bottom"/>
            <w:gridSpan w:val="9"/>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278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9"/>
              </w:rPr>
            </w:pPr>
            <w:hyperlink r:id="rId176">
              <w:r>
                <w:rPr>
                  <w:rFonts w:ascii="Times New Roman" w:cs="Times New Roman" w:eastAsia="Times New Roman" w:hAnsi="Times New Roman"/>
                  <w:sz w:val="18"/>
                  <w:szCs w:val="18"/>
                  <w:color w:val="auto"/>
                  <w:w w:val="99"/>
                </w:rPr>
                <w:t>Form of Affiliate Purchase Agreement</w:t>
              </w:r>
            </w:hyperlink>
          </w:p>
        </w:tc>
        <w:tc>
          <w:tcPr>
            <w:tcW w:w="1860" w:type="dxa"/>
            <w:vAlign w:val="bottom"/>
            <w:gridSpan w:val="11"/>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4640" w:type="dxa"/>
            <w:vAlign w:val="bottom"/>
            <w:gridSpan w:val="21"/>
          </w:tcPr>
          <w:p>
            <w:pPr>
              <w:spacing w:after="0"/>
              <w:rPr>
                <w:rFonts w:ascii="Times New Roman" w:cs="Times New Roman" w:eastAsia="Times New Roman" w:hAnsi="Times New Roman"/>
                <w:sz w:val="18"/>
                <w:szCs w:val="18"/>
                <w:color w:val="auto"/>
              </w:rPr>
            </w:pPr>
            <w:hyperlink r:id="rId177">
              <w:r>
                <w:rPr>
                  <w:rFonts w:ascii="Times New Roman" w:cs="Times New Roman" w:eastAsia="Times New Roman" w:hAnsi="Times New Roman"/>
                  <w:sz w:val="18"/>
                  <w:szCs w:val="18"/>
                  <w:color w:val="auto"/>
                </w:rPr>
                <w:t>Placement Agency Agreement, dated June 29, 2022, by and</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auto"/>
                <w:w w:val="98"/>
              </w:rPr>
            </w:pPr>
            <w:hyperlink r:id="rId177">
              <w:r>
                <w:rPr>
                  <w:rFonts w:ascii="Times New Roman" w:cs="Times New Roman" w:eastAsia="Times New Roman" w:hAnsi="Times New Roman"/>
                  <w:sz w:val="18"/>
                  <w:szCs w:val="18"/>
                  <w:color w:val="auto"/>
                  <w:w w:val="98"/>
                </w:rPr>
                <w:t>between Registrant and J.P. Morgan Securities LLC</w:t>
              </w:r>
            </w:hyperlink>
          </w:p>
        </w:tc>
        <w:tc>
          <w:tcPr>
            <w:tcW w:w="9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4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Supply Agreement, dated September 15, 2015, by and between</w:t>
            </w:r>
          </w:p>
        </w:tc>
        <w:tc>
          <w:tcPr>
            <w:tcW w:w="5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Registrant and GenIbet BioPharmaceuticals, SA, as amended</w:t>
            </w:r>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4640" w:type="dxa"/>
            <w:vAlign w:val="bottom"/>
            <w:gridSpan w:val="2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Supply Agreement, dated March 13, 2023, by and between the</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10-Q</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Registrant and Nestlé Enterprises S.A.</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4640" w:type="dxa"/>
            <w:vAlign w:val="bottom"/>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Credit Agreement and Guaranty, dated April 27, 2023, among</w:t>
              </w:r>
            </w:hyperlink>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8-K</w:t>
            </w: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 Registrant, as the borrower, the subsidiary guarantors from</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time to time party thereto, the lenders from time to time party</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thereto, and Oaktree Fund Administration, LLC, as</w:t>
              </w:r>
            </w:hyperlink>
          </w:p>
        </w:tc>
        <w:tc>
          <w:tcPr>
            <w:tcW w:w="5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administrative agent for the lenders</w:t>
              </w:r>
            </w:hyperlink>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840" w:type="dxa"/>
            <w:vAlign w:val="bottom"/>
            <w:tcBorders>
              <w:bottom w:val="single" w:sz="8" w:color="0000EE"/>
            </w:tcBorders>
            <w:gridSpan w:val="11"/>
          </w:tcPr>
          <w:p>
            <w:pPr>
              <w:spacing w:after="0"/>
              <w:rPr>
                <w:rFonts w:ascii="Times New Roman" w:cs="Times New Roman" w:eastAsia="Times New Roman" w:hAnsi="Times New Roman"/>
                <w:sz w:val="18"/>
                <w:szCs w:val="18"/>
                <w:color w:val="auto"/>
                <w:w w:val="98"/>
              </w:rPr>
            </w:pPr>
            <w:hyperlink r:id="rId180">
              <w:r>
                <w:rPr>
                  <w:rFonts w:ascii="Times New Roman" w:cs="Times New Roman" w:eastAsia="Times New Roman" w:hAnsi="Times New Roman"/>
                  <w:sz w:val="18"/>
                  <w:szCs w:val="18"/>
                  <w:color w:val="auto"/>
                  <w:w w:val="98"/>
                </w:rPr>
                <w:t>Subsidiaries of Seres Therapeutics, Inc.</w:t>
              </w:r>
            </w:hyperlink>
          </w:p>
        </w:tc>
        <w:tc>
          <w:tcPr>
            <w:tcW w:w="1800" w:type="dxa"/>
            <w:vAlign w:val="bottom"/>
            <w:gridSpan w:val="10"/>
          </w:tcPr>
          <w:p>
            <w:pPr>
              <w:spacing w:after="0"/>
              <w:rPr>
                <w:sz w:val="24"/>
                <w:szCs w:val="24"/>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1"/>
              </w:rPr>
              <w:t>10-K</w:t>
            </w: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w:t>
            </w:r>
          </w:p>
        </w:tc>
        <w:tc>
          <w:tcPr>
            <w:tcW w:w="5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Registered Public Accounting Firm</w:t>
            </w:r>
          </w:p>
        </w:tc>
        <w:tc>
          <w:tcPr>
            <w:tcW w:w="52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6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Rule 13a-14(a)/15d-14(a) Certification of Chief Executive</w:t>
            </w:r>
          </w:p>
        </w:tc>
        <w:tc>
          <w:tcPr>
            <w:tcW w:w="52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46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auto"/>
              </w:rPr>
              <w:t>Officer</w:t>
            </w:r>
          </w:p>
        </w:tc>
        <w:tc>
          <w:tcPr>
            <w:tcW w:w="520" w:type="dxa"/>
            <w:vAlign w:val="bottom"/>
          </w:tcPr>
          <w:p>
            <w:pPr>
              <w:spacing w:after="0"/>
              <w:rPr>
                <w:sz w:val="17"/>
                <w:szCs w:val="17"/>
                <w:color w:val="auto"/>
              </w:rPr>
            </w:pPr>
          </w:p>
        </w:tc>
      </w:tr>
      <w:tr>
        <w:trPr>
          <w:trHeight w:val="574"/>
        </w:trPr>
        <w:tc>
          <w:tcPr>
            <w:tcW w:w="1200" w:type="dxa"/>
            <w:vAlign w:val="bottom"/>
          </w:tcPr>
          <w:p>
            <w:pPr>
              <w:spacing w:after="0"/>
              <w:rPr>
                <w:sz w:val="24"/>
                <w:szCs w:val="24"/>
                <w:color w:val="auto"/>
              </w:rPr>
            </w:pPr>
          </w:p>
        </w:tc>
        <w:tc>
          <w:tcPr>
            <w:tcW w:w="500" w:type="dxa"/>
            <w:vAlign w:val="bottom"/>
            <w:tcBorders>
              <w:top w:val="single" w:sz="8" w:color="0000EE"/>
            </w:tcBorders>
            <w:gridSpan w:val="2"/>
          </w:tcPr>
          <w:p>
            <w:pPr>
              <w:spacing w:after="0"/>
              <w:rPr>
                <w:sz w:val="24"/>
                <w:szCs w:val="24"/>
                <w:color w:val="auto"/>
              </w:rPr>
            </w:pPr>
          </w:p>
        </w:tc>
        <w:tc>
          <w:tcPr>
            <w:tcW w:w="4040" w:type="dxa"/>
            <w:vAlign w:val="bottom"/>
            <w:gridSpan w:val="1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3/2/21</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5/20/21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5/16/16</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3/6/19</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3/6/19</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8/14/20</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11/10/21</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5/4/222</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3/1/22</w:t>
            </w:r>
          </w:p>
        </w:tc>
      </w:tr>
      <w:tr>
        <w:trPr>
          <w:trHeight w:val="567"/>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3/7/23</w:t>
            </w:r>
          </w:p>
        </w:tc>
      </w:tr>
      <w:tr>
        <w:trPr>
          <w:trHeight w:val="783"/>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351"/>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6/30/22</w:t>
            </w:r>
          </w:p>
        </w:tc>
      </w:tr>
      <w:tr>
        <w:trPr>
          <w:trHeight w:val="351"/>
        </w:trPr>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001-37465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6/30/22</w:t>
            </w:r>
          </w:p>
        </w:tc>
      </w:tr>
    </w:tbl>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0" w:lineRule="exact"/>
        <w:rPr>
          <w:sz w:val="20"/>
          <w:szCs w:val="20"/>
          <w:color w:val="auto"/>
        </w:rPr>
      </w:pPr>
    </w:p>
    <w:p>
      <w:pPr>
        <w:spacing w:after="0"/>
        <w:tabs>
          <w:tab w:leader="none" w:pos="1360" w:val="left"/>
          <w:tab w:leader="none" w:pos="2200" w:val="left"/>
        </w:tabs>
        <w:rPr>
          <w:sz w:val="20"/>
          <w:szCs w:val="20"/>
          <w:color w:val="auto"/>
        </w:rPr>
      </w:pPr>
      <w:r>
        <w:rPr>
          <w:rFonts w:ascii="Times New Roman" w:cs="Times New Roman" w:eastAsia="Times New Roman" w:hAnsi="Times New Roman"/>
          <w:sz w:val="18"/>
          <w:szCs w:val="18"/>
          <w:color w:val="auto"/>
        </w:rPr>
        <w:t>001-37465</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5/9/23</w:t>
      </w:r>
    </w:p>
    <w:p>
      <w:pPr>
        <w:spacing w:after="0" w:line="360" w:lineRule="exact"/>
        <w:rPr>
          <w:sz w:val="20"/>
          <w:szCs w:val="20"/>
          <w:color w:val="auto"/>
        </w:rPr>
      </w:pPr>
    </w:p>
    <w:p>
      <w:pPr>
        <w:spacing w:after="0"/>
        <w:tabs>
          <w:tab w:leader="none" w:pos="1360" w:val="left"/>
          <w:tab w:leader="none" w:pos="2160" w:val="left"/>
        </w:tabs>
        <w:rPr>
          <w:sz w:val="20"/>
          <w:szCs w:val="20"/>
          <w:color w:val="auto"/>
        </w:rPr>
      </w:pPr>
      <w:r>
        <w:rPr>
          <w:rFonts w:ascii="Times New Roman" w:cs="Times New Roman" w:eastAsia="Times New Roman" w:hAnsi="Times New Roman"/>
          <w:sz w:val="18"/>
          <w:szCs w:val="18"/>
          <w:color w:val="auto"/>
        </w:rPr>
        <w:t>001-37465</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4/27/23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60" w:val="left"/>
          <w:tab w:leader="none" w:pos="2200" w:val="left"/>
        </w:tabs>
        <w:rPr>
          <w:sz w:val="20"/>
          <w:szCs w:val="20"/>
          <w:color w:val="auto"/>
        </w:rPr>
      </w:pPr>
      <w:r>
        <w:rPr>
          <w:rFonts w:ascii="Times New Roman" w:cs="Times New Roman" w:eastAsia="Times New Roman" w:hAnsi="Times New Roman"/>
          <w:sz w:val="18"/>
          <w:szCs w:val="18"/>
          <w:color w:val="auto"/>
        </w:rPr>
        <w:t>001-37465</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3/2/20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360" w:space="720"/>
            <w:col w:w="3620"/>
          </w:cols>
          <w:pgMar w:left="340" w:top="986" w:right="85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Rule 13a-14(a)/15d-14(a) Certification of Chief Financial</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Officer</w:t>
            </w:r>
          </w:p>
        </w:tc>
        <w:tc>
          <w:tcPr>
            <w:tcW w:w="2540" w:type="dxa"/>
            <w:vAlign w:val="bottom"/>
          </w:tcPr>
          <w:p>
            <w:pPr>
              <w:spacing w:after="0"/>
              <w:rPr>
                <w:sz w:val="17"/>
                <w:szCs w:val="17"/>
                <w:color w:val="auto"/>
              </w:rPr>
            </w:pP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Section 1350 Certification of Chief Executive Officer</w:t>
            </w:r>
          </w:p>
        </w:tc>
        <w:tc>
          <w:tcPr>
            <w:tcW w:w="3140" w:type="dxa"/>
            <w:vAlign w:val="bottom"/>
            <w:gridSpan w:val="3"/>
          </w:tcPr>
          <w:p>
            <w:pPr>
              <w:spacing w:after="0"/>
              <w:rPr>
                <w:sz w:val="24"/>
                <w:szCs w:val="24"/>
                <w:color w:val="auto"/>
              </w:rPr>
            </w:pPr>
          </w:p>
        </w:tc>
        <w:tc>
          <w:tcPr>
            <w:tcW w:w="254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w:t>
            </w: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Section 1350 Certification of Chief Financial Officer</w:t>
            </w:r>
          </w:p>
        </w:tc>
        <w:tc>
          <w:tcPr>
            <w:tcW w:w="254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3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Policy for Recovery of Erroneously Awarded Compensation</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EE"/>
            </w:tcBorders>
            <w:gridSpan w:val="5"/>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5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200" w:type="dxa"/>
            <w:vAlign w:val="bottom"/>
          </w:tcPr>
          <w:p>
            <w:pPr>
              <w:spacing w:after="0"/>
              <w:rPr>
                <w:sz w:val="18"/>
                <w:szCs w:val="18"/>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 are</w:t>
            </w:r>
          </w:p>
        </w:tc>
        <w:tc>
          <w:tcPr>
            <w:tcW w:w="2540" w:type="dxa"/>
            <w:vAlign w:val="bottom"/>
          </w:tcPr>
          <w:p>
            <w:pPr>
              <w:spacing w:after="0"/>
              <w:rPr>
                <w:sz w:val="18"/>
                <w:szCs w:val="18"/>
                <w:color w:val="auto"/>
              </w:rPr>
            </w:pPr>
          </w:p>
        </w:tc>
      </w:tr>
      <w:tr>
        <w:trPr>
          <w:trHeight w:val="234"/>
        </w:trPr>
        <w:tc>
          <w:tcPr>
            <w:tcW w:w="1200" w:type="dxa"/>
            <w:vAlign w:val="bottom"/>
          </w:tcPr>
          <w:p>
            <w:pPr>
              <w:spacing w:after="0"/>
              <w:rPr>
                <w:sz w:val="20"/>
                <w:szCs w:val="20"/>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540" w:type="dxa"/>
            <w:vAlign w:val="bottom"/>
          </w:tcPr>
          <w:p>
            <w:pPr>
              <w:spacing w:after="0"/>
              <w:rPr>
                <w:sz w:val="20"/>
                <w:szCs w:val="20"/>
                <w:color w:val="auto"/>
              </w:rPr>
            </w:pPr>
          </w:p>
        </w:tc>
      </w:tr>
      <w:tr>
        <w:trPr>
          <w:trHeight w:val="351"/>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33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5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1200" w:type="dxa"/>
            <w:vAlign w:val="bottom"/>
          </w:tcPr>
          <w:p>
            <w:pPr>
              <w:spacing w:after="0"/>
              <w:rPr>
                <w:sz w:val="20"/>
                <w:szCs w:val="20"/>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40" w:type="dxa"/>
            <w:vAlign w:val="bottom"/>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firstLine="8"/>
        <w:spacing w:after="0" w:line="250" w:lineRule="auto"/>
        <w:tabs>
          <w:tab w:leader="none" w:pos="1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redacted portions of this exhibit. Redacted portions of this exhibit have been filed separately with the SEC.</w:t>
      </w: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(indicated by asterisks) have been omitted pursuant to Regulation S-K, Item 601(b)(10)(iv). Such omitted information is both (i) not material and (ii) the type that the Registrant treats as private or confidential.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6" w:right="39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0" w:lineRule="exact"/>
        <w:rPr>
          <w:sz w:val="20"/>
          <w:szCs w:val="20"/>
          <w:color w:val="auto"/>
        </w:rPr>
      </w:pPr>
    </w:p>
    <w:p>
      <w:pPr>
        <w:ind w:left="20"/>
        <w:spacing w:after="0"/>
        <w:tabs>
          <w:tab w:leader="none" w:pos="5820" w:val="left"/>
          <w:tab w:leader="none" w:pos="634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26035</wp:posOffset>
            </wp:positionV>
            <wp:extent cx="3111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Eric D. Shaff</w:t>
      </w:r>
    </w:p>
    <w:p>
      <w:pPr>
        <w:spacing w:after="0" w:line="3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981" w:right="35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Signature</w:t>
            </w:r>
          </w:p>
        </w:tc>
        <w:tc>
          <w:tcPr>
            <w:tcW w:w="374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395"/>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D. Shaff</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President, Chief Executive Officer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D. Shaff</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and Director</w:t>
            </w:r>
          </w:p>
        </w:tc>
      </w:tr>
      <w:tr>
        <w:trPr>
          <w:trHeight w:val="238"/>
        </w:trPr>
        <w:tc>
          <w:tcPr>
            <w:tcW w:w="414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Executive Officer)</w:t>
            </w:r>
          </w:p>
        </w:tc>
      </w:tr>
      <w:tr>
        <w:trPr>
          <w:trHeight w:val="225"/>
        </w:trPr>
        <w:tc>
          <w:tcPr>
            <w:tcW w:w="414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w w:val="98"/>
              </w:rPr>
              <w:t>Executive Vice President, Chief Financial Officer,</w:t>
            </w:r>
          </w:p>
        </w:tc>
      </w:tr>
      <w:tr>
        <w:trPr>
          <w:trHeight w:val="24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Arkowitz</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and Head of Business Development</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Arkowitz</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(Principal Financial and Accounting Officer)</w:t>
            </w:r>
          </w:p>
        </w:tc>
      </w:tr>
      <w:tr>
        <w:trPr>
          <w:trHeight w:val="42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231F20"/>
              </w:rPr>
              <w:t>Stephen Berenson</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Chairman of the Board</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Stephen Berenson</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A. Ausiello</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Dennis A. Ausiello, M.D.</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R. Biondi</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R. Biondi</w:t>
            </w:r>
          </w:p>
        </w:tc>
        <w:tc>
          <w:tcPr>
            <w:tcW w:w="3740" w:type="dxa"/>
            <w:vAlign w:val="bottom"/>
          </w:tcPr>
          <w:p>
            <w:pPr>
              <w:spacing w:after="0"/>
              <w:rPr>
                <w:sz w:val="20"/>
                <w:szCs w:val="20"/>
                <w:color w:val="auto"/>
              </w:rPr>
            </w:pPr>
          </w:p>
        </w:tc>
      </w:tr>
      <w:tr>
        <w:trPr>
          <w:trHeight w:val="48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Willard H. Dere</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Willard H. Dere, M.D.</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Claire M. Fraser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Claire M. Fraser, Ph.D.</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/s/ Kurt C. Graves</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Kurt C. Graves</w:t>
            </w:r>
          </w:p>
        </w:tc>
        <w:tc>
          <w:tcPr>
            <w:tcW w:w="3740" w:type="dxa"/>
            <w:vAlign w:val="bottom"/>
          </w:tcPr>
          <w:p>
            <w:pPr>
              <w:spacing w:after="0"/>
              <w:rPr>
                <w:sz w:val="20"/>
                <w:szCs w:val="20"/>
                <w:color w:val="auto"/>
              </w:rPr>
            </w:pPr>
          </w:p>
        </w:tc>
      </w:tr>
      <w:tr>
        <w:trPr>
          <w:trHeight w:val="394"/>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N. Kender</w:t>
            </w: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Director</w:t>
            </w:r>
          </w:p>
        </w:tc>
      </w:tr>
      <w:tr>
        <w:trPr>
          <w:trHeight w:val="234"/>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Richard N. Kender</w:t>
            </w:r>
          </w:p>
        </w:tc>
        <w:tc>
          <w:tcPr>
            <w:tcW w:w="3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Date</w:t>
      </w:r>
    </w:p>
    <w:p>
      <w:pPr>
        <w:spacing w:after="0" w:line="1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231F20"/>
        </w:rPr>
        <w:t>March 5, 2024</w:t>
      </w:r>
    </w:p>
    <w:p>
      <w:pPr>
        <w:spacing w:after="0" w:line="475" w:lineRule="exact"/>
        <w:rPr>
          <w:sz w:val="20"/>
          <w:szCs w:val="20"/>
          <w:color w:val="auto"/>
        </w:rPr>
      </w:pPr>
    </w:p>
    <w:p>
      <w:pPr>
        <w:sectPr>
          <w:pgSz w:w="11900" w:h="16838" w:orient="portrait"/>
          <w:cols w:equalWidth="0" w:num="2">
            <w:col w:w="8840" w:space="720"/>
            <w:col w:w="1660"/>
          </w:cols>
          <w:pgMar w:left="320" w:top="981" w:right="359" w:bottom="1440" w:gutter="0" w:footer="0" w:header="0"/>
          <w:type w:val="continuous"/>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560" w:type="dxa"/>
            <w:vAlign w:val="bottom"/>
            <w:tcBorders>
              <w:bottom w:val="single" w:sz="8" w:color="0000FF"/>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840" w:type="dxa"/>
            <w:vAlign w:val="bottom"/>
            <w:gridSpan w:val="4"/>
          </w:tcPr>
          <w:p>
            <w:pPr>
              <w:spacing w:after="0"/>
              <w:rPr>
                <w:sz w:val="15"/>
                <w:szCs w:val="15"/>
                <w:color w:val="auto"/>
              </w:rPr>
            </w:pPr>
          </w:p>
        </w:tc>
        <w:tc>
          <w:tcPr>
            <w:tcW w:w="840" w:type="dxa"/>
            <w:vAlign w:val="bottom"/>
          </w:tcPr>
          <w:p>
            <w:pPr>
              <w:ind w:left="58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104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87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2023, 2022 and 2021</w:t>
            </w:r>
          </w:p>
        </w:tc>
        <w:tc>
          <w:tcPr>
            <w:tcW w:w="166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104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(Deficit) Equity as of December 31, 2023, 2022 and 2021</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72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3160" w:type="dxa"/>
            <w:vAlign w:val="bottom"/>
            <w:gridSpan w:val="2"/>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692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480" w:type="dxa"/>
            <w:vAlign w:val="bottom"/>
            <w:gridSpan w:val="3"/>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5"/>
              </w:rPr>
              <w:t>F-8</w:t>
            </w:r>
          </w:p>
        </w:tc>
      </w:tr>
      <w:tr>
        <w:trPr>
          <w:trHeight w:val="682"/>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Seres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Seres Therapeutics, Inc. and its subsidiaries (the “Company”) as of December 31, 2023 and 2022, and the related consolidated statements of operations and comprehensive loss, of stockholders' (deficit)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its inception and needs to raise additional capital to fund future operations,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Collaboration (Profit) Loss Sharing - License Agreement with NHSc Rx License GmbH (Nestlé)</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described in Note 15 to the consolidated financial statements, the Company recognizes collaboration (profit) loss sharing – related party arising from a license agreement with Nestlé, which totaled $0.7 million for the year ended December 31, 2023. Under the 2021 License Agreement with Nestlé, beginning with the first commercial sale of VOWST, which occurred in June 2023, net sales of VOWST are recorded by Nestlé. The Company records its share of the profits or losses from the sales of VOWST, including commercial and medical affairs expenses incurred by the Company, on a net basis, as collaboration (profit) loss sharing - related party. The collaboration (profit) loss sharing - related party line item also includes the Company's profit on the transfer of VOWST inventory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ind w:right="180"/>
        <w:spacing w:after="0" w:line="282" w:lineRule="auto"/>
        <w:rPr>
          <w:sz w:val="20"/>
          <w:szCs w:val="20"/>
          <w:color w:val="auto"/>
        </w:rPr>
      </w:pPr>
      <w:r>
        <w:rPr>
          <w:rFonts w:ascii="Times New Roman" w:cs="Times New Roman" w:eastAsia="Times New Roman" w:hAnsi="Times New Roman"/>
          <w:sz w:val="18"/>
          <w:szCs w:val="18"/>
          <w:color w:val="auto"/>
        </w:rPr>
        <w:t>to Nestlé, which represents the excess of the supply price paid by Nestlé over the Company's cost to manufacture VOWST, subject to a supply price cap applicable to product manufactured prior to commercial launch.</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the recognition of collaboration (profit) loss sharing arising from the license agreement with Nestlé is a critical audit matter is a high degree of auditor effort in performing procedures related to the Company’s recognition of collaboration (profit) loss sharing.</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evaluating management’s collaboration (profit) loss sharing accounting policy; (ii) testing the completeness and accuracy of certain data used to calculate the collaboration (profit) loss sharing by sending a confirmation and obtaining and inspecting source documents provided by Nestlé; (iii) recalculating the Company’s share of the profit or losses from the sales of VOWST; and (iv) recalculating the Company’s profit on transfer of VOWST inventory to Nestlé and obtaining and inspecting source documents, such as invoices and evidence of payment.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61" w:right="4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127,965</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 term investments</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receivable - related party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8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30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tcBorders>
              <w:bottom w:val="single" w:sz="8" w:color="CFF0FC"/>
            </w:tcBorders>
          </w:tcPr>
          <w:p>
            <w:pPr>
              <w:spacing w:after="0"/>
              <w:rPr>
                <w:sz w:val="20"/>
                <w:szCs w:val="20"/>
                <w:color w:val="auto"/>
              </w:rPr>
            </w:pPr>
          </w:p>
        </w:tc>
      </w:tr>
      <w:tr>
        <w:trPr>
          <w:trHeight w:val="241"/>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175,410</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194,764</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investments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FF0FC"/>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 (1)</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41,354</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tcPr>
          <w:p>
            <w:pPr>
              <w:spacing w:after="0"/>
              <w:rPr>
                <w:sz w:val="21"/>
                <w:szCs w:val="21"/>
                <w:color w:val="auto"/>
              </w:rPr>
            </w:pPr>
          </w:p>
        </w:tc>
      </w:tr>
      <w:tr>
        <w:trPr>
          <w:trHeight w:val="277"/>
        </w:trPr>
        <w:tc>
          <w:tcPr>
            <w:tcW w:w="7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358,600</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 (2)</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 term portion of note payable, net of discount</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 related party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CFF0FC"/>
          </w:tcPr>
          <w:p>
            <w:pPr>
              <w:spacing w:after="0"/>
              <w:rPr>
                <w:sz w:val="21"/>
                <w:szCs w:val="21"/>
                <w:color w:val="auto"/>
              </w:rPr>
            </w:pPr>
          </w:p>
        </w:tc>
      </w:tr>
      <w:tr>
        <w:trPr>
          <w:trHeight w:val="232"/>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98,659</w:t>
            </w:r>
          </w:p>
        </w:tc>
        <w:tc>
          <w:tcPr>
            <w:tcW w:w="3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85,596</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portion of note payable, net of discount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 - related party</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92,430</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403,456</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338,001</w:t>
            </w:r>
          </w:p>
        </w:tc>
        <w:tc>
          <w:tcPr>
            <w:tcW w:w="100" w:type="dxa"/>
            <w:vAlign w:val="bottom"/>
          </w:tcPr>
          <w:p>
            <w:pPr>
              <w:spacing w:after="0"/>
              <w:rPr>
                <w:sz w:val="20"/>
                <w:szCs w:val="20"/>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2023 and 2022;</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 shares issued and outstanding at December 31, 2023 and 2022</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240,000,000 and 200,000,000 shares authorized at December 31,</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and 2022, respectively; 135,041,467 and 125,222,273 shares issued and outstanding at December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 and 2022, respectively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r>
      <w:tr>
        <w:trPr>
          <w:trHeight w:val="250"/>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933,244</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875,181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(978,235 )</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(864,511 )</w:t>
            </w:r>
          </w:p>
        </w:tc>
      </w:tr>
      <w:tr>
        <w:trPr>
          <w:trHeight w:val="20"/>
        </w:trPr>
        <w:tc>
          <w:tcPr>
            <w:tcW w:w="78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(44,856 )</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Pr>
          <w:p>
            <w:pPr>
              <w:spacing w:after="0"/>
              <w:rPr>
                <w:sz w:val="20"/>
                <w:szCs w:val="20"/>
                <w:color w:val="auto"/>
              </w:rPr>
            </w:pPr>
          </w:p>
        </w:tc>
      </w:tr>
      <w:tr>
        <w:trPr>
          <w:trHeight w:val="277"/>
        </w:trPr>
        <w:tc>
          <w:tcPr>
            <w:tcW w:w="7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358,600</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-5305425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-4208145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-4191000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-2013585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-351155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jc w:val="both"/>
        <w:ind w:firstLine="8"/>
        <w:spacing w:after="0" w:line="248" w:lineRule="auto"/>
        <w:tabs>
          <w:tab w:leader="none" w:pos="185" w:val="left"/>
        </w:tabs>
        <w:numPr>
          <w:ilvl w:val="0"/>
          <w:numId w:val="6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$38,877 and $8,828 as of December 31, 2023 and December 31, 2022, respectively, of milestones related to the construction of the Company's dedicated manufacturing suite at BacThera AG, or Bacthera (see Note 16,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Such amounts will form part of the right-of-use asset upon lease commencement.</w:t>
      </w:r>
    </w:p>
    <w:p>
      <w:pPr>
        <w:ind w:left="200" w:hanging="192"/>
        <w:spacing w:after="0" w:line="199" w:lineRule="auto"/>
        <w:tabs>
          <w:tab w:leader="none" w:pos="200"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related party amounts of $28,053 and $34,770 at December 31, 2023 and December 31, 2022, respectively (see Note 18)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8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143,857</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revenue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FF0FC"/>
          </w:tcPr>
          <w:p>
            <w:pPr>
              <w:spacing w:after="0"/>
              <w:rPr>
                <w:sz w:val="21"/>
                <w:szCs w:val="21"/>
                <w:color w:val="auto"/>
              </w:rPr>
            </w:pPr>
          </w:p>
        </w:tc>
      </w:tr>
      <w:tr>
        <w:trPr>
          <w:trHeight w:val="232"/>
        </w:trPr>
        <w:tc>
          <w:tcPr>
            <w:tcW w:w="6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126,325</w:t>
            </w: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144,927</w:t>
            </w: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145,860</w:t>
            </w:r>
          </w:p>
        </w:tc>
        <w:tc>
          <w:tcPr>
            <w:tcW w:w="8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172,920</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87,744</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69,261</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(1,732 )</w:t>
            </w:r>
          </w:p>
        </w:tc>
      </w:tr>
      <w:tr>
        <w:trPr>
          <w:trHeight w:val="247"/>
        </w:trPr>
        <w:tc>
          <w:tcPr>
            <w:tcW w:w="6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234,308</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253,618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(107,983 )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(246,490 )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(64,493 )</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(13,176 )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(6,020 )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(2,910 )</w:t>
            </w:r>
          </w:p>
        </w:tc>
      </w:tr>
      <w:tr>
        <w:trPr>
          <w:trHeight w:val="243"/>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(705 )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(1,045 )</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(5,741 )</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(3,667 )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(1,085 )</w:t>
            </w:r>
          </w:p>
        </w:tc>
      </w:tr>
      <w:tr>
        <w:trPr>
          <w:trHeight w:val="20"/>
        </w:trPr>
        <w:tc>
          <w:tcPr>
            <w:tcW w:w="6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(113,724 )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(250,157 )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(65,578 )</w:t>
            </w:r>
          </w:p>
        </w:tc>
      </w:tr>
      <w:tr>
        <w:trPr>
          <w:trHeight w:val="28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(0.89 )</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(0.72 )</w:t>
            </w:r>
          </w:p>
        </w:tc>
      </w:tr>
      <w:tr>
        <w:trPr>
          <w:trHeight w:val="224"/>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128,003,294</w:t>
            </w: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108,077,043</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91,702,866</w:t>
            </w:r>
          </w:p>
        </w:tc>
        <w:tc>
          <w:tcPr>
            <w:tcW w:w="100" w:type="dxa"/>
            <w:vAlign w:val="bottom"/>
            <w:tcBorders>
              <w:top w:val="single" w:sz="8" w:color="CFF0FC"/>
            </w:tcBorders>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(loss) on investments, net of tax of $0</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6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6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(113,712 )</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(250,109 )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(65,591 )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-3222625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-3222625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-2287905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-2287905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-1336675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-1336675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-1019810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-1002030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-1019810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-1002030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-350520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-350520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000" w:type="dxa"/>
            <w:vAlign w:val="bottom"/>
            <w:gridSpan w:val="3"/>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Par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6"/>
        </w:trPr>
        <w:tc>
          <w:tcPr>
            <w:tcW w:w="4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e</w:t>
            </w:r>
          </w:p>
        </w:tc>
        <w:tc>
          <w:tcPr>
            <w:tcW w:w="11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0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91,459,239</w:t>
            </w:r>
          </w:p>
        </w:tc>
        <w:tc>
          <w:tcPr>
            <w:tcW w:w="94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723,482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(548,776 )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329,112</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100,417</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vesting of RSUs,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of tax withholdings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(13 )</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32"/>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(65,578 )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(65,578 )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91,889,418</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745,829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(60 )</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(614,354 )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326,864</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PSUs,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of tax withholdings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282,401</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322,560</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net of issuance costs of</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$3,279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31,746,030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offering,</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of issuance costs of $310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655,000</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(250,157 )</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(250,157 )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125,222,273</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875,181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(12 )</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(864,511 )</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00" w:type="dxa"/>
            <w:vAlign w:val="bottom"/>
            <w:tcBorders>
              <w:top w:val="single" w:sz="8" w:color="CFF0FC"/>
            </w:tcBorders>
          </w:tcPr>
          <w:p>
            <w:pPr>
              <w:ind w:left="200"/>
              <w:spacing w:after="0" w:line="189" w:lineRule="exact"/>
              <w:rPr>
                <w:sz w:val="20"/>
                <w:szCs w:val="20"/>
                <w:color w:val="auto"/>
              </w:rPr>
            </w:pPr>
            <w:r>
              <w:rPr>
                <w:rFonts w:ascii="Times New Roman" w:cs="Times New Roman" w:eastAsia="Times New Roman" w:hAnsi="Times New Roman"/>
                <w:sz w:val="17"/>
                <w:szCs w:val="17"/>
                <w:color w:val="auto"/>
              </w:rPr>
              <w:t>Issuance of common stock upon exercise of stock</w:t>
            </w: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260,640</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upon vesting of RSUs and</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PSUs,</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net of tax withholdings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1,244,663</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(1 )</w:t>
            </w: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602,692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from at the market equity</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offering, net of issuance costs of $772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7,711,199</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18,152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Issuance of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34,101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(113,724 )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(113,724 )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135,041,467</w:t>
            </w:r>
          </w:p>
        </w:tc>
        <w:tc>
          <w:tcPr>
            <w:tcW w:w="240" w:type="dxa"/>
            <w:vAlign w:val="bottom"/>
          </w:tcPr>
          <w:p>
            <w:pPr>
              <w:spacing w:after="0"/>
              <w:rPr>
                <w:sz w:val="20"/>
                <w:szCs w:val="20"/>
                <w:color w:val="auto"/>
              </w:rPr>
            </w:pPr>
          </w:p>
        </w:tc>
        <w:tc>
          <w:tcPr>
            <w:tcW w:w="700" w:type="dxa"/>
            <w:vAlign w:val="bottom"/>
          </w:tcPr>
          <w:p>
            <w:pPr>
              <w:jc w:val="right"/>
              <w:ind w:right="524"/>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933,244</w:t>
            </w:r>
          </w:p>
        </w:tc>
        <w:tc>
          <w:tcPr>
            <w:tcW w:w="24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(978,235 )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(44,856 )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-4131310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-4131310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-4131310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-4131310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-4131310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-1876425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-1876425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-1876425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-1876425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-1876425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-187960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-187960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-187960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(113,724 )</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(250,157 )</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(65,578 )</w:t>
            </w:r>
          </w:p>
        </w:tc>
      </w:tr>
      <w:tr>
        <w:trPr>
          <w:trHeight w:val="21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activities:</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premiums on investments</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Collaboration (profit) loss sharing - related party</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(1,732 )</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(29,124 )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(12,599 )</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(12,337 )</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Collaboration receivable - related party</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(8,674 )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(29,647 )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income - related party</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(7,128 )</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(4,357 )</w:t>
            </w: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(11,578 )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(4,203 )</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(3,550 )</w:t>
            </w:r>
          </w:p>
        </w:tc>
      </w:tr>
      <w:tr>
        <w:trPr>
          <w:trHeight w:val="247"/>
        </w:trPr>
        <w:tc>
          <w:tcPr>
            <w:tcW w:w="66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 (3)</w:t>
            </w:r>
          </w:p>
        </w:tc>
        <w:tc>
          <w:tcPr>
            <w:tcW w:w="4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(117,354 )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(228,816 )</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Pr>
          <w:p>
            <w:pPr>
              <w:spacing w:after="0"/>
              <w:rPr>
                <w:sz w:val="20"/>
                <w:szCs w:val="20"/>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(7,975 )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(9,821 )</w:t>
            </w: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(9,566 )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(4,426 )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(48,221 )</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(95,971 )</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140,470</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169,625</w:t>
            </w:r>
          </w:p>
        </w:tc>
        <w:tc>
          <w:tcPr>
            <w:tcW w:w="100" w:type="dxa"/>
            <w:vAlign w:val="bottom"/>
          </w:tcPr>
          <w:p>
            <w:pPr>
              <w:spacing w:after="0"/>
              <w:rPr>
                <w:sz w:val="21"/>
                <w:szCs w:val="21"/>
                <w:color w:val="auto"/>
              </w:rPr>
            </w:pP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82,428</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4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96,721</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at the market equity offering, net of issuance costs</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debt, net of issuance costs</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103,378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4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(52,860 )</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(1,907 )</w:t>
            </w:r>
          </w:p>
        </w:tc>
        <w:tc>
          <w:tcPr>
            <w:tcW w:w="42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(948 )</w:t>
            </w: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71,705</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129,602</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4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(35,067 )</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(16,786 )</w:t>
            </w: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71,954</w:t>
            </w:r>
          </w:p>
        </w:tc>
        <w:tc>
          <w:tcPr>
            <w:tcW w:w="100" w:type="dxa"/>
            <w:vAlign w:val="bottom"/>
          </w:tcPr>
          <w:p>
            <w:pPr>
              <w:spacing w:after="0"/>
              <w:rPr>
                <w:sz w:val="20"/>
                <w:szCs w:val="20"/>
                <w:color w:val="auto"/>
              </w:rPr>
            </w:pP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188,002</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116,049</w:t>
            </w:r>
          </w:p>
        </w:tc>
        <w:tc>
          <w:tcPr>
            <w:tcW w:w="100" w:type="dxa"/>
            <w:vAlign w:val="bottom"/>
          </w:tcPr>
          <w:p>
            <w:pPr>
              <w:spacing w:after="0"/>
              <w:rPr>
                <w:sz w:val="21"/>
                <w:szCs w:val="21"/>
                <w:color w:val="auto"/>
              </w:rPr>
            </w:pPr>
          </w:p>
        </w:tc>
      </w:tr>
      <w:tr>
        <w:trPr>
          <w:trHeight w:val="27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136,150</w:t>
            </w:r>
          </w:p>
        </w:tc>
        <w:tc>
          <w:tcPr>
            <w:tcW w:w="100" w:type="dxa"/>
            <w:vAlign w:val="bottom"/>
            <w:shd w:val="clear" w:color="auto" w:fill="CFF0FC"/>
          </w:tcPr>
          <w:p>
            <w:pPr>
              <w:spacing w:after="0"/>
              <w:rPr>
                <w:sz w:val="24"/>
                <w:szCs w:val="24"/>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171,215</w:t>
            </w:r>
          </w:p>
        </w:tc>
        <w:tc>
          <w:tcPr>
            <w:tcW w:w="24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188,002</w:t>
            </w:r>
          </w:p>
        </w:tc>
        <w:tc>
          <w:tcPr>
            <w:tcW w:w="100" w:type="dxa"/>
            <w:vAlign w:val="bottom"/>
            <w:shd w:val="clear" w:color="auto" w:fill="CFF0FC"/>
          </w:tcPr>
          <w:p>
            <w:pPr>
              <w:spacing w:after="0"/>
              <w:rPr>
                <w:sz w:val="24"/>
                <w:szCs w:val="24"/>
                <w:color w:val="auto"/>
              </w:rPr>
            </w:pPr>
          </w:p>
        </w:tc>
      </w:tr>
      <w:tr>
        <w:trPr>
          <w:trHeight w:val="221"/>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shd w:val="clear" w:color="auto" w:fill="CFF0FC"/>
          </w:tcPr>
          <w:p>
            <w:pPr>
              <w:spacing w:after="0"/>
              <w:rPr>
                <w:sz w:val="21"/>
                <w:szCs w:val="2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w:t>
            </w: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91,412</w:t>
            </w:r>
          </w:p>
        </w:tc>
        <w:tc>
          <w:tcPr>
            <w:tcW w:w="2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rent reclassified to right-of-use assets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warrant liabilities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Warrants issued related to Term Loan and recorded as debt discount (Note 9)</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-4371340</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-4371340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-4371340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-3419475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-3419475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-2167890</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-2167890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-1533525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-1516380</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-1533525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-1516380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2440" w:right="1600" w:hanging="2432"/>
        <w:spacing w:after="0" w:line="325" w:lineRule="auto"/>
        <w:tabs>
          <w:tab w:leader="none" w:pos="184" w:val="left"/>
        </w:tabs>
        <w:numPr>
          <w:ilvl w:val="0"/>
          <w:numId w:val="6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Includes related party amounts of $(6,717), $3,087, and $31,683 at December 31, 2023, 2022, and 2021, respectively (see Note 18) </w:t>
      </w: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974"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62"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commercial-stage microbiome therapeutics company focused on the development and commercialization of a novel class of biological drugs, which are designed to treat disease by modulating the microbiome to restore health by repairing the function of a disrupted microbiome to a non-disease state.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Company’s product, VOWST (fecal microbiota spores, live brkp), formerly called SER-109, was approved by the U.S. Food and Drug Administration (“FDA”) on April 26, 2023 and is the first and only orally administered microbiome therapeutic. VOWST is indicated to prevent the recurrence of </w:t>
      </w:r>
      <w:r>
        <w:rPr>
          <w:rFonts w:ascii="Times New Roman" w:cs="Times New Roman" w:eastAsia="Times New Roman" w:hAnsi="Times New Roman"/>
          <w:sz w:val="18"/>
          <w:szCs w:val="18"/>
          <w:i w:val="1"/>
          <w:iCs w:val="1"/>
          <w:color w:val="auto"/>
        </w:rPr>
        <w:t>Clostridioides difficile</w:t>
      </w:r>
      <w:r>
        <w:rPr>
          <w:rFonts w:ascii="Times New Roman" w:cs="Times New Roman" w:eastAsia="Times New Roman" w:hAnsi="Times New Roman"/>
          <w:sz w:val="18"/>
          <w:szCs w:val="18"/>
          <w:color w:val="auto"/>
        </w:rPr>
        <w:t xml:space="preserve"> infection (“CDI”) in patients 18 or older following antibacterial treatment for recurrent CDI. The Company launched VOWST in the United States with its collaborator, Nestlé Health Science (“Nestlé”), in June 2023.</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Building upon VOWST, the Company is progressing the Phase 1b clinical trial of SER-155, a microbiome therapeutic candidate consisting of a 16-strain consortium of cultivated bacteria designed to prevent enteric-derived infections and resulting bloodstream infections, as well as induce immune tolerance responses to reduce the incidence of graft-versus-host disease ("GvHD”) in patients undergoing allogeneic hematopoietic stem cell transplantation (“allo-HSCT”). Gastrointestinal microbiome data from the first 100 days of SER-155 Phase 1b open-label study cohort 1 showed the successful engraftment of SER-155 bacterial strains, and a substantial reduction in the cumulative incidence of pathogen domination as compared to a reference cohort of patients, a biomarker associated with the risk of serious enteric infections and resulting bloodstream infections, as well as GvHD. The tolerability profile observed was favorable, with no serious adverse events attributed to SER-155 administration. Enrollment in the placebo-controlled cohort 2 portion of the study is ongoing, and the cohort 2 data readout is anticipated in the third quarter of 2024.</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built and deploys a reverse translational platform and knowledge base for the discovery and development of microbiome therapeutics, and maintains extensive proprietary know-how that may be used to support future research and development efforts. This platform incorporates high-resolution analysis of human clinical data to identify microbiome biomarkers associated with disease and non-disease states; preclinical screening using human cell-based assays and in vitro/ex vivo and in vivo disease models customized for microbiome therapeutics; and microbiological capabilities and a strain library that spans broad biological and functional breadth to both identify specific microbes and microbial metabolites that are associated with disease and to design consortia of bacteria with specific pharmacological properties. In addition, the Company owns a valuable intellectual property estate related to the development and manufacture of microbiome therapeutics.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October 29, 2023, the Company's Board of Directors approved a restructuring plan to prioritize the commercialization of VOWST and the completion of the SER-155 Phase 1b study, while significantly reducing costs and supporting longer-term business sustainability (the "Restructuring Plan"). The Restructuring Plan included (i) a reduction of the Company's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 For additional information on the Restructuring Plan,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 Company operates in an environment of rapid change in technology and substantial competition from pharmaceutical and biotechnology companies. In addition, the Company is dependent upon the services of its employees and consultants.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that the Company will continue as a going concern and that contemplates the realization of assets and satisfaction of liabilities and commitments in the normal course of business. As of December 31, 2023, the Company had an accumulated deficit of $978,235 and cash and cash equivalents of $127,965.</w:t>
      </w:r>
    </w:p>
    <w:p>
      <w:pPr>
        <w:spacing w:after="0" w:line="6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Company's primary focus in recent months has been and will continue to be supporting commercialization, including the manufacture of VOWST, and the completion of the SER-155 Phase 1b study, which requires capital and resources. Other than VOWST, the Company’s product candidates are in development, and will require significant additional research and development efforts, including extensive preclinical and clinical testing and regulatory approval, prior to potential commercialization. There can be no assurance that the Company’s research and development will be successfully completed, that adequate protection for the Company’s intellectual property will be obtained, or maintained, that any product candidate developed will obtain necessary government regulatory approval, or that any approved product will be commercially viable. Even if the Company’s product development efforts are successful, it is uncertain when, if ever, the Company will generate significant revenue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Primarily as a result of the increased and costly efforts to commercialize VOWST and to continue the research and development efforts for other product candidates and preclinical programs, for </w:t>
      </w:r>
      <w:r>
        <w:rPr>
          <w:rFonts w:ascii="Times New Roman" w:cs="Times New Roman" w:eastAsia="Times New Roman" w:hAnsi="Times New Roman"/>
          <w:sz w:val="18"/>
          <w:szCs w:val="18"/>
          <w:color w:val="222222"/>
        </w:rPr>
        <w:t>the year ended December 31, 2023, the Company incurred a net loss of $113,724, and had net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cash outflows of $117,354. The Company expects that its operating losses and negative cash flows will continue for the foreseeable future. Based on the Company's currently available cash resources, current and forecasted level of operations, and forecasted cash flows for the 12-month period subsequent to the date of issuance of these consolidated financial statements, the Company will req</w:t>
      </w:r>
      <w:r>
        <w:rPr>
          <w:rFonts w:ascii="Times New Roman" w:cs="Times New Roman" w:eastAsia="Times New Roman" w:hAnsi="Times New Roman"/>
          <w:sz w:val="18"/>
          <w:szCs w:val="18"/>
          <w:color w:val="000000"/>
        </w:rPr>
        <w:t>uire additional funding to maintain commercial production of</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VOWST, continue to progress the SER-155 Phase 1b study, and meet its operational obligations as they come due. These factors raise substantial doubt about the Company's ability to continue as a going concern.</w:t>
      </w:r>
    </w:p>
    <w:p>
      <w:pPr>
        <w:spacing w:after="0" w:line="8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Company’s ability to continue as a going concern is dependent upon its ability to obtain the necessary financing to meet its obligations and repay its liabilities arising from normal business operations when they come due, and to generate profitable operations in the future. Management plans to provide for the Company’s capital requirements through financing or other transactions, including drawing the Tranche B Term Loan pursuant to the Oaktree Credit Agreement (see Note 9,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which is expected to become available to the Company based on VOWST net sales forecasts assuming continued quarter-over-quarter net sales growth, and selling shares under the Company's at the market equity offering. There can be no assurance that the Company will generate significant profit from the transfer of VOWST to Nestlé or its share of collaboration profits resulting from net sales of VOWST, or that it will be able to raise additional capital to fund operations with terms acceptable to the Company, or at all. Because certain elements of management’s plans to mitigate the conditions that raised substantial doubt about the Company’s ability to continue as a going concern are outside of the Company’s control, including the ability to raise capital through an equity or other financing, those elements cannot be considered probable according to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("ASC 205-40"), and therefore cannot be considered in the evaluation of mitigating factors. As a result, management has concluded that substantial doubt exists about the Company’s ability to continue as a going concern for 12 months from the date these consolidated financial statements are issued.</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80" w:lineRule="exact"/>
        <w:rPr>
          <w:sz w:val="20"/>
          <w:szCs w:val="20"/>
          <w:color w:val="auto"/>
        </w:rPr>
      </w:pPr>
    </w:p>
    <w:p>
      <w:pPr>
        <w:ind w:right="7340" w:firstLine="8"/>
        <w:spacing w:after="0" w:line="378" w:lineRule="auto"/>
        <w:tabs>
          <w:tab w:leader="none" w:pos="509"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In these consolidated financial statements, the Company uses estimates and assumptions related to revenue recognition and the accrual of research and development expenses. Estimates are periodically reviewed in light of changes in circumstances, facts and experience.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 Cash equivalents, which consist of money market accounts, commercial paper and corporate bonds purchased with original maturities of less than 90 days from the date of purchase, are stated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loss in stockholders’ equity (deficit), unless the Company has determined that the security has experienced a credit loss, the Company expects to sell the security prior to the recovery of its unrealized losses, or it is more likely than not that the Company will be required to sell the security prior to the recovery of its amortized cost basis. When determining whether a credit loss exists, the Company considers several factors, including the estimated present value of expected cash flows from the security, whether the Company has the intent to sell the security or whether it is more likely than not that the Company will be required to sell the security prior to recovery of its amortized cost basis.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to the consolidated statement of operations and comprehensive loss.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securities sold is determined on a specific identification basis, and realized gains and losses are included in other income (expense) within the consolidated statement of operations and comprehensive loss. No credit losses were recorded during the years ended December 31, 2023, 2022, and 2021.</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available-for-sale marketable debt securities as current assets on the consolidated balance sheet if they mature within one year from the balance sheet date. Any available-for-sale marketable debt securities with maturities greater than one year from the balance sheet date are classified as long-term assets on the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Investments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investments of $1,401 as of December 31, 2023 and 2022, in a separate restricted bank account as a security deposit for the lease of the Company’s headquarters in Cambridge, Massachusetts. The Company has classified these deposits as long-term restricted investments on its consolidated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held restricted cash of $8,185 as of December 31, 2023 and 2022, respectively, which represents cash held for the benefit of the landlord for the Company's other leases. The Company has classified the restricted cash as long-term on its consolidated balance sheet as the underlying leases are greater than 1 year.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cash equivalents and restricted cash were comprised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127,965</w:t>
            </w:r>
          </w:p>
        </w:tc>
        <w:tc>
          <w:tcPr>
            <w:tcW w:w="700" w:type="dxa"/>
            <w:vAlign w:val="bottom"/>
            <w:gridSpan w:val="3"/>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136,150</w:t>
            </w: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171,215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in accordance with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prepaid expenses and other current and non-current assets, accounts payable and accrued expenses approximate their respective fair values due to the short-term nature of these assets and liabilities. The carrying value of the Company’s long-term debt approximates its fair value (a level 2 measurement) at each balance sheet date due to its variable interest rate, which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approximates a market interest rate. The warrant liabilities associated with the Company's credit facility with Oaktree for which there is no current market and the determination of fair value requires significant estimation are classified as Level 3 financial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w:t>
      </w:r>
    </w:p>
    <w:p>
      <w:pPr>
        <w:spacing w:after="0" w:line="54"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Prior to the regulatory approval of its product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which are as follows:</w:t>
      </w:r>
    </w:p>
    <w:p>
      <w:pPr>
        <w:spacing w:after="0" w:line="156"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w:t>
            </w:r>
          </w:p>
        </w:tc>
      </w:tr>
      <w:tr>
        <w:trPr>
          <w:trHeight w:val="187"/>
        </w:trPr>
        <w:tc>
          <w:tcPr>
            <w:tcW w:w="654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3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furniture and office equipment</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5"/>
        </w:trPr>
        <w:tc>
          <w:tcPr>
            <w:tcW w:w="654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Lesser of useful life</w:t>
            </w:r>
          </w:p>
        </w:tc>
      </w:tr>
      <w:tr>
        <w:trPr>
          <w:trHeight w:val="248"/>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or lease term</w:t>
            </w:r>
          </w:p>
        </w:tc>
      </w:tr>
    </w:tbl>
    <w:p>
      <w:pPr>
        <w:spacing w:after="0" w:line="19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and right-of-use assets associated with our lease agreements. All of the Company's long-lived assets are to be held and used and have definitive lives and accordingly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or asset group to its carrying value. An impairment loss would be recognized when estimated undiscounted future cash flows expected to result from the use of an asset or asset group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based on reporting provided by third parties, typically contract research organizations. When evaluating the adequacy of the accrued liabilities, the Company analyzes progress of the studies, including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phase or completion of events, invoices received and contracted costs. Significant judgments and estimates are made in determining the accrued and prepaid balances at the end of any reporting period. Actual results could differ from the Company’s estimates. The Company’s historical accrual estimates have not been materially different from the actual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of stock-based awards as they occur rather than applying an estimated forfeiture rate to stock-based compensation expense.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guidance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applies to all contracts with customers, except those contracts that are within the scope of other guidance, such as leases, insurance, and financial instruments. The Company enters into agreements that are within the scope of ASC 606, under which the 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82" w:lineRule="exact"/>
        <w:rPr>
          <w:sz w:val="20"/>
          <w:szCs w:val="20"/>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6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the Company concludes that a contract should be accounted for as a combined performance obligation and recognized over time, the Company must then determine the period over which revenue should be recognized and the method by which to measure revenue. The Company generally recognizes revenue using a cost-based input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supply services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 accounts for the option as a separate performance obligation. If determined to be an option but not a material right, the Company accounts for the option as a separate contract when the customer elects to exercise the option.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22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Profit and Loss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which includes determining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606. For those elements of the arrangement that are accounted for pursuant to ASC 606, the Company applies the five-step model prescribed in ASC 606, as described above. For elements of collaboration arrangements that are accounted for pursuant to ASC 808, an appropriate recognition method is determined and applied consistently, generally by analogy to ASC 606. The Company records its share of the profits or losses from the sales of VOWST on a net basis, as collaboration (profit) loss sharing - related party because Nestlé and the Company are both active participants in commercialization activities and are exposed to significant risks and rewards that are dependent on the commercial success of the activities in the arrangement. The collaboration (profit) loss sharing - related party line item also includes the Company's profit on the transfer of VOWST inventory to Nestlé, which represents the excess of the supply price paid by Nestlé over our cost to manufacture VOWST.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singular focus is on developing microbiome therapeutics to treat the modulation of the colonic microbiome. Revenue to date has been generated solely through the Company's agreements with its collaborators, all of which has been earned in the United States. All tangible assets are held in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2023, 2022 and 2021, other comprehensive income (loss) consisted of changes in unrealized gains (losses) from available-for-sale investments and a currency translation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on the balance sheet, but payments are recognized as expense on a straight-line basis over the lease term. The Company has elected not to record a right-of-use asset or lease liability for leases with terms of 12 months or less.</w:t>
      </w:r>
    </w:p>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3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3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Right-of-use assets and lease liabilities are reassessed and remeasured when amendments to the terms of the lease agreement require reassessment and remeasurement of the lease payments and other inputs to the calculation of right-of-use assets and lease liabilities. The Company accounts for remeasurements and modifications to lease liabilities using the present value of remaining lease payments and estimated incremental borrowing rate at the date of remeasurement. The adjustment to the lease liability is recognized as a gain or loss in operating expenses, or as an adjustment to the right-of-use asset, as appropriate, based on the terms and conditions within the lease that are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 of Credit Losses on Financial Instruments (‘‘ASU 2016-13’’), which requires the measurement and recognition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w:t>
      </w:r>
      <w:r>
        <w:rPr>
          <w:rFonts w:ascii="Times New Roman" w:cs="Times New Roman" w:eastAsia="Times New Roman" w:hAnsi="Times New Roman"/>
          <w:sz w:val="18"/>
          <w:szCs w:val="18"/>
          <w:i w:val="1"/>
          <w:iCs w:val="1"/>
          <w:color w:val="auto"/>
        </w:rPr>
        <w:t>Codification Improvements to Topic 326,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which narrowed the scope and changed the effective date for non-public entities for ASU 2016-13. The FASB subsequently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supplemental guidance within ASU No. 2019-05, </w:t>
      </w:r>
      <w:r>
        <w:rPr>
          <w:rFonts w:ascii="Times New Roman" w:cs="Times New Roman" w:eastAsia="Times New Roman" w:hAnsi="Times New Roman"/>
          <w:sz w:val="18"/>
          <w:szCs w:val="18"/>
          <w:i w:val="1"/>
          <w:iCs w:val="1"/>
          <w:color w:val="auto"/>
        </w:rPr>
        <w:t>Financial Instruments—Credit Losses (Topic 326): Targeted Transition Relief</w:t>
      </w:r>
      <w:r>
        <w:rPr>
          <w:rFonts w:ascii="Times New Roman" w:cs="Times New Roman" w:eastAsia="Times New Roman" w:hAnsi="Times New Roman"/>
          <w:sz w:val="18"/>
          <w:szCs w:val="18"/>
          <w:color w:val="auto"/>
        </w:rPr>
        <w:t xml:space="preserve"> (‘‘ASU 2019-05’’). ASU 2019-05 provides an option to irrevocably elect the fair value option for certain financial assets previously measured at amortized cost basis. The Company adopted the new standard using a modified retrospective approach as of January 1, 2022. The adoption of this standard did not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18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that the adoption of ASU 2023-07 may have on its consolidated financial statements.</w:t>
      </w:r>
    </w:p>
    <w:p>
      <w:pPr>
        <w:spacing w:after="0" w:line="74" w:lineRule="exact"/>
        <w:rPr>
          <w:sz w:val="20"/>
          <w:szCs w:val="20"/>
          <w:color w:val="auto"/>
        </w:rPr>
      </w:pPr>
    </w:p>
    <w:p>
      <w:pPr>
        <w:ind w:right="1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consolidated financial statements.</w:t>
      </w:r>
    </w:p>
    <w:p>
      <w:pPr>
        <w:spacing w:after="0" w:line="288"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80" w:type="dxa"/>
            <w:vAlign w:val="bottom"/>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 Using:</w:t>
            </w:r>
          </w:p>
        </w:tc>
      </w:tr>
      <w:tr>
        <w:trPr>
          <w:trHeight w:val="169"/>
        </w:trPr>
        <w:tc>
          <w:tcPr>
            <w:tcW w:w="5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2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23"/>
        </w:trPr>
        <w:tc>
          <w:tcPr>
            <w:tcW w:w="5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2022 Using:</w:t>
            </w:r>
          </w:p>
        </w:tc>
      </w:tr>
      <w:tr>
        <w:trPr>
          <w:trHeight w:val="169"/>
        </w:trPr>
        <w:tc>
          <w:tcPr>
            <w:tcW w:w="5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deposits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82,831</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-2459355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-2639695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-2476500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-2459355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-2639695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-2476500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-2459355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-2639695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-2476500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-2459355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-2639695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-2142490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-2142490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-2142490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Money market funds are valued by the Company based on quoted market prices, which represent a Level 1 measurement within the fair value hierarchy. Commercial paper, corporate bonds, and government securities are valued by the Company using quoted prices in active markets for similar securities, which represent a Level 2 measurement within the fair value hierarchy.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held a restricted investment of $1,401, which represents a certificate of deposit that is classified as Level 2 in the fair value hierarchy.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Level 3 financial liabilities consist of the warrant liabilities for which there is no current market such that the determination of fair value requires significant judgment or estimation. Changes in fair value measurements categorized within Level 3 of the fair value hierarchy are analyzed each period based on changes in estimates or assumptions and recorded through other income (expense). The Company uses a Monte-Carlo simulation model which includes the Black-Scholes option pricing model to value the Level 3 warrant liabilities at inception and on each subsequent reporting date. This model incorporates transaction details such as the Company’s stock price, contractual terms of the underlying warrants, maturity, risk free rates, volatility, as well as the term to achievement of estimated sales targets. The unobservable inputs for all of the Level 3 warrant liabilities are volatility and the term to achievement of estimated sales targets. The Company utilizes its historical and implied volatility, using its closing common stock prices and market data, to reflect future volatility over the expected term of the warrants. The Company estimates the time to achievement of sales targets of VOWST using information and forecasts generated by the Company in consideration of the terms of the 2021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On the Closing Date (as defined in Note 9,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and as of December 31, 2023, the Level 3 inputs to the warrant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211455</wp:posOffset>
            </wp:positionV>
            <wp:extent cx="76835" cy="2482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211455</wp:posOffset>
            </wp:positionV>
            <wp:extent cx="76835" cy="2482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76835" cy="248285"/>
                    </a:xfrm>
                    <a:prstGeom prst="rect">
                      <a:avLst/>
                    </a:prstGeom>
                    <a:noFill/>
                  </pic:spPr>
                </pic:pic>
              </a:graphicData>
            </a:graphic>
          </wp:anchor>
        </w:drawing>
      </w:r>
    </w:p>
    <w:p>
      <w:pPr>
        <w:spacing w:after="0" w:line="313" w:lineRule="exact"/>
        <w:rPr>
          <w:sz w:val="20"/>
          <w:szCs w:val="20"/>
          <w:color w:val="auto"/>
        </w:rPr>
      </w:pPr>
    </w:p>
    <w:tbl>
      <w:tblPr>
        <w:tblLayout w:type="fixed"/>
        <w:tblInd w:w="1420" w:type="dxa"/>
        <w:tblCellMar>
          <w:top w:w="0" w:type="dxa"/>
          <w:left w:w="0" w:type="dxa"/>
          <w:bottom w:w="0" w:type="dxa"/>
          <w:right w:w="0" w:type="dxa"/>
        </w:tblCellMar>
      </w:tblPr>
      <w:tr>
        <w:trPr>
          <w:trHeight w:val="151"/>
        </w:trPr>
        <w:tc>
          <w:tcPr>
            <w:tcW w:w="5680" w:type="dxa"/>
            <w:vAlign w:val="bottom"/>
          </w:tcPr>
          <w:p>
            <w:pPr>
              <w:spacing w:after="0"/>
              <w:rPr>
                <w:sz w:val="13"/>
                <w:szCs w:val="13"/>
                <w:color w:val="auto"/>
              </w:rPr>
            </w:pPr>
          </w:p>
        </w:tc>
        <w:tc>
          <w:tcPr>
            <w:tcW w:w="130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Closing Date</w:t>
            </w:r>
          </w:p>
        </w:tc>
        <w:tc>
          <w:tcPr>
            <w:tcW w:w="80" w:type="dxa"/>
            <w:vAlign w:val="bottom"/>
            <w:vMerge w:val="restart"/>
          </w:tcPr>
          <w:p>
            <w:pPr>
              <w:spacing w:after="0"/>
              <w:rPr>
                <w:sz w:val="13"/>
                <w:szCs w:val="13"/>
                <w:color w:val="auto"/>
              </w:rPr>
            </w:pPr>
          </w:p>
        </w:tc>
        <w:tc>
          <w:tcPr>
            <w:tcW w:w="80" w:type="dxa"/>
            <w:vAlign w:val="bottom"/>
            <w:tcBorders>
              <w:top w:val="single" w:sz="8" w:color="auto"/>
            </w:tcBorders>
            <w:vMerge w:val="restart"/>
          </w:tcPr>
          <w:p>
            <w:pPr>
              <w:spacing w:after="0"/>
              <w:rPr>
                <w:sz w:val="13"/>
                <w:szCs w:val="13"/>
                <w:color w:val="auto"/>
              </w:rPr>
            </w:pPr>
          </w:p>
        </w:tc>
        <w:tc>
          <w:tcPr>
            <w:tcW w:w="1200" w:type="dxa"/>
            <w:vAlign w:val="bottom"/>
            <w:tcBorders>
              <w:top w:val="single" w:sz="8" w:color="auto"/>
            </w:tcBorders>
          </w:tcPr>
          <w:p>
            <w:pPr>
              <w:jc w:val="right"/>
              <w:ind w:right="119"/>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year ended December 31, 2023 for liabilities measured at fair value on a recurring basis using significant unobservable inputs (Level 3) is as follows (in thousands):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169"/>
        </w:trPr>
        <w:tc>
          <w:tcPr>
            <w:tcW w:w="8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(1,554 )</w:t>
            </w:r>
          </w:p>
        </w:tc>
      </w:tr>
      <w:tr>
        <w:trPr>
          <w:trHeight w:val="237"/>
        </w:trPr>
        <w:tc>
          <w:tcPr>
            <w:tcW w:w="8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top w:val="single" w:sz="8" w:color="CFF0FC"/>
            </w:tcBorders>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basis using significant unobservable inputs (Level 3) during the year ended December 31, 2022. There were no transfers between Level 1, Level 2, or Level 3 during the years ended December 31, 2023 and 2022.</w:t>
      </w:r>
    </w:p>
    <w:p>
      <w:pPr>
        <w:spacing w:after="0" w:line="266"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held restricted investments of $1,401, the cost of which approximates current fair value. The Company did not hold any other investments as of December 31, 2023.</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by security type consisted of the following at December 31, 2022 (in thousands):</w:t>
      </w:r>
    </w:p>
    <w:p>
      <w:pPr>
        <w:spacing w:after="0" w:line="23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31"/>
        </w:trPr>
        <w:tc>
          <w:tcPr>
            <w:tcW w:w="39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7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right"/>
              <w:ind w:right="7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securities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tcPr>
          <w:p>
            <w:pPr>
              <w:spacing w:after="0"/>
              <w:rPr>
                <w:sz w:val="21"/>
                <w:szCs w:val="2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39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100" w:type="dxa"/>
            <w:vAlign w:val="bottom"/>
            <w:shd w:val="clear" w:color="auto" w:fill="CFF0FC"/>
          </w:tcPr>
          <w:p>
            <w:pPr>
              <w:spacing w:after="0"/>
              <w:rPr>
                <w:sz w:val="21"/>
                <w:szCs w:val="2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Excluded from the table above at December 31, 2022 are restricted investments of $1,401, as the cost approximates current fair value. Investments with original maturities of less than 90 days are included in cash and cash equivalents on the consolidated balance sheets and are not included in the table above. Investments with maturities of less than twelve months are considered current assets and those investments with maturities greater than twelve months are considered non-current assets. As of December 31, 2022, all of the Company's investments were classified as available-for-sale and matured within 12 months of the balance sheet date.</w:t>
      </w:r>
    </w:p>
    <w:p>
      <w:pPr>
        <w:spacing w:after="0" w:line="328"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Capitalized inventories consist of the following at December 31, 2023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were no inventories capitalized as of December 31, 2022, because the Company obtained approval for VOWST from the FDA on April 26, 2023. Prior to this approval, all costs for the manufacture of product supplies to support clinical development and commercial launch, including pre-launch inventory, were expensed as incurred or otherwise accounted for pursuant to the 2021 License Agreement. Pre-launch inventory manufactured prior to the FDA approval of VOWST, which was not capitalized into inventory but instead was expensed as research and development in previous periods, will be used in commercial production until it is depleted. Pre-launch inventory expensed as research and development totaled $26,794 for the year ended December 31, 2023.</w:t>
      </w:r>
    </w:p>
    <w:p>
      <w:pPr>
        <w:spacing w:after="0" w:line="1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or unmarketability and determined not to be recoverable pursuant to the 2021 License Agreement are expensed in the period in which they are identified. There were no such write-downs during the year ended December 31, 2023.</w:t>
      </w:r>
    </w:p>
    <w:p>
      <w:pPr>
        <w:spacing w:after="0" w:line="333"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80" w:type="dxa"/>
            <w:vAlign w:val="bottom"/>
            <w:shd w:val="clear" w:color="auto" w:fill="CFF0FC"/>
          </w:tcPr>
          <w:p>
            <w:pPr>
              <w:spacing w:after="0"/>
              <w:rPr>
                <w:sz w:val="20"/>
                <w:szCs w:val="20"/>
                <w:color w:val="auto"/>
              </w:rPr>
            </w:pP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80" w:type="dxa"/>
            <w:vAlign w:val="bottom"/>
          </w:tcPr>
          <w:p>
            <w:pPr>
              <w:spacing w:after="0"/>
              <w:rPr>
                <w:sz w:val="20"/>
                <w:szCs w:val="20"/>
                <w:color w:val="auto"/>
              </w:rPr>
            </w:pP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80" w:type="dxa"/>
            <w:vAlign w:val="bottom"/>
            <w:shd w:val="clear" w:color="auto" w:fill="CFF0FC"/>
          </w:tcPr>
          <w:p>
            <w:pPr>
              <w:spacing w:after="0"/>
              <w:rPr>
                <w:sz w:val="21"/>
                <w:szCs w:val="21"/>
                <w:color w:val="auto"/>
              </w:rPr>
            </w:pPr>
          </w:p>
        </w:tc>
      </w:tr>
      <w:tr>
        <w:trPr>
          <w:trHeight w:val="23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w:t>
            </w:r>
          </w:p>
        </w:tc>
        <w:tc>
          <w:tcPr>
            <w:tcW w:w="80" w:type="dxa"/>
            <w:vAlign w:val="bottom"/>
          </w:tcPr>
          <w:p>
            <w:pPr>
              <w:spacing w:after="0"/>
              <w:rPr>
                <w:sz w:val="20"/>
                <w:szCs w:val="20"/>
                <w:color w:val="auto"/>
              </w:rPr>
            </w:pPr>
          </w:p>
        </w:tc>
      </w:tr>
      <w:tr>
        <w:trPr>
          <w:trHeight w:val="247"/>
        </w:trPr>
        <w:tc>
          <w:tcPr>
            <w:tcW w:w="6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68,025</w:t>
            </w:r>
          </w:p>
        </w:tc>
        <w:tc>
          <w:tcPr>
            <w:tcW w:w="80" w:type="dxa"/>
            <w:vAlign w:val="bottom"/>
          </w:tcPr>
          <w:p>
            <w:pPr>
              <w:spacing w:after="0"/>
              <w:rPr>
                <w:sz w:val="20"/>
                <w:szCs w:val="20"/>
                <w:color w:val="auto"/>
              </w:rPr>
            </w:pPr>
          </w:p>
        </w:tc>
      </w:tr>
      <w:tr>
        <w:trPr>
          <w:trHeight w:val="247"/>
        </w:trPr>
        <w:tc>
          <w:tcPr>
            <w:tcW w:w="6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(51,138 )</w:t>
            </w: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(45,040 )</w:t>
            </w:r>
          </w:p>
        </w:tc>
      </w:tr>
      <w:tr>
        <w:trPr>
          <w:trHeight w:val="232"/>
        </w:trPr>
        <w:tc>
          <w:tcPr>
            <w:tcW w:w="64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80" w:type="dxa"/>
            <w:vAlign w:val="bottom"/>
            <w:tcBorders>
              <w:top w:val="single" w:sz="8" w:color="CFF0FC"/>
            </w:tcBorders>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-504825</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-504825</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$6,243, $6,629 and $5,947 for the years ended December 31, 2023, 2022 and 2021, respectively. During the years ended December 31, 2023 and 2022, the Company disposed of certain fully-depreciated assets with a cost basis of $145 and $1,857,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30" w:lineRule="exact"/>
        <w:rPr>
          <w:sz w:val="20"/>
          <w:szCs w:val="20"/>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2"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and development costs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w:t>
            </w:r>
          </w:p>
        </w:tc>
        <w:tc>
          <w:tcPr>
            <w:tcW w:w="80" w:type="dxa"/>
            <w:vAlign w:val="bottom"/>
            <w:shd w:val="clear" w:color="auto" w:fill="CFF0FC"/>
          </w:tcPr>
          <w:p>
            <w:pPr>
              <w:spacing w:after="0"/>
              <w:rPr>
                <w:sz w:val="20"/>
                <w:szCs w:val="20"/>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and quality costs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payroll-related costs</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80" w:type="dxa"/>
            <w:vAlign w:val="bottom"/>
            <w:shd w:val="clear" w:color="auto" w:fill="CFF0FC"/>
          </w:tcPr>
          <w:p>
            <w:pPr>
              <w:spacing w:after="0"/>
              <w:rPr>
                <w:sz w:val="21"/>
                <w:szCs w:val="2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payable - related party (Note 18)</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80" w:type="dxa"/>
            <w:vAlign w:val="bottom"/>
          </w:tcPr>
          <w:p>
            <w:pPr>
              <w:spacing w:after="0"/>
              <w:rPr>
                <w:sz w:val="20"/>
                <w:szCs w:val="20"/>
                <w:color w:val="auto"/>
              </w:rPr>
            </w:pPr>
          </w:p>
        </w:tc>
      </w:tr>
      <w:tr>
        <w:trPr>
          <w:trHeight w:val="247"/>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Facility and other</w:t>
            </w:r>
          </w:p>
        </w:tc>
        <w:tc>
          <w:tcPr>
            <w:tcW w:w="10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40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80,611</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59,840</w:t>
            </w:r>
          </w:p>
        </w:tc>
        <w:tc>
          <w:tcPr>
            <w:tcW w:w="8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-187960</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-187960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accrued a total of $30,049 payable to Bacthera for the substantial completion of the Company's dedicated production suite for long-term supply of VOWST, as the milestone was achieved during the year ended December 31, 2023. This amount is included in the Manufacturing and quality costs category above.</w:t>
      </w:r>
    </w:p>
    <w:p>
      <w:pPr>
        <w:spacing w:after="0" w:line="6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 xml:space="preserve">Additionally, included within payroll and payroll-related costs is $5,080 of accrued severance related to the Restructuring Plan. See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for further details.</w:t>
      </w:r>
    </w:p>
    <w:p>
      <w:pPr>
        <w:spacing w:after="0" w:line="144"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leases real estate, primarily laboratory, office and manufacturing space. The Company’s leases have remaining terms ranging from approximately one to nine years. Certain leases include one or more options to renew, exercisable at the Company’s sole discretion, with renewal terms that can extend the lease from approximately one year to ten years. The Company evaluated the renewal options in its leases to determine if it was reasonably certain that the renewal option would be exercised,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2022, the Company entered into a lease for additional laboratory and office space in Spring House, Pennsylvania, with a lease term of ten years and a renewal option, subject to certain conditions, for an additional five-year term. The undiscounted minimum lease payments were $3,029, net of a tenant improvement allowance of $1,184, over the original ten-year term. The lease commenced in April 2023. For the year ended December 31, 2023, the Company recorded a right-of-use asset of $3,571, which consists of the lease liability of $1,235, and $2,336 of leasehold improvements that revert back to the lessor at the termination of the lease.</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2022, the Company amended its lease of its former corporate headquarters in Cambridge, Massachusetts (the "Lease Amendment"). The Lease Amendment reduced the office space subject to the lease while maintaining the laboratory and manufacturing space and extended the term to begin in November 2023, when the term of the original lease concludes, and continue through January 2030. The Company accounted for the Lease Amendment as a modification to the existing lease and not a new contract separate from the existing contract, and accordingly increased the associated lease liability and right-of-use asset by $32,837. Minimum lease payments total $60,022 throughout the term of the Lease Amendment, net of an estimated tenant improvement allowance of $1,000.</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committed to restore the leased space subject to the Lease Amendment to the condition specified in the original lease, and the Company updated its estimate of the costs required to fulfill this obligation in accordance with ASC 410,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at the effective date of the modification. Based on current estimates, the Company recorded an additional asset retirement obligation of $452 in December 2022.</w:t>
      </w:r>
    </w:p>
    <w:p>
      <w:pPr>
        <w:spacing w:after="0" w:line="6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 lease for a donor collection facility in Irvine, California, with a lease term of approximately six years and a renewal option, subject to certain conditions, for an additional five-year term. The undiscounted minimum lease payments are $1,079 over the original term. The lease commenced in December 2023. For the year ended December 31, 2023, the Company recorded a right-of-use asset of $1,830, which consists of the lease liability of $768, and $1,062 of leasehold improvements that revert back to the lessor at the termination of the lease.</w:t>
      </w:r>
    </w:p>
    <w:p>
      <w:pPr>
        <w:spacing w:after="0" w:line="7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January 2024, the Company entered into a sublease agreement with an unrelated third party to sublease a portion of its office and laboratory space in Cambridge, Massachusetts. The term of the sublease agreement commenced in March 2024 and ends on January 13, 2030. The Company will receive lease payments over the sublease term totaling $10,400. The sublessee is obligated to pay all real estate taxes and costs related to the subleased premises, including cost of operations, maintenance, repair, replacement and property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sheets of its operating leases: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109,793</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110,984</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47"/>
        </w:trPr>
        <w:tc>
          <w:tcPr>
            <w:tcW w:w="6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105,715</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64"/>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shd w:val="clear" w:color="auto" w:fill="CFF0FC"/>
          </w:tcPr>
          <w:p>
            <w:pPr>
              <w:spacing w:after="0"/>
              <w:rPr>
                <w:sz w:val="22"/>
                <w:szCs w:val="22"/>
                <w:color w:val="auto"/>
              </w:rPr>
            </w:pPr>
          </w:p>
        </w:tc>
      </w:tr>
      <w:tr>
        <w:trPr>
          <w:trHeight w:val="26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22"/>
                <w:szCs w:val="22"/>
                <w:color w:val="auto"/>
              </w:rPr>
            </w:pPr>
          </w:p>
        </w:tc>
      </w:tr>
      <w:tr>
        <w:trPr>
          <w:trHeight w:val="27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2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FF0FC"/>
          </w:tcPr>
          <w:p>
            <w:pPr>
              <w:spacing w:after="0"/>
              <w:rPr>
                <w:sz w:val="24"/>
                <w:szCs w:val="24"/>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(1,575 )</w:t>
            </w:r>
          </w:p>
        </w:tc>
      </w:tr>
      <w:tr>
        <w:trPr>
          <w:trHeight w:val="277"/>
        </w:trPr>
        <w:tc>
          <w:tcPr>
            <w:tcW w:w="5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costs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both"/>
        <w:ind w:firstLine="5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made cash payments for operating leases of $15,656, $7,809 and $6,821,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future payments of operating lease liabilities are as follows (in thousands):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19,869</w:t>
            </w:r>
          </w:p>
        </w:tc>
        <w:tc>
          <w:tcPr>
            <w:tcW w:w="100" w:type="dxa"/>
            <w:vAlign w:val="bottom"/>
            <w:shd w:val="clear" w:color="auto" w:fill="CFF0FC"/>
          </w:tcPr>
          <w:p>
            <w:pPr>
              <w:spacing w:after="0"/>
              <w:rPr>
                <w:sz w:val="20"/>
                <w:szCs w:val="20"/>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10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tcPr>
          <w:p>
            <w:pPr>
              <w:spacing w:after="0"/>
              <w:rPr>
                <w:sz w:val="20"/>
                <w:szCs w:val="20"/>
                <w:color w:val="auto"/>
              </w:rPr>
            </w:pP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23,580</w:t>
            </w:r>
          </w:p>
        </w:tc>
        <w:tc>
          <w:tcPr>
            <w:tcW w:w="100" w:type="dxa"/>
            <w:vAlign w:val="bottom"/>
            <w:shd w:val="clear" w:color="auto" w:fill="CFF0FC"/>
          </w:tcPr>
          <w:p>
            <w:pPr>
              <w:spacing w:after="0"/>
              <w:rPr>
                <w:sz w:val="21"/>
                <w:szCs w:val="21"/>
                <w:color w:val="auto"/>
              </w:rPr>
            </w:pPr>
          </w:p>
        </w:tc>
      </w:tr>
      <w:tr>
        <w:trPr>
          <w:trHeight w:val="24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65,819</w:t>
            </w:r>
          </w:p>
        </w:tc>
        <w:tc>
          <w:tcPr>
            <w:tcW w:w="100" w:type="dxa"/>
            <w:vAlign w:val="bottom"/>
          </w:tcPr>
          <w:p>
            <w:pPr>
              <w:spacing w:after="0"/>
              <w:rPr>
                <w:sz w:val="21"/>
                <w:szCs w:val="21"/>
                <w:color w:val="auto"/>
              </w:rPr>
            </w:pPr>
          </w:p>
        </w:tc>
      </w:tr>
      <w:tr>
        <w:trPr>
          <w:trHeight w:val="237"/>
        </w:trPr>
        <w:tc>
          <w:tcPr>
            <w:tcW w:w="8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payments of operating lease liabilities</w:t>
            </w:r>
          </w:p>
        </w:tc>
        <w:tc>
          <w:tcPr>
            <w:tcW w:w="58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177,351</w:t>
            </w:r>
          </w:p>
        </w:tc>
        <w:tc>
          <w:tcPr>
            <w:tcW w:w="100" w:type="dxa"/>
            <w:vAlign w:val="bottom"/>
            <w:shd w:val="clear" w:color="auto" w:fill="CFF0FC"/>
          </w:tcPr>
          <w:p>
            <w:pPr>
              <w:spacing w:after="0"/>
              <w:rPr>
                <w:sz w:val="20"/>
                <w:szCs w:val="20"/>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(64,959 )</w:t>
            </w:r>
          </w:p>
        </w:tc>
      </w:tr>
      <w:tr>
        <w:trPr>
          <w:trHeight w:val="276"/>
        </w:trPr>
        <w:tc>
          <w:tcPr>
            <w:tcW w:w="8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80" w:type="dxa"/>
            <w:vAlign w:val="bottom"/>
            <w:tcBorders>
              <w:top w:val="single" w:sz="8" w:color="auto"/>
              <w:bottom w:val="single" w:sz="8" w:color="auto"/>
            </w:tcBorders>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was 7.95 years and the weighted average incremental borrowing rate used to determine the operating lease liability was 13%. As of December 31, 2022, the weighted average remaining lease term was 8.92 years and the weighted average incremental borrowing rate used to determine the operating lease liability was 13%.</w:t>
      </w:r>
    </w:p>
    <w:p>
      <w:pPr>
        <w:spacing w:after="0" w:line="280"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October 29, 2019 (“Hercules Closing Date”), the Company entered into a Loan and Security Agreement (the “Hercules Loan Agreement”) with Hercules Capital, Inc. (“Hercules”) pursuant to which a term loan in an aggregate principal amount of up to $50,000 (the “Original Credit Facility”) was available to the Company in three tranches, subject to certain terms and conditions. Effective as of February 24, 2022 (the “Effective Date”), the Company entered into an Amendment to the Hercules Loan Agreement (the “Amendment”), with the lenders party thereto (the “Hercules Lenders”), and Hercules in its capacity as the administrative agent and the collateral agent for the Hercules Lenders, which amended the Original Credit Facility. Pursuant to the Amendment, a term loan facility in an amount of $100,000 (the “Hercules Credit Facility”) became available to the Company in five tranches, including the first tranche of $25,000 previously drawn under the Original Credit Facility, subject to certain terms and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first tranche in an aggregate principal amount of $25,000 was outstanding as of the Effective Date, after taking into account reborrowing by the Company on the Effective Date of a previously-repaid principal amount of approximately $2,900. The second tranche in an aggregate principal amount of $12,500 and the third tranche in an aggregate principal amount of $12,500 were advanced to the Company and were outstanding as of the Effective Date. The fourth and fifth tranches, in an aggregate principal amounts of $25,000 each, were available upon satisfaction of certain conditions, but were not drawn before the repayment and extinguishment of the Hercules Credit Facility.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advances outstanding under the Hercules Credit Facility bore interest at a rate equal to the greater of either (i) the Prime Rate (as reported in The Wall Street Journal) plus 6.40%, or (ii) 9.65%. The Company had the option to prepay advances under the Hercules Credit Facility, in whole or in part, at any time subject to a prepayment charge, and the Hercules Loan Agreement included an end of term charge of 4.85% of the aggregate amount of the advances made under the Original Credit Facility, as well as an additional end of term charge of 1.75% of the aggregate amount of the advances under the Hercules Credit Facility (including the first tranche of $25,000), each due as specified in the Amendment.</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Hercules Credit Facility was secured by substantially all of the Company’s assets, other than the Company’s intellectual property. The Company agreed to not pledge or secure its intellectual property to others.</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accounted for the Amendment as a modification in accordance with the guidance in ASC 470-50,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 Amounts paid to the lenders were recorded as debt discount and a new effective interest rate was established. Upon issuance, the Hercules Credit Facility was recorded as a liability with an initial carrying value of $50,586, net of debt issuance costs. The initial carrying value was accreted to the repayment amount, which includes the outstanding principal plus the end of term charge, through interest expense using the effective interest rate method over the term of the debt. As of December 31, 2022, the carrying value of the debt was $51,047.</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27, 2023 (the “Closing Date”), the Company entered into the Credit Agreement and Guaranty (the “Oaktree Credit Agreement”) among the Company, the subsidiary guarantors from time to time party thereto, the lenders from time to time party thereto (the “Lenders”), and Oaktree Fund Administration, LLC, in its capacity as administrative agent for the Lenders (in such capacity, the “Agent”). The Oaktree Credit Agreement establishes a term loan facility of $250,000 (the “Term Loan”) consisting of (i) $80,000 (“Tranche A-1”) and (ii) $30,000 (“Tranche A-2” and collectively, “Tranche A Loan”), funded on the Closing Date. The Term Loan also consists of (i) $45,000 (the “Tranche B Loan”) and (iii) $45,000 (the “Tranche C Loan”), each of which the Company may borrow subject to certain conditions, and (iv) $50,000 (the “Tranche D Loan”) available in Oaktree’s sole discretion. The Tranche B Loan may be drawn by the Company until September 30, 2024, if VOWST net sales for the trailing six consecutive months are at least $35,000 and at least 4.5% greater in the calendar quarter prior to the Applicable Funding Date (as defined in the Oaktree Credit Agreement) over the calendar quarter immediately preceding it. The Tranche C Loan may be drawn until September 30, 2025, if VOWST net sales for the trailing 12 consecutive months are at least $120,000 and at least 4.5% greater in each of the two calendar quarters prior to the Applicable Funding Date relative, in each case, to the calendar quarter immediately preceding it. The Term Loan has a maturity date of April 27, 2029 (the “Maturity 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Of the $110,000 Tranche A Loan advanced by the Lenders at closing, approximately $53,380 repaid the Company’s existing credit facility with Hercules. After deducting other transaction expenses and fees, the Company received net proceeds of approximately $50,446. The Company accounted for the repayment of the Hercules Credit Facility as an extinguishment in accordance with the guidance in ASC 470-50, and recognized a loss on extinguishment of $1,625 in other income (expense) in the accompanying consolidated statements of operations and comprehensive loss for the year ended December 31, 2023.</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Term Loan bear interest at a rate per annum equal to the three-month term Secured Overnight Financing Rate (“SOFR”) (subject to a 2.50% floor and a 5.00% cap), plus an applicable margin of 7.875%, payable quarterly in arrears. If certain VOWST net sales targets are met, the applicable margin will be reduced from 7.875% to 7.50% through the Maturity Date. The Company is required to make quarterly interest-only payments on the Term Loan for the first three years after the Closing Date. Beginning on June 30, 2026, the Company will be required to make quarterly payments of interest, plus repay 7.50% of the outstanding principal of the Term Loan in quarterly installments until the Maturity Date, unless the interest only period is extended based upon the achievement of certain VOWST net sales targets.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the Lenders an exit fee equal to 1.50% of the aggregate amount of the Term Loan funded, such exit fee to be due and payable upon the earliest to occur of (1) the Maturity Date, (2) the acceleration of the outstanding Term Loan, and (3) the prepayment of the outstanding Term Loan. The Company may voluntarily prepay the outstanding Term Loan, subject to a customary make-whole for the first two years following the Closing Date plus 4.0% of the principal amount of the Term Loan prepaid, and thereafter a prepayment premium equal to (i) 4.0% of the principal amount of the Term Loan prepaid, if prepaid after the second anniversary of the Closing Date through and including the third anniversary of the Closing Date, (ii) 2.0% of the principal amount of the Term Loan if prepaid after the third anniversary of the Closing Date through and including the fourth anniversary of the Closing Date, (iii) 1.0% of the principal amount of the Term Loan if prepaid after the fourth anniversary of the Closing Date through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including the fifth anniversary of the Closing Date, with no prepayment premium due after the fifth anniversary of the Closing Date through the Maturity Date.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Oaktree Credit Agreement and the other Loan Documents (as defined in the Oaktree Credit Agreement) will be guaranteed by any domestic subsidiaries of the Company that become Guarantors (as defined in the Oaktree Credit Agreement), subject to certain exceptions. The Company’s and the Guarantors’ (collectively, the “Loan Parties”) respective obligations under the Oaktree Credit Agreement and the other Loan Documents are secured by first priority security interests in substantially all assets of the Loan Parties, including intellectual property, subject to certain customary thresholds and exceptions. As of December 31, 2023, there were no Guarantors.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Oaktree Credit Agreement contains customary representations, warranties and affirmative and negative covenants, including a financial covenant requiring the Company to maintain certain levels of cash and cash equivalents in accounts subject to a control agreement in favor of the Agent of at least $30,000 at all times commencing from 30 days after the Closing Date and decreasing to $25,000 of cash and cash equivalents in such controlled accounts after the Company borrows any Tranche B Loan. As of December 31, 2023, the Company was in compliance with all financial covenants pursuant to the Oaktree Credit Agreement.</w:t>
      </w:r>
    </w:p>
    <w:p>
      <w:pPr>
        <w:spacing w:after="0" w:line="183"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Oaktree Credit Agreement contains certain events of default that entitle the Agent to cause the Company’s indebtedness under the Oaktree Credit Agreement to become immediately due and payable, and to exercise remedies against the Loan Parties and the collateral securing the Term Loan, including cash. In an event of default and for its duration, as defined in the Oaktree Credit Agreement, an additional default interest rate equal to 2.0% per annum may apply to all obligations owed under the Oaktree Credit Agreement.</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the Closing Date, the Company issued to the Lenders warrants to purchase 647,589 shares (subject to certain adjustments) of the Company’s common stock (the “Tranche A Warrant”), at an exercise price per share of $6.69. The Tranche A Warrant is immediately exercisable and the exercise period expires on April 26, 2030. Upon the funding of each of the Tranche B Loan and the Tranche C Loan, the Company is required to issue to the Lenders warrants to purchase 264,922 shares (subject to certain adjustments) of the Company’s common stock on each such funding date at an exercise price equal to the trailing volume weighted average price of the Company’s common stock for the 30 trading days prior to the funding date for each tranche (the “Tranche B Warrant” and the “Tranche C Warrant,” respectively, and together the “Additional Warrants”). The Additional Warrants will be immediately exercisable upon issuance, and the exercise period will expire seven years from the date of issuance.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determined that the Tranche A Loan, the Tranche A Warrant, the commitment by the Lenders to fund the Tranche B Loan and the Tranche C Loan, and the Tranche B Warrant and Tranche C Warrant, are all freestanding financial instruments. On the Closing Date, the Company evaluated the Tranche A Warrant and determined that it meets the requirements for equity classification under ASC 815, Derivatives and Hedging (“ASC 815”). The net proceeds from the Tranche A Loan were allocated to the Tranche A Warrant and the Tranche A Loan using the relative fair value method, and the relative fair value of the Tranche A Warrant, $2,785, is recorded as an increase to additional paid-in-capital on the consolidated statements of stockholder’s equity (deficit), and as a discount to the Tranche A Loan that will be amortized over the life of the Tranche A Loan using the effective interest method. The Company used the Black-Scholes option pricing model to determine the fair value of the Tranche A Warrant. Assumptions used in the Black-Scholes model included the fair market value per share of common stock on the valuation date of $5.32, the exercise price per warrant equal to $6.69, the expected volatility of 111.6%, the risk-free interest rate of 3.57%, the expected term of 7 years and the absence of a dividend.</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Additional Warrants are considered outstanding instruments at the Closing Date of the Oaktree Credit Agreement and in accordance with ASC 815, are initially recognized at their respective fair values as derivative liabilities given the variable settlement amount of their respective aggregate exercise prices. The Company adjusts the carrying values of the Additional Warrants to their respective fair values at each reporting period, until such time that the Additional Warrants are issued and their respective exercise prices become fixed, and the value of the Additional Warrants is reclassified to additional paid-in capital. The Company uses a simulation model to determine the fair value of the Additional Warrants, as described in Note 3, Fair Value Measurements. The fair value of the Tranche B Warrant and Tranche C Warrant derivative liabilities was $1,077, $1,023, $276, and $270 on the Closing Date and at December 31, 2023, respectively.</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fair values of the Additional Warrants are recorded as other income (expense) in the consolidated statements of operations and comprehensive loss. In addition to the relative fair value of the Tranche A Warrant, the original issue discount and certain debt issuance costs were recorded as a discount to the Tranche A Loan, the total of which will be accreted to the Tranche A Loan as interest expense over the life of the Tranche A Loan using the effective interest method. The fair values of the derivative liabilities associated with the Tranche B Warrant and Tranche C Warrant are recorded as loan commitment prepaid assets on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are included in the consolidated balance sheets in other non-current assets, and will be reclassified as discounts to the associated Term Loan balances at such time that they are drawn.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effective interest rate in effect as of December 31, 2023 was 15.9%. As of December 31, 2023, the carrying value of the Term Loan was $101,544, which is classified as a long-term liability on the consolidated balance sheets. The future principal payments due under the Oaktree Credit Agreement, excluding interest and the end of term charge, are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6"/>
                <w:szCs w:val="16"/>
                <w:color w:val="auto"/>
              </w:rPr>
            </w:pPr>
          </w:p>
        </w:tc>
      </w:tr>
      <w:tr>
        <w:trPr>
          <w:trHeight w:val="23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24,750</w:t>
            </w:r>
          </w:p>
        </w:tc>
        <w:tc>
          <w:tcPr>
            <w:tcW w:w="100" w:type="dxa"/>
            <w:vAlign w:val="bottom"/>
            <w:shd w:val="clear" w:color="auto" w:fill="CFF0FC"/>
          </w:tcPr>
          <w:p>
            <w:pPr>
              <w:spacing w:after="0"/>
              <w:rPr>
                <w:sz w:val="21"/>
                <w:szCs w:val="21"/>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20"/>
                <w:szCs w:val="20"/>
                <w:color w:val="auto"/>
              </w:rPr>
            </w:pPr>
          </w:p>
        </w:tc>
      </w:tr>
      <w:tr>
        <w:trPr>
          <w:trHeight w:val="24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shd w:val="clear" w:color="auto" w:fill="CFF0FC"/>
          </w:tcPr>
          <w:p>
            <w:pPr>
              <w:spacing w:after="0"/>
              <w:rPr>
                <w:sz w:val="21"/>
                <w:szCs w:val="21"/>
                <w:color w:val="auto"/>
              </w:rPr>
            </w:pP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tcPr>
          <w:p>
            <w:pPr>
              <w:spacing w:after="0"/>
              <w:rPr>
                <w:sz w:val="21"/>
                <w:szCs w:val="21"/>
                <w:color w:val="auto"/>
              </w:rPr>
            </w:pPr>
          </w:p>
        </w:tc>
      </w:tr>
      <w:tr>
        <w:trPr>
          <w:trHeight w:val="277"/>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$2,468 and $10,708 of interest expense under the Hercules Credit Facility and Oaktree Credit Agreement, respectively, which is reflected in interest expense on the consolidated statement of operations and comprehensive loss. During the year ended December 31, 2022, the Company recognized $6,020 of interest expense related to the Hercules Credit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30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Common Stock and Stock-Based Awards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1, 2015, in connection with the closing of the IPO, the Company effected its Restated Certificate of Incorporation, which authorizes the Company to issue 200,000,000 shares of common stock, $0.001 par value per share. On March 29, 2023, the Company’s board of directors adopted a resolution to amend the Restated Certificate of Incorporation, subject to stockholder approval, by increasing the number of authorized shares of the Company’s Common Stock from 200,000,000 shares to 240,000,000 shares (the “Share Increase Amendment”). At the Company’s annual meeting of stockholders held on June 22, 2023, the Company’s stockholders approved the Share Increase Amendment. On June 27, 2023, the Company amended its Restated Certificate of Incorporation to reflect the Share Increase Amendment.</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2019, the Company entered into a common stock sales agreement, or the 2019 Sales Agreement, with Cowen to sell shares of the Company's common stock with aggregate gross sales proceeds of up to $25,000, from time to time, through an "at the market" equity offering program, or ATM, under which Cowen acts as sales agent. In March 2020, the Company entered into a new common stock sales agreement, or the 2020 Sales Agreement, with Cowen on substantially the same terms as the 2019 Sales Agreement and terminated the 2019 Sales Agreement. In May 2021, the Company entered into a new common stock sales agreement, or the 2021 Sales Agreement, with Cowen to sell shares of its common stock with aggregate gross sales proceeds of up to $150,000, from time to time, through an ATM under which Cowen acts as sales agent, and terminated the 2020 Sales Agreement. During the year ended December 31, 2023, the Company sold 7,711,199 shares of common stock under the 2021 Sales Agreement, at an average price of approximately $2.46 per share, raising aggregate net proceeds of approximately $18,159 after deducting an aggregate commission of approximately 3% and other issuance costs. During the year ended December 31, 2022, the Company sold 655,000 shares of common stock under the 2021 Sales Agreement, at an average price of approximately $7.26 per share, raising aggregate net proceeds of approximately $4,447 after deducting an aggregate commission of approximately 3% and other issuance costs. During the year ended December 31, 2021, the Company did not sell any shares of common stock under the 2020 Sales Agreement or the 2021 Sales Agreement.</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Between December 31, 2023 and February 29, 2024, the Company sold 15,366,630 shares of common stock under the 2021 Sales Agreement, at an average price of approximately $1.23 per share, raising aggregate net proceeds of approximately $18,484 after deducting an aggregate commission of approximately 3% and other issuance costs.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June 29, 2022, the Company entered into securities purchase agreements with new and existing investors and certain directors and officers in a registered direct offering, or the Registered Direct Offering, of an aggregate of 31,746,030 shares of its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 purchase price of $3.15 per share for total net proceeds of approximately $96,721, after deducting placement agent’s fees and other estimated offering expenses. Net proceeds included an aggregate of $27,525 received from Flagship Pioneering Fund VII, L.P. and Nutritional Health LTP Fund, L.P., affiliates of Flagship Pioneering, or Flagship, one of its significant stockholders, in exchange for 8,738,243 shares. The closing date of the Registered Direct Offering was July 5,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2012 Stock Incentive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2012 Plan generally vest over four years and expire after ten years, although options have been granted with vesting terms less than four years. As of December 31, 2023, there were no shares available for future grant under the 2012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Incentive Award Plan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Incentive Award Plan (the “2015 Plan”), which became effective on June 25, 2015. The 2015 Plan was subsequently amended on December 14, 2022, and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awards granted under the 2015 Plan generally vest over four years and expire after ten years, although options have been granted with vesting terms less than four years. As of December 31, 2023, there were 2,545,586 shares available for future grant under the 2015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During the year ended and as of December 31, 2023, there were 602,692 shares issued and 2,266,512 shares were reserved and available for issuance under the ESPP,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ESPP provides that eligible employees may contribute up to 15% of their eligible earnings toward the semi-annual purchase of the Company's common stock. Purchase rights issued under the ESPP are intended to be qualified under Section 423 of the Internal Revenue Code ("IRC").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Employment Inducement Award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December 14, 2022, the Company’s board of directors approved the 2022 Employment Inducement Award Plan (the "2022 Plan"), which became effective on such date without stockholder approval pursuant to Rule 5635(c)(4) of The Nasdaq Stock Market LLC listing rules (“Rule 5635(c)</w:t>
      </w:r>
    </w:p>
    <w:p>
      <w:pPr>
        <w:jc w:val="both"/>
        <w:spacing w:after="0" w:line="251" w:lineRule="auto"/>
        <w:rPr>
          <w:sz w:val="20"/>
          <w:szCs w:val="20"/>
          <w:color w:val="auto"/>
        </w:rPr>
      </w:pPr>
      <w:r>
        <w:rPr>
          <w:rFonts w:ascii="Times New Roman" w:cs="Times New Roman" w:eastAsia="Times New Roman" w:hAnsi="Times New Roman"/>
          <w:sz w:val="18"/>
          <w:szCs w:val="18"/>
          <w:color w:val="auto"/>
        </w:rPr>
        <w:t>(4)”). The 2022 Plan provides for the grant of nonqualified stock options, stock appreciation rights, restricted stock awards, restricted stock units and other stock- or cash-based awards. In accordance with Rule 5635(c)(4), awards under the 2022 Plan may only be made to a newly hired employee who has not previously been a member of our board of directors, or an employee who is being rehired following a bona fide period of non-employment by us as a material inducement to the employee’s entering into employment with us. A total of 2,500,000 shares of common stock were reserved for issuance under the 2022 Plan. Any shares subject to awards previously granted under the 2022 Plan that expire, terminate or are otherwise surrendered, canceled, or forfeited in any case, in a manner that results in the Company acquiring the shares covered by the award at a price not greater than the price (as adjusted to reflect any equity restructuring) paid by the Participant for such shares or not issuing any shares covered by the award, the unused shares covered by the award will again be available for award grants under the 2022 Plan.</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there were 2,382,884 shares available for future grant under the 2022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14,940,034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2,508,553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(260,640 )</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(2,343,835 )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14,844,112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Vested or expected to vest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14,844,112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10,488,694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years ended December 31, 2023, 2022, and 2021 was $4.51, $5.53, and $15.33 per share, respectively. The total intrinsic value of stock options exercised during the years ended December 31, 2023, 2022, and 2021 was $438, $981, and $4,727,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performance-based stock options to employees for the purchase of an aggregate of 562,000 shares of common stock with a grant date fair value of $5.53 per share. These stock options are exercisable only upon achievement of specified performance targets. In April 2023, the performance target associated with 50% of the performance-based stock options was achieved. Accordingly, the Company recorded $2,051 of compensation expense during the year ended December 31, 2023, with respect to these performance-based stock options, which represents a cumulative catch-up from the grant date through the achievement of the performance targets, and vesting of the remaining 50% of the options beginning in April 2023, partially offset by the reversal of stock-based compensation expense associated with the forfeiture of unvested awards. The remaining compensation expense associated with these performance-based stock options will be recognized ratably through April 2024, for all such options for which ongoing performance targets are achieved and service requirements are met.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 ("RSUs") and restricted stock units with performance-based vesting conditions ("PSUs"). RSUs and PSUs represent the right to receive shares of common stock upon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specified vesting requirements. Restricted stock units may not be sold or transferred by the holder and vest according to the vesting conditions of each award. The table below summarizes the Company’s RSU and PSU activity for the year ended December 31, 2023:</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7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1,549,540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4,424,479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(1,071,571 )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(1,524,644 )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 as of December 31,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3,377,804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granted 3,101,764, 1,302,844 and 643,998 RSUs, respectively. During the year ended December 31, 2023, 2022, and 2021, the Company granted 1,322,715, 0, and 125,000 PSUs, respectively. RSUs generally vest over four years, with 25% vesting after one year, and the remaining 75% vesting quarterly over the next 3 years, subject to continued service to the Company through the applicable vesting date. PSUs vest according to the performance requirements of the awards, generally when the Company has determined that the specified performance targets have been achieved.</w:t>
      </w:r>
    </w:p>
    <w:p>
      <w:pPr>
        <w:spacing w:after="0" w:line="183" w:lineRule="exact"/>
        <w:rPr>
          <w:sz w:val="20"/>
          <w:szCs w:val="20"/>
          <w:color w:val="auto"/>
        </w:rPr>
      </w:pPr>
    </w:p>
    <w:p>
      <w:pPr>
        <w:jc w:val="both"/>
        <w:ind w:right="20" w:firstLine="509"/>
        <w:spacing w:after="0" w:line="313" w:lineRule="auto"/>
        <w:rPr>
          <w:sz w:val="20"/>
          <w:szCs w:val="20"/>
          <w:color w:val="auto"/>
        </w:rPr>
      </w:pPr>
      <w:r>
        <w:rPr>
          <w:rFonts w:ascii="Times New Roman" w:cs="Times New Roman" w:eastAsia="Times New Roman" w:hAnsi="Times New Roman"/>
          <w:sz w:val="18"/>
          <w:szCs w:val="18"/>
          <w:color w:val="auto"/>
        </w:rPr>
        <w:t>The aggregate intrinsic value of RSUs, including PSUs for which the performance conditions have been met, that vested during the years ended December 31, 2023, 2022 and 2021 was $4,729, $1,809, and $16, respectively.</w:t>
      </w:r>
    </w:p>
    <w:p>
      <w:pPr>
        <w:spacing w:after="0" w:line="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as part of the corporate restructuring described in Note 13,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the Company issued retention awards to employees of the Company in the form of RSUs which vest in two tranches on August 15, 2024, and May 15, 2025, subject to remaining actively employed with the Company through such date. The $1,255 in compensation expense associated with these awards will be recognized ratably over the vesting period. For the year ended December 31, 2023, the Company recognized $92 in compensation expense with respect to the retention awards.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Restructuring Plan, the Company elected to accelerate the vesting of certain RSUs and PSUs previously granted to employees who were terminated as part of the Restructuring Plan. The Company accounted for the acceleration as a modification under applicable accounting standards, in which awards that were previously deemed not probable of vesting due to the employees' terminations became probable. Accordingly, the Company reversed $1,191 of compensation cost that had previously been recognized during the year ended December 31, 2023 on these awards and recorded the incremental fair value of the awards on the modification date of $261.</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granted PSUs to two employees covering an aggregate of 85,000 shares of common stock with a grant date fair value of $9.59 per share and 40,000 shares with a grant date fair value of $20.35 per share. These PSUs vest only upon achievement of specified performance targets. As of December 31, 2021, these awards were not vested because the specified performance targets had not been achieved. In addition, the performance targets were not deemed probable of achievement. Accordingly, the Company did not record any expense for these awards from the dates of issuance through December 31, 2021. In October 2022, 42,500 of the awards with a grant date fair value of $9.59, and 20,000 of the awards with a grant date fair value of $20.35, vested fully, as the associated performance targets were achieved. Accordingly, the Company recorded $815 in compensation expense during the year ended December 31, 2022, with respect to these awards. In April 2023, the remaining PSUs underlying these awards vested because the associated targets were achieved. Accordingly, the Company recorded the remaining $815 in compensation expense during the year ended December 31, 2023, with respect to these PSUs.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PSUs to employees covering an aggregate of 1,322,715 shares of common stock with a grant date fair value of $5.50. These PSUs begin to vest ratably only upon achievement of specified performance targets, which were achieved in April 2023. Accordingly, the Company recorded $4,293 in compensation expense during the year ended December 31, 2023, with respect to these PSUs. The remaining $1,092 in compensation expense associated with these PSUs will be recognized ratably through October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Valuation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9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3.64 %</w:t>
            </w:r>
          </w:p>
        </w:tc>
        <w:tc>
          <w:tcPr>
            <w:tcW w:w="7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0.73 %</w:t>
            </w:r>
          </w:p>
        </w:tc>
      </w:t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r>
      <w:tr>
        <w:trPr>
          <w:trHeight w:val="24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107.2 %</w:t>
            </w:r>
          </w:p>
        </w:tc>
        <w:tc>
          <w:tcPr>
            <w:tcW w:w="7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104.0 %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106.5 %</w:t>
            </w:r>
          </w:p>
        </w:tc>
      </w:tr>
      <w:tr>
        <w:trPr>
          <w:trHeight w:val="243"/>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-607695</wp:posOffset>
            </wp:positionV>
            <wp:extent cx="641223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rights to acquire common stock under the ESPP using a Black-Scholes valuation model on the date of grant and the straight-line attribution approach to recognize the expense. The assumptions that the Company used to determine the fair value of rights to acquire common stock under the ESPP were as follows, presented on a weighted average basis:</w:t>
      </w:r>
    </w:p>
    <w:p>
      <w:pPr>
        <w:spacing w:after="0" w:line="18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2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5.01 %</w:t>
            </w:r>
          </w:p>
        </w:tc>
        <w:tc>
          <w:tcPr>
            <w:tcW w:w="1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0.97 %</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0"/>
                <w:szCs w:val="20"/>
                <w:color w:val="auto"/>
              </w:rPr>
            </w:pP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79.1 %</w:t>
            </w:r>
          </w:p>
        </w:tc>
        <w:tc>
          <w:tcPr>
            <w:tcW w:w="1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123.8 %</w:t>
            </w: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-607695</wp:posOffset>
            </wp:positionV>
            <wp:extent cx="641223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13,429</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10,146</w:t>
            </w:r>
          </w:p>
        </w:tc>
        <w:tc>
          <w:tcPr>
            <w:tcW w:w="100" w:type="dxa"/>
            <w:vAlign w:val="bottom"/>
            <w:shd w:val="clear" w:color="auto" w:fill="CFF0FC"/>
          </w:tcPr>
          <w:p>
            <w:pPr>
              <w:spacing w:after="0"/>
              <w:rPr>
                <w:sz w:val="20"/>
                <w:szCs w:val="20"/>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tcPr>
          <w:p>
            <w:pPr>
              <w:spacing w:after="0"/>
              <w:rPr>
                <w:sz w:val="21"/>
                <w:szCs w:val="21"/>
                <w:color w:val="auto"/>
              </w:rPr>
            </w:pPr>
          </w:p>
        </w:tc>
      </w:tr>
      <w:tr>
        <w:trPr>
          <w:trHeight w:val="272"/>
        </w:trPr>
        <w:tc>
          <w:tcPr>
            <w:tcW w:w="59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34,101</w:t>
            </w:r>
          </w:p>
        </w:tc>
        <w:tc>
          <w:tcPr>
            <w:tcW w:w="2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25,482</w:t>
            </w:r>
          </w:p>
        </w:tc>
        <w:tc>
          <w:tcPr>
            <w:tcW w:w="2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an aggregate of $35,036 of unrecognized stock-based compensation cost, which is expected to be recognized over a weighted average period of 2.1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(113,724 )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(250,157 )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(65,578 )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128,003,294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108,077,043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91,702,866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(0.89 )</w:t>
            </w:r>
          </w:p>
        </w:tc>
        <w:tc>
          <w:tcPr>
            <w:tcW w:w="4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(2.31 )</w:t>
            </w: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vMerge w:val="continue"/>
            <w:shd w:val="clear" w:color="auto" w:fill="CFF0FC"/>
          </w:tcPr>
          <w:p>
            <w:pPr>
              <w:spacing w:after="0"/>
              <w:rPr>
                <w:sz w:val="21"/>
                <w:szCs w:val="21"/>
                <w:color w:val="auto"/>
              </w:rPr>
            </w:pPr>
          </w:p>
        </w:tc>
        <w:tc>
          <w:tcPr>
            <w:tcW w:w="1260" w:type="dxa"/>
            <w:vAlign w:val="bottom"/>
            <w:gridSpan w:val="2"/>
            <w:vMerge w:val="continue"/>
            <w:shd w:val="clear" w:color="auto" w:fill="CFF0FC"/>
          </w:tcPr>
          <w:p>
            <w:pPr>
              <w:spacing w:after="0"/>
              <w:rPr>
                <w:sz w:val="21"/>
                <w:szCs w:val="21"/>
                <w:color w:val="auto"/>
              </w:rPr>
            </w:pPr>
          </w:p>
        </w:tc>
        <w:tc>
          <w:tcPr>
            <w:tcW w:w="460" w:type="dxa"/>
            <w:vAlign w:val="bottom"/>
            <w:gridSpan w:val="2"/>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340" w:type="dxa"/>
            <w:vAlign w:val="bottom"/>
            <w:vMerge w:val="continue"/>
            <w:shd w:val="clear" w:color="auto" w:fill="CFF0FC"/>
          </w:tcPr>
          <w:p>
            <w:pPr>
              <w:spacing w:after="0"/>
              <w:rPr>
                <w:sz w:val="21"/>
                <w:szCs w:val="21"/>
                <w:color w:val="auto"/>
              </w:rPr>
            </w:pPr>
          </w:p>
        </w:tc>
        <w:tc>
          <w:tcPr>
            <w:tcW w:w="120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potential common stock equivalents excluded from the</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calculation of net loss per share:</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14,844,112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14,940,034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3,377,804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1,549,540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under employee stock purchase plan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1,177,433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-1087755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-1071245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-1087755</wp:posOffset>
            </wp:positionV>
            <wp:extent cx="596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-1071245</wp:posOffset>
            </wp:positionV>
            <wp:extent cx="596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-1087755</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and therefore been anti-dilutive. Therefore, the weighted average number of common shares outstanding used to calculate both basic and diluted net loss per share attributable to common stockholders is the same. Additionally, for the year ended December 31, 2023, the warrants to purchase common stock were excluded because the exercise price of the Tranche A Warrants is greater than the average fair value of the Company's common shares, and the necessary conditions for exercise of the Tranche B and Tranche C Warrants had not been met.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2, 2023, the Company announced the Restructuring Plan to prioritize the commercialization of VOWST and the completion of the SER-155 Phase 1b study, while significantly reducing costs and supporting longer-term business sustainability. The Restructuring Plan included (i) a reduction of the Company’s workforce by approximately 41% across the organization, resulting in the elimination of approximately 160 positions; (ii) significantly scaling back all non-partnered research and development activities other than the completion of the SER-155 Phase 1b study; and (iii) reducing general and administrative expenses, including consolidating office space.</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restructuring charge of $5,606, which was incurred entirely in the fourth quarter of 2023, and which represents all restructuring charges expected to be incurred. Restructuring charges included approximately $5,345 of employee related termination costs in the form of salary continuation and cash severance payments, and $261 related to the acceleration of vesting of certain previously granted RSUs and PSUs. The following tables summarize the restructuring related charges and classification by line item within the Company’s consolidated statements of operations during the year ended December 31, 2023:</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Research and</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General and</w:t>
            </w:r>
          </w:p>
        </w:tc>
        <w:tc>
          <w:tcPr>
            <w:tcW w:w="160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3,318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Acceleration of unvested equity awards</w:t>
            </w:r>
          </w:p>
        </w:tc>
        <w:tc>
          <w:tcPr>
            <w:tcW w:w="1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22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3,481</w:t>
            </w:r>
          </w:p>
        </w:tc>
        <w:tc>
          <w:tcPr>
            <w:tcW w:w="26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4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03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restructuring charge is included in accrued expenses and other current liabilities in the Company’s consolidated balance sheets. The following table presents changes in the restructuring liability for the year ended December 31, 2023 (in thousands):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7"/>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100" w:type="dxa"/>
            <w:vAlign w:val="bottom"/>
            <w:shd w:val="clear" w:color="auto" w:fill="CFF0FC"/>
          </w:tcPr>
          <w:p>
            <w:pPr>
              <w:spacing w:after="0"/>
              <w:rPr>
                <w:sz w:val="20"/>
                <w:szCs w:val="20"/>
                <w:color w:val="auto"/>
              </w:rPr>
            </w:pPr>
          </w:p>
        </w:tc>
      </w:tr>
      <w:tr>
        <w:trPr>
          <w:trHeight w:val="23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(261 )</w:t>
            </w:r>
          </w:p>
        </w:tc>
      </w:tr>
      <w:tr>
        <w:trPr>
          <w:trHeight w:val="247"/>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made</w:t>
            </w:r>
          </w:p>
        </w:tc>
        <w:tc>
          <w:tcPr>
            <w:tcW w:w="10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(265 )</w:t>
            </w:r>
          </w:p>
        </w:tc>
      </w:tr>
      <w:tr>
        <w:trPr>
          <w:trHeight w:val="237"/>
        </w:trPr>
        <w:tc>
          <w:tcPr>
            <w:tcW w:w="82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Remaining liability included in accrued expenses and other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Borders>
              <w:top w:val="single" w:sz="8" w:color="CFF0FC"/>
            </w:tcBorders>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expects that substantially all of the accrued restructuring charges as of December 31, 2023 will be paid in cash by March 31,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Awards</w:t>
      </w:r>
    </w:p>
    <w:p>
      <w:pPr>
        <w:spacing w:after="0" w:line="121"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8"/>
          <w:szCs w:val="18"/>
          <w:color w:val="auto"/>
        </w:rPr>
        <w:t>In November 2023, upon recommendation of the Company's Compensation Committee, the Board of Directors approved retention awards for employees of the Company in the form of RSUs which vest in two tranches on August 15, 2024, and May 15, 2025, subject to remaining actively employed with the Company through such date. The $1,255 in compensation expense associated with these awards will be recognized ratably over the vesting period.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NHSc Rx License GmbH (Nestlé)</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 entered into the 2021 License Agreement with NHSc Pharma Partners, succeeded by NHSc Rx License GmbH (together with Société des Produits Nestlé S.A., their affiliates, and their subsidiaries, "Nestlé") (the "2021 License Agreement"). Under the terms of the 2021 License Agreement, the Company granted Nestlé a co-exclusive, sublicensable (under certain circumstances) license to develop, commercialize and conduct medical affairs activities for (i) therapeutic products based on the Company's microbiome technology (including VOWST, previously the Company's SER-109 product candidate) that are developed by the Company or on the Company's behalf for the treatment of CDI and recurrent CDI, as well as any other indications pursued for the products upon mutual agreement of the parties (the “2021 Field”) in the United States and Canada (the “2021 Licensed Territory”), and (ii) VOWST and any improvements and modifications thereto developed pursuant to the terms of the 2021 License Agreement (the "2021 Collaboration Products") for any indications in the 2021 Licensed Territory. The Company is responsible for completing development of the first 2021 Collaboration Product, which is VOWST, in the 2021 Field in the United States until first regulatory approval, which was obtained on April 26, 2023.</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Nestlé has the sole right to commercialize the 2021 Collaboration Products in the 2021 Licensed Territory in accordance with a commercialization plan. Both parties will perform medical affairs activities in the 2021 Licensed Territory in accordance with a medical affairs plan. The Company is responsible for the manufacturing and supply for commercialization under a supply agreement that has been executed between the parties. Both parties performed pre-launch activities of VOWST prior to the first commercial sale in the United States, which occurred in June 2023. The Company was responsible for funding the pre-launch activities until first commercial sale of VOWST in the 2021 Licensed Territory and in accordance with a pre-launch plan, up to a specified cap. The Company is entitled to share equally in the commercial profits and losses of VOWST.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2021 License Agreement, the Company received an upfront payment of $175,000, and the Company received an additional $125,000 milestone payment in May 2023 after FDA approval of VOWST. The Company is eligible to receive additional payments of up to $235,000 if certain regulatory and sales milestones are achieved. The potential future milestone payments include up to $10,000 for the achievement of specified regulatory milestones and up to $225,000 for the achievement of specified net sales milestones.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with twelve months’ prior written notice, effective only on or after the third anniversary of first commercial sale of VOWST in the 2021 Licensed Territory. The Company may also terminate the 2021 License Agreement immediately upon written notice if Nestlé challenges any licensed patent in the 2021 Licensed Territory. Upon termination of the 2021 License Agreement, all licenses granted to Nestlé by the Company will terminate. If the Company commits a material breach of the 2021 License Agreement, Nestlé may elect not to terminate the 2021 License Agreement but instead apply specified adjustments to the payment terms and other terms and conditions of the 2021 License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2021 License Agreement represents a separate contract between Nestlé and the Company. The 2021 License Agreement is within the scope of Accounting Standard Update 2018-18, </w:t>
      </w:r>
      <w:r>
        <w:rPr>
          <w:rFonts w:ascii="Times New Roman" w:cs="Times New Roman" w:eastAsia="Times New Roman" w:hAnsi="Times New Roman"/>
          <w:sz w:val="18"/>
          <w:szCs w:val="18"/>
          <w:i w:val="1"/>
          <w:iCs w:val="1"/>
          <w:color w:val="auto"/>
        </w:rPr>
        <w:t>Collaborative Arrangements (Topic 808)</w:t>
      </w:r>
      <w:r>
        <w:rPr>
          <w:rFonts w:ascii="Times New Roman" w:cs="Times New Roman" w:eastAsia="Times New Roman" w:hAnsi="Times New Roman"/>
          <w:sz w:val="18"/>
          <w:szCs w:val="18"/>
          <w:color w:val="auto"/>
        </w:rPr>
        <w:t xml:space="preserve"> (see Note 15, </w:t>
      </w:r>
      <w:r>
        <w:rPr>
          <w:rFonts w:ascii="Times New Roman" w:cs="Times New Roman" w:eastAsia="Times New Roman" w:hAnsi="Times New Roman"/>
          <w:sz w:val="18"/>
          <w:szCs w:val="18"/>
          <w:i w:val="1"/>
          <w:iCs w:val="1"/>
          <w:color w:val="auto"/>
        </w:rPr>
        <w:t>Collaboration Profit and Loss</w:t>
      </w:r>
      <w:r>
        <w:rPr>
          <w:rFonts w:ascii="Times New Roman" w:cs="Times New Roman" w:eastAsia="Times New Roman" w:hAnsi="Times New Roman"/>
          <w:sz w:val="18"/>
          <w:szCs w:val="18"/>
          <w:color w:val="auto"/>
        </w:rPr>
        <w:t xml:space="preserve">), and has elements that are within the scope of ASC 606 -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and Topic 808.</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identified the following promises in the 2021 License Agreement that were evaluated under the scope of Topic 606: (i) delivery of a co-exclusive license for VOWST to develop, commercialize and conduct medical affairs in the United States and Canada; (ii) services to be performed in accordance with the development and regulatory activity plan to obtain regulatory approval of VOWST in the United States. The Company also evaluated whether certain options outlined within the 2021 License Agreement represented material rights that would give rise to a performance obligation and concluded that none of the options convey a material right to Nestlé and therefore are not considered separate performance obligations within the 2021 License Agreement.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determined that the co-exclusive license for VOWST and the services to obtain regulatory approval of VOWST in the United States are reflective of a vendor-customer relationship and therefore represent performance obligations within the scope of Topic</w:t>
      </w:r>
    </w:p>
    <w:p>
      <w:pPr>
        <w:jc w:val="both"/>
        <w:ind w:firstLine="8"/>
        <w:spacing w:after="0" w:line="252" w:lineRule="auto"/>
        <w:tabs>
          <w:tab w:leader="none" w:pos="36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co-exclusive license for VOWST in the United States and Canada is considered functional intellectual property and distinct from other promises under the contract as Nestlé can benefit from the license on its own or together with other readily available resources. The services performed by the Company to obtain regulatory approval of VOWST were not complex or specialized, could be performed by another qualified third party, were not expected to significantly modify or customize the license given that VOWST was late-stage intellectual property that completed clinical development and the services were performed over a short period of time. Therefore, the license and the services each represents a separate performance obligation within a contract with a customer under the scope of Topic 606 at contract inception.</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up-front payment of $175,000 compensated the Company for: (i) the co-exclusive license for VOWST to develop, commercialize and conduct medical affairs in the United States and Canada, (ii) services performed in accordance with the development and regulatory activity plan to obtain regulatory approval of VOWST in the United States and (iii) pre-launch activities performed by Nestlé and the Company until the first commercial sale of VOWST in the United States. The commercialization activities, which include the commercial manufacturing, participation on joint steering committees and medical affairs work, that occur after regulatory approval of VOWST in the United States, are part of the 50/50 sharing of commercial profits. Therefore, the up-front payment of $175,000 does not compensate the Company for these activities.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allocated the $175,000 between the Topic 606 unit of account and the Topic 808 unit of account by determining the standalone selling price (SSP) of each good or service. The selling price of each good or service was determined based on the Company’s SSP with the objective of determining the price at which it would sell such an item if it were to be sold regularly on a standalone basis. The Company determined the transaction price under Topic 606 to be $139,500 and the Topic 808 amount to be $35,500 at the inception of the 2021 License Agreement (see Note 15,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Profit and Loss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Topic 606 transaction price of $139,500 was allocated to the co-exclusive license for VOWST and the services performed in accordance with the development and regulatory activity plan to obtain regulatory approval of VOWST in the United States based on the Company’s SSP. The Company recognized revenue for the license performance obligation at a point in time, that is upon transfer of the license to Nestlé. As control of the license was transferred in July 2021, the Company recognized $131,343 of collaboration revenue - related party during the year ended December 31, 2021 pertaining to the license performance obligation. The remaining amount of the Topic 606 transaction price of $8,157 was allocated to the services performance obligation and was recognized over time as the Company performed the services, which it completed in April 2023. During the years ended December 31, 2023, 2022, and 2021, the Company recognized $1,975, $4,114, and $2,068 of collaboration revenue - related party, respectively, related to the services performance obligation under the 2021 License Agreement.</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any variable consideration related to the remaining regulatory milestones is deemed to be fully constrained and therefore excluded from the transaction price due to the high degree of uncertainty and risk associated with these potential payments, as the Company determined that it could not assert that it was probable that a significant reversal in the amount of cumulative revenue recognized will not occur. The Company also determined that sales milestones relate solely to the license of intellectual property and are therefore excluded from the transaction price under the sales- or usage-based royalty exception of Topic 606. Revenue related to these sales milestones will only be recognized when the associated sales occur, and relevant thresholds are met.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the $125,000 regulatory milestone payment received in May 2023, which was fully allocated to the license performance obligation, as revenue in the consolidated statements of operations and comprehensive loss during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Société des Produits Nestlé S.A. (Nestlé)</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January 2016, the Company entered into a collaboration and license agreement with Nestec Ltd., succeeded by Société des Produits Nestlé S.A. (together with NHSc Rx License GmbH, their affiliates and their subsidiaries, “Nestlé”) (the “2016 License Agreement”) for the development and commercialization of certain product candidates for the treatment and management of CDI and inflammatory bowel disease (“IBD”), including UC and Crohn’s disease. The 2016 License Agreement supports the development of the Company’s portfolio of products for CDI and IBD in markets outside of the United States and Canada (the “2016 Licensed Territory”).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2016 License Agreement, the Company granted to Nestlé an exclusive, royalty-bearing license to develop and commercialize, in the 2016 Licensed Territory, certain products based on its microbiome technology that are being developed or commercialized, as applicable, for the treatment of CDI and IBD, including VOWST, SER-262, SER-287 and SER-301 (collectively, the “2016 Collaboration Products”). The 2016 License Agreement sets forth the Company’s and Nestlé’s respective obligations for development, commercialization, regulatory and manufacturing and supply activities for the 2016 Collaboration Products with respect to the licensed fields and the 2016 Licensed Territory.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2016 License Agreement, Nestlé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the 2016 Collaboration Products. Nestlé also agreed to pay the Company tiered royalties, at percentages ranging from the high single digits to high teens, of net sales of 2016 Collaboration Products in the 2016 Licensed Territory.</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2016 License Agreement, the Company is entitled to receive a $20,000 milestone payment from Nestlé following initiation of a SER-287 Phase 2 study and a $20,000 milestone payment from Nestlé following the initiation of a SER-287 Phase 3 study. In November 2018, the Company entered into a letter agreement with Nestlé which modified the 2016 License Agreement to address the current clinical plans for SER-287. Pursuant to the letter agreement, the Company and Nestlé agreed that following initiation of the SER-287 Phase 2b study, the Company would be entitled to receive $40,000 in milestone payments from Nestlé, which represent the milestone payments due to the Company for the initiation of a SER-287 Phase 2 study and a Phase 3 study. The SER-287 Phase 2b study was initiated and the $40,000 of milestone payments were received in December 2018.</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2016 License Agreement continues in effect until terminated by either party on the following bases: (i) Nestlé may terminate the 2016 License Agreement in the event of serious safety issues related to any of the 2016 Collaboration Products; (ii) the Company may terminate the 2016 License Agreement if Nestlé challenges the validity or enforceability of any of the Company’s licensed patents; and (iii) either party may terminate the 2016 License Agreement in the event of the other party’s uncured material breach or insolvency. Upon termination of the 2016 License Agreement, all licenses granted to Nestlé by the Company will terminate, and all rights in and to the 2016 Collaboration Products in the 2016 Licensed Territory will revert to the Company. If the Company commits a material breach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2016 License Agreement, Nestlé may elect not to terminate the 2016 License Agreement but instead apply specified adjustments to its payment obligations and other terms and conditions of the 2016 License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assessed the 2016 License Agreement in accordance with Topic 606 and concluded that Nestlé is a customer. The Company identified the following promises under the contract: (i) a license to develop and commercialize the 2016 Collaboration Products in the 2016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Nestlé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the Company determined that the $120,000 non-refundable upfront amount constituted the entirety of the consideration to be included in the transaction price as the development, regulatory, and commercial milestones were fully constrained. During the year ended December 31, 2016, the Company received $10,000 from Nestlé in connection with the initiation of the Phase 1b study for SER-262 in CDI. During the year ended December 31, 2017, the Company received $20,000 from Nestlé in connection with the initiation of the Phase 3 study for VOWST, then SER-109. During the year ended December 31, 2018, the Company received $40,000 from Nestlé in connection with the initiation of the Phase 2b study for SER-287. During the year ended December 31, 2020, the Company received $10,000 from Nestlé in connection with the initiation of the Phase 1b SER-301 study. As of December 31, 2023, the aggregate amount of the transaction price allocated to the performance obligation of the 2016 License Agreement was approximately $200,000.</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using the cost-to-cost method, which best depicts the transfer of control to the customer, the Company recognized ($650), $3,014, and $10,446 of collaboration revenue – related party, respectively, relating to the 2016 License Agreement.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there was $95,364, and $96,689 of deferred revenue related to the unsatisfied portion of the performance obligation under the Nestlé agreements. As of December 31, 2023,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 ratio of actual costs incurred to the total estimated costs expected upon satisfying the performance obligation. All costs associated with the 2016 License Agreement are recorded in research and development expense in the consolidated statements of operations and comprehensive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changes in the Company’s contract liabilities during the year ended December 31, 2023 and 2022:</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12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(2,969 )</w:t>
            </w:r>
          </w:p>
        </w:tc>
        <w:tc>
          <w:tcPr>
            <w:tcW w:w="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2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0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80" w:type="dxa"/>
            <w:vAlign w:val="bottom"/>
          </w:tcPr>
          <w:p>
            <w:pPr>
              <w:spacing w:after="0"/>
              <w:rPr>
                <w:sz w:val="12"/>
                <w:szCs w:val="12"/>
                <w:color w:val="auto"/>
              </w:rPr>
            </w:pPr>
          </w:p>
        </w:tc>
        <w:tc>
          <w:tcPr>
            <w:tcW w:w="12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 related party</w:t>
            </w:r>
          </w:p>
        </w:tc>
        <w:tc>
          <w:tcPr>
            <w:tcW w:w="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103,817</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(7,128 )</w:t>
            </w:r>
          </w:p>
        </w:tc>
        <w:tc>
          <w:tcPr>
            <w:tcW w:w="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9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the following revenues as a result of changes in the contract liability balances in the respective periods (in thousands):</w:t>
      </w:r>
    </w:p>
    <w:p>
      <w:pPr>
        <w:spacing w:after="0" w:line="16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16510</wp:posOffset>
            </wp:positionV>
            <wp:extent cx="19373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9" w:lineRule="exact"/>
        <w:rPr>
          <w:sz w:val="20"/>
          <w:szCs w:val="20"/>
          <w:color w:val="auto"/>
        </w:rPr>
      </w:pPr>
    </w:p>
    <w:p>
      <w:pPr>
        <w:ind w:left="8080"/>
        <w:spacing w:after="0"/>
        <w:tabs>
          <w:tab w:leader="none" w:pos="97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15875</wp:posOffset>
            </wp:positionV>
            <wp:extent cx="193738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p>
      <w:pPr>
        <w:ind w:left="680"/>
        <w:spacing w:after="0"/>
        <w:tabs>
          <w:tab w:leader="none" w:pos="7520" w:val="left"/>
          <w:tab w:leader="none" w:pos="8500" w:val="left"/>
          <w:tab w:leader="none" w:pos="9180" w:val="left"/>
          <w:tab w:leader="none" w:pos="10140" w:val="left"/>
        </w:tabs>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1,325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7,128</w:t>
      </w:r>
    </w:p>
    <w:p>
      <w:pPr>
        <w:spacing w:after="0" w:line="26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Collaboration Profit and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NHSc Rx License GmbH (Nestlé)</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The 2021 License Agreement represents a separate contract between Nestlé and the Company. The 2021 License Agreement is within the scope of Topic 808, and has elements that are within the scope of Topic 606 (see Note 14,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Topic 808.</w:t>
      </w:r>
    </w:p>
    <w:p>
      <w:pPr>
        <w:spacing w:after="0" w:line="5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the collaborative pre-launch activities and commercialization activities to be separate units of account within the scope of Topic 808 and are not performance obligations under Topic 606. The Company and Nestlé were both active participants in the pre-launch activities and commercialization activities and were exposed to significant risks and rewards that were dependent on the commercial success of the activities in the arrangement. The amount allocated to the Topic 808 unit of accounting relates to the pre-launch activities performed prior to the first commercial sale of VOWST and was determined to be $35,500 based on standalone selling price.</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recorded the $35,500 in total liabilities on its consolidated balance sheets at the inception of the arrangement. On a quarterly basis, the Company and Nestlé provided financial information about the pre-launch activities performed by both parties. The Company reduced the $35,500 liability as the pre-launch activities were performed and it made payments to Nestlé for the pre-launch costs Nestlé incurred. As of December 31, 2023 and 2022, there was $10,064 and $34,770, respectively, included in accrued expenses and other current liabilities which represents costs incurred by Nestlé for pre-launch activities that have not yet been reimbursed by Seres.</w:t>
      </w:r>
    </w:p>
    <w:p>
      <w:pPr>
        <w:spacing w:after="0" w:line="7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cost associated with pre-launch activities performed by the Company is recorded within total operating expenses in the Company’s consolidated statements of operations and comprehensive loss. In the years ended December 31, 2023, 2022, and 2021, the Company recognized $1,446, $6,102, and $2,168 in research and development expenses and $4,242, $8,953, and $3,383 in general and administrative expenses, respectively, associated with pre-launch activities performed. The pre-launch activities were completed prior to the first commercial sale of VOWST, which occurred in June 2023.</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2021 License Agreement with Nestlé, beginning with the first commercial sale of VOWST, which occurred in June 2023, net sales of VOWST are recorded by Nestlé and include gross sales net of discounts, rebates, allowances, and other applicable deductions. These amounts include the use of estimates and judgments, which could be adjusted based on actual results in the future. The Company records its share of the profits or losses from the sales of VOWST, including commercial and medical affairs expenses incurred by the Company, on a net basis, as collaboration (profit) loss sharing - related party. This treatment is in accordance with the Company’s revenue recognition and collaboration policy, given that Nestlé and the Company are both active participants in commercialization activities and are exposed to significant risks and rewards that are dependent on the commercial success of the activities in the 2021 License Agreement. Nestlé provides the Company with reporting related to net sales of VOWST in accordance with U.S. generally accepted accounting principles in order to calculate and record collaboration profit or loss.</w:t>
      </w:r>
    </w:p>
    <w:p>
      <w:pPr>
        <w:spacing w:after="0" w:line="8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collaboration (profit) loss sharing - related party line item also includes the Company's profit on the transfer of VOWST inventory to Nestlé, which represents the excess of the supply price paid by Nestlé over the Company's cost to manufacture VOWST, subject to a supply price cap applicable to product manufactured prior to commercial launch.</w:t>
      </w:r>
    </w:p>
    <w:p>
      <w:pPr>
        <w:spacing w:after="0" w:line="68"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collaboration (profit) loss sharing - related party line item also includes the collaboration loss related to pre-launch activities, which were completed prior to the first commercial sale of VOWST.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the collaboration profit (loss) sharing for the years ended December 31, 2023, 2022, and 2021 are as follows:</w:t>
      </w:r>
    </w:p>
    <w:p>
      <w:pPr>
        <w:spacing w:after="0" w:line="3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of VOWST 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Profit on transfer of VOWST inventory to Nestlé</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(23,327 )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(profit)/loss related to pre-launch activities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(1,732 )</w:t>
            </w:r>
          </w:p>
        </w:tc>
      </w:tr>
      <w:tr>
        <w:trPr>
          <w:trHeight w:val="20"/>
        </w:trPr>
        <w:tc>
          <w:tcPr>
            <w:tcW w:w="5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collaboration (profit) loss sharing - related party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(1,732 )</w:t>
            </w: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8 “Leases” for discussion of the commitments associated with the Company’s lease portfolio.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2023 or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accrue any liabilities related to legal contingencies in its consolidated financial statements as of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Bacthera Long Term Manufacturing Agreement</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On November 8, 2021, the Company entered into a Long Term Manufacturing Agreement with BacThera AG (“Bacthera”), a joint venture between Chr. Hansen and a Lonza Group affiliate, which was amended on December 14, 2022 (the "Bacthera Agreement"). The Bacthera Agreement governs the general terms under which Bacthera, or one of its affiliates, will (i) construct a dedicated full-scale production suite for the Company at Bacthera’s Microbiome Center of Excellence in Visp, Switzerland, which is substantially complete; and (ii) provide manufacturing services to the Company for its then SER-109 product candidate (now VOWST) and other products, as agreed to by the parties.</w:t>
      </w:r>
    </w:p>
    <w:p>
      <w:pPr>
        <w:spacing w:after="0" w:line="183"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Under the terms of the Bacthera Agreement, the Company agreed to pay Bacthera a total of at least 256,000 CHF (or approximately $301,000) for the initial term of the agreement, inclusive of the construction fees and annual operating fees. Bacthera is funding the majority of the construction costs and will own and control the manufacturing suite during construction. The construction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fees that the Company is responsible for represent a small percentage of the overall construction costs and are payable upon the achievement of certain milestones related to the construction of the dedicated manufacturing suite. The annual operating fee includes the cost of a baseline annual batch production volume. The Company has also agreed to pay certain other ancillary fees and a per-batch fee in excess of the baseline batches. These fees are subject to adjustment during construction for certain items outside of Bacthera’s control and annually against an agreed index. The Company will supply the active pharmaceutical ingredients to Bacthera to enable it to perform the services and pay for certain other raw materials and manufacturing components, which will be acquired by Bacthera.</w:t>
      </w:r>
    </w:p>
    <w:p>
      <w:pPr>
        <w:spacing w:after="0" w:line="187" w:lineRule="exact"/>
        <w:rPr>
          <w:sz w:val="20"/>
          <w:szCs w:val="20"/>
          <w:color w:val="auto"/>
        </w:rPr>
      </w:pPr>
    </w:p>
    <w:p>
      <w:pPr>
        <w:jc w:val="both"/>
        <w:ind w:right="20" w:firstLine="578"/>
        <w:spacing w:after="0" w:line="282" w:lineRule="auto"/>
        <w:rPr>
          <w:sz w:val="20"/>
          <w:szCs w:val="20"/>
          <w:color w:val="auto"/>
        </w:rPr>
      </w:pPr>
      <w:r>
        <w:rPr>
          <w:rFonts w:ascii="Times New Roman" w:cs="Times New Roman" w:eastAsia="Times New Roman" w:hAnsi="Times New Roman"/>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w:t>
      </w:r>
    </w:p>
    <w:p>
      <w:pPr>
        <w:spacing w:after="0" w:line="162" w:lineRule="exact"/>
        <w:rPr>
          <w:sz w:val="20"/>
          <w:szCs w:val="20"/>
          <w:color w:val="auto"/>
        </w:rPr>
      </w:pPr>
    </w:p>
    <w:p>
      <w:pPr>
        <w:jc w:val="both"/>
        <w:ind w:firstLine="578"/>
        <w:spacing w:after="0" w:line="256" w:lineRule="auto"/>
        <w:rPr>
          <w:sz w:val="20"/>
          <w:szCs w:val="20"/>
          <w:color w:val="auto"/>
        </w:rPr>
      </w:pPr>
      <w:r>
        <w:rPr>
          <w:rFonts w:ascii="Times New Roman" w:cs="Times New Roman" w:eastAsia="Times New Roman" w:hAnsi="Times New Roman"/>
          <w:sz w:val="18"/>
          <w:szCs w:val="18"/>
          <w:color w:val="auto"/>
        </w:rPr>
        <w:t>The initial term is subject to renewals, which could extend the term to 16 years, and additional three-year terms thereafter. Each party has the ability to terminate the Bacthera Agreement upon the occurrence of certain customary conditions. The Company may also terminate the Bacthera Agreement for convenience after a defined period. In the event of a termination, the Company has certain financial obligations that would apply, and Bacthera has agreed to grant a license to Bacthera-developed manufacturing know how, if any, and provide technical assistance to the Company, so that the Company could transfer the manufacturing operations to itself or a third party. The Bacthera Agreement also contains representations, warranties and indemnity obligations as well as limitations of liability that are customary for agreements of this type.</w:t>
      </w:r>
    </w:p>
    <w:p>
      <w:pPr>
        <w:spacing w:after="0" w:line="18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Bacthera Agreement represents a lease as the Company will have the right to use the dedicated manufacturing suite for a period of time following completion of the construction of the manufacturing suite and approval by regulatory authorities. As of December 31, 2023, the lease commencement date has not occurred and therefore the Company has not recorded an operating lease asset or an operating lease liability on its consolidated balance sheets. As of December 31, 2023, the Company has paid Bacthera $12,276 related to the construction of the dedicated manufacturing suite. As of December 31, 2023, the Company recorded $38,877 in other non-current assets in the accompanying consolidated balance sheet, including $30,049 related to the achievement of the substantial completion milestone that occurred in late 2023. These amounts will be recorded as part of the right-of-use asset upon lease commencement.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recorded no income tax benefits for the net operating losses incurred in each year or interim period, due to its uncertainty of realizing a benefit from those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9"/>
          </w:tcPr>
          <w:p>
            <w:pPr>
              <w:jc w:val="right"/>
              <w:ind w:right="1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6400" w:type="dxa"/>
            <w:vAlign w:val="bottom"/>
            <w:gridSpan w:val="2"/>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8"/>
        </w:trPr>
        <w:tc>
          <w:tcPr>
            <w:tcW w:w="114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5"/>
              </w:rPr>
              <w:t>(21.0 )%</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(21.0 )%</w:t>
            </w:r>
          </w:p>
        </w:tc>
        <w:tc>
          <w:tcPr>
            <w:tcW w:w="20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1140" w:type="dxa"/>
            <w:vAlign w:val="bottom"/>
          </w:tcPr>
          <w:p>
            <w:pPr>
              <w:spacing w:after="0"/>
              <w:rPr>
                <w:sz w:val="21"/>
                <w:szCs w:val="21"/>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(16.6 )</w:t>
            </w: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1120" w:type="dxa"/>
            <w:vAlign w:val="bottom"/>
          </w:tcPr>
          <w:p>
            <w:pPr>
              <w:spacing w:after="0"/>
              <w:rPr>
                <w:sz w:val="20"/>
                <w:szCs w:val="20"/>
                <w:color w:val="auto"/>
              </w:rPr>
            </w:pPr>
          </w:p>
        </w:tc>
      </w:tr>
      <w:tr>
        <w:trPr>
          <w:trHeight w:val="252"/>
        </w:trPr>
        <w:tc>
          <w:tcPr>
            <w:tcW w:w="1140" w:type="dxa"/>
            <w:vAlign w:val="bottom"/>
          </w:tcPr>
          <w:p>
            <w:pPr>
              <w:spacing w:after="0"/>
              <w:rPr>
                <w:sz w:val="21"/>
                <w:szCs w:val="21"/>
                <w:color w:val="auto"/>
              </w:rPr>
            </w:pPr>
          </w:p>
        </w:tc>
        <w:tc>
          <w:tcPr>
            <w:tcW w:w="59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position reserves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(0.3 )</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70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tcPr>
          <w:p>
            <w:pPr>
              <w:spacing w:after="0"/>
              <w:rPr>
                <w:sz w:val="20"/>
                <w:szCs w:val="20"/>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596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F-36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-2176780</wp:posOffset>
            </wp:positionV>
            <wp:extent cx="5700395"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-1096645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-1096645</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deferred tax assets as of December 31, 2023 and 2022 consisted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142,506</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52,843</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capitalized research and development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20,048</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Section 163(j) limitation</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341,974</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(29,165 )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(29,165 )</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(29,568 )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(312,809 )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(277,370 )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-1148080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-513715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-513715</wp:posOffset>
            </wp:positionV>
            <wp:extent cx="431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$102,558 and $160,586 for the years ended December 31, 2023 and 2022, respectively. The Company will amortize these costs for tax purposes over five years if the research and development was performed in the U.S. and over 15 years if the research and development was performed outside the U.S.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net operating loss carryforwards (“NOLs”) for federal and state income tax purposes of $527,065 and $504,215, respectively. Federal NOLs of $119,800, generated before 2018, will begin expiring in varying amounts in 2035 unless utilized. The remaining federal NOLs of $407,265, generated after 2017, will be carried forward indefinitely and could be used to offset up to 80% of taxable income in future tax years. The Company's state NOLs will expire at various times starting in 2035. As of December 31, 2023, the Company also had available gross research and development tax credit carryforwards for federal and state income tax purposes of $53,928 and $11,455, respectively, which begin to expire in 2031 and 2028, respectively. The federal research and development tax credits include an orphan drug credit carryforward of $25,873.</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NOLs and research and development tax credit carryforwards may be subject to a substantial annual limitation under Sections 382 and 383 of the IRC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 change of control or could result in a change of control in the future upon subsequent disposition. The Company conducted an analysis to determine if historical changes in ownership through December 31, 2020 would limit or otherwise restrict its ability to utilize these NOLs and research and development credit carryforwards. As a result of this analysis, the Company does not believe there are any significant limitations on its ability to utilize these carryforwards. However, future changes in ownership after December 31, 2020 could affect the limitation in future years. Any limitation may result in expiration of a portion of the NOLs or research and development credit carryforwards before utilization.</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assets as of December 31, 2023 and 2022. Management reevaluates the positive and negative evidence at each reporting period.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2023, 2022 and 2021 related primarily to the increases in NOLs, research and development tax credit carryforwards and capitalized research and development expenses pursuant to IRC Section 174, and stock-based compensation were as follows: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(277,370 )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(220,114 )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(193,736 )</w:t>
            </w: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recorded as benefit to income tax provision</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(35,439 )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(57,256 )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(26,378 )</w:t>
            </w: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(312,809 )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(277,370 )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(220,114 )</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Internal Revenue Service ("IRS") concluded their examination of the Company for the period ended December 31, 2018 related to the Company's 2018 research and development tax credits ("R&amp;D Credit(s)"). The Company has adjusted its 2018 R&amp;D Credits and its overall federal and state R&amp;D Credit carryforward balance from the Company's inception to December 31, 2023 to account for the conclusions drawn by the IRS. Also, the Company has reviewed each of its overall filing positions since inception and has not identified any additional positions that do not meet the more likely than not threshold. The Company does not anticipate a material change to its uncertain tax position reserves in the next 12 months. The changes in the Company's unrecognized tax benefits for the years ended December 31, 2023, 2022, and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unrecognized tax benefits as a result of tax positions taken</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during the year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Reduction to unrecognized tax benefits</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12,528</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 forwards. This study may result in further adjustment to the Company’s R&amp;D Credits; however, a full valuation allowance has been provided against the Company’s R&amp;D Credits, and if an adjustment is required, this adjustment would be offset by an adjustment to the valuation allowance. Thus, there would be no impact to the consolidated balance sheet or statement of operations if an adjustment were required. The Company had no other unrecognized tax benefits accrued for the years ended December 31, 2023 and 2022, or related interest and penalties as of such dates. The Company will recognize any interest and penalties related to uncertain tax positions in income tax expense.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2011 to present. All years may be examined to the extent the tax credit or net operating loss carryforwards are used in future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described in Notes 14 and 15, in July 2021, the Company entered into the 2021 License Agreement with NHSc Pharma Partners, succeeded by NHSc Rx License GmbH (together with Société des Produits Nestlé S.A., their affiliates, and their subsidiaries, “Nestlé”). NHSc Rx License GmbH is an affiliate of one of the Company's significant stockholders, Société des Produits Nestlé S.A. During the years ended December 31, 2023, 2022, and 2021, the Company recognized $126,975, $4,114, and $133,411 of related party revenue, respectively, associated with the 2021 License Agreement. As of the years ended December 31, 2023 and 2022, there was $0 and $1,976 of deferred revenue related to the 2021 License Agreement, respectively, which is classified as current in the consolidated balance sheets. As of December 31, 2023 and 2022 there was $28,053 and $34,770 included in accrued expenses and other liabilities, which represents amounts due to Nestlé pursuant to the 2021 License Agreement. As of December 31, 2023 and 2022, there was $7,730 and $0 of deferred income - related party included on the accompanying consolidated balance sheets, which represents the inventory transferred to Nestlé that Nestlé has not yet sold through to customers or transferred as free goods. The Company recognizes deferred income - related party as collaboration profit upon Nestlé's sale or transfer of such inventory to third parties. During the years ended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SERES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2023 and 2022, the Company paid Nestlé $37,387 and $0 for Nestlé's share of the collaboration expenses pursuant to the 2021 License Agreement. During the years ended December 31, 2023 and 2022, the Company received $31,243 and $0 in payments from Nestlé for the transfer of VOWST to Nestlé. As of December 31, 2023 and 2022, there is $8,674 and $0 due from Nestlé pursuant to the 2021 License Agreement.</w:t>
      </w:r>
    </w:p>
    <w:p>
      <w:pPr>
        <w:spacing w:after="0" w:line="1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January 2016, the Company entered into the 2016 License Agreement with Nestec, Ltd, succeeded by Société des Produits Nestlé S.A. for the development and commercialization of certain product candidates in development for the treatment and management of CDI and IBD, including UC and Crohn’s disease. Société des Produits Nestlé S.A. is one of the Company's significant stockholders. During the years ended December 31, 2023, 2022, and 2021, the Company recognized ($650), $3,014 and $10,446, respectively, of related party revenue associated with the 2016 License Agreement. As of December 31, 2023 and 2022, there was $95,364 and $94,713, respectively, of deferred revenue related to the 2016 License Agreement, which is classified as current or non-current in the consolidated balance sheets. The Company did not make any payment to or receive any payment from Nestlé during the years ended December 31, 2023 and 2022 pursuant to the 2016 License Agreement. There was no amount due from Nestlé pursuant to the 2016 License Agreement as of December 31, 2023 and 2022.</w:t>
      </w:r>
    </w:p>
    <w:p>
      <w:pPr>
        <w:spacing w:after="0" w:line="7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As described in Note 11, the Company entered into a securities purchase agreement with Flagship Pioneering Fund VII, L.P. and Nutritional Health LTP Fund, L.P., affiliates of Flagship, one of the Company's significant stockholders, for the sale of 8,738,243 shares of its common stock at a purchase price of $3.15 per share as part of the Registered Direct Offering, which closed on July 5, 2022. The Company received proceeds from Flagship of $27,525.</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2022, the Company entered into a Pledge and Utilization Agreement with Flagship Pioneering Labs TPC, Inc., an affiliate of Flagship, for an option to lease certain manufacturing space. The Company paid $833 for this option which is classified in other non-current assets on the Company's consolidated balance sheet as of December 31, 2022. In June 2023, the Company elected not to renew the option and accordingly at such time, expensed the $833 option payment.</w:t>
      </w:r>
    </w:p>
    <w:p>
      <w:pPr>
        <w:spacing w:after="0" w:line="7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July 2019, the Company entered into a sublease agreement with Flagship to sublease a portion of its office and laboratory space in Cambridge, Massachusetts. The term of the sublease agreement commenced in July 2019 and ended in November 2021. Under this agreement, the Company recorded other income of $0, $0, and $1,575 during the years ended December 31, 2023, 2022, and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401(k) Savings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IRC.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2023, 2022, and 2021 the Company recorded expense of $2,003, $1,921, and $1,087, respectively, for 401(k) match contributions.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capital stock of Seres Therapeutics, Inc. (the “Company,” “we,” “us,” and “our”) and certain provisions of our Restated Certificate of Incorporation, as amended (“Certificate of Incorporation”) and Amended and Restated Bylaws (“Bylaws”) are summaries and are qualified in their entirety by reference to the applicable provisions of our Certificate of Incorporation and Bylaws, which have been publicly filed with the Securities and Exchange Commission. We encourage you to read our Certificate of Incorporation, our Bylaws and the applicable provisions of the General Corporation Law of the State of Delaware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17" w:lineRule="exact"/>
        <w:rPr>
          <w:sz w:val="20"/>
          <w:szCs w:val="20"/>
          <w:color w:val="auto"/>
        </w:rPr>
      </w:pPr>
    </w:p>
    <w:p>
      <w:pPr>
        <w:ind w:left="880" w:hanging="431"/>
        <w:spacing w:after="0"/>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240,000,000 shares of common stock, par value $0.001 per share; and</w:t>
      </w:r>
    </w:p>
    <w:p>
      <w:pPr>
        <w:spacing w:after="0" w:line="360"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Rights Upon Liquidation. </w:t>
      </w:r>
      <w:r>
        <w:rPr>
          <w:rFonts w:ascii="Times New Roman" w:cs="Times New Roman" w:eastAsia="Times New Roman" w:hAnsi="Times New Roman"/>
          <w:sz w:val="17"/>
          <w:szCs w:val="17"/>
          <w:color w:val="auto"/>
        </w:rPr>
        <w:t>In the event of our liquidation or dissolution, the holders of common stock are entitled to receive proportionately our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for distribution to stockholders after the payment of all debts and other liabilities and subject to the prior rights of any outstanding preferred stock.</w:t>
      </w:r>
    </w:p>
    <w:p>
      <w:pPr>
        <w:spacing w:after="0" w:line="13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common stock have no preemptive, subscription, redemption or conversion rights. The rights, preferences and privileges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are subject to and may be adversely affected by the rights of the holders of shares of any series of preferred stock that we may designate and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w:t>
      </w:r>
    </w:p>
    <w:p>
      <w:pPr>
        <w:spacing w:after="0" w:line="22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 issue up to 10,000,000 shares of undesignated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180"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 chairperson of the board,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president (in the absence of a chief executive officer), or by a resolution adopted by a majority of our board of directors.</w:t>
      </w:r>
    </w:p>
    <w:p>
      <w:pPr>
        <w:spacing w:after="0" w:line="15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73"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Certificate of Incorporation eliminates the right of stockholders to act by written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meeting.</w:t>
      </w:r>
    </w:p>
    <w:p>
      <w:pPr>
        <w:spacing w:after="0" w:line="15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 a three-year term, one class being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Certificate of Incorporation provides that no member of our board of directors may be removed from office by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for cause and, in addition to any other vote required by law, upon the approval of the holders of at least two-thirds in voting power of the outstanding shares of stock entitled to vote in the election of directors.</w:t>
      </w:r>
    </w:p>
    <w:p>
      <w:pPr>
        <w:spacing w:after="0" w:line="17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Stockholders Not Entitled to Cumulative Voting. </w:t>
      </w:r>
      <w:r>
        <w:rPr>
          <w:rFonts w:ascii="Times New Roman" w:cs="Times New Roman" w:eastAsia="Times New Roman" w:hAnsi="Times New Roman"/>
          <w:sz w:val="18"/>
          <w:szCs w:val="18"/>
          <w:color w:val="auto"/>
        </w:rPr>
        <w:t>Our Certificate of Incorporation does not permit stockholders to cumulate their votes in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Delaware Anti-Takeover Statute. </w:t>
      </w:r>
      <w:r>
        <w:rPr>
          <w:rFonts w:ascii="Times New Roman" w:cs="Times New Roman" w:eastAsia="Times New Roman" w:hAnsi="Times New Roman"/>
          <w:sz w:val="17"/>
          <w:szCs w:val="17"/>
          <w:color w:val="auto"/>
        </w:rPr>
        <w:t>We are subject to Section 203 of the General Corporation Law of the State of Delaware, which prohibits persons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Choice of Forum. </w:t>
      </w:r>
      <w:r>
        <w:rPr>
          <w:rFonts w:ascii="Times New Roman" w:cs="Times New Roman" w:eastAsia="Times New Roman" w:hAnsi="Times New Roman"/>
          <w:sz w:val="18"/>
          <w:szCs w:val="18"/>
          <w:color w:val="auto"/>
        </w:rPr>
        <w:t>Our Certificate of Incorporation provides that, unless we consent in writing to the selection of an alternative form, the Court of Chancery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Certificate of Incorporation or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Certificate of Incorporation or Bylaws to be inapplicable or unenforceable if challenged in a proceeding or otherwise.</w:t>
      </w:r>
    </w:p>
    <w:p>
      <w:pPr>
        <w:spacing w:after="0" w:line="1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w:t>
      </w:r>
      <w:r>
        <w:rPr>
          <w:rFonts w:ascii="Times New Roman" w:cs="Times New Roman" w:eastAsia="Times New Roman" w:hAnsi="Times New Roman"/>
          <w:sz w:val="18"/>
          <w:szCs w:val="18"/>
          <w:color w:val="auto"/>
        </w:rPr>
        <w:t>The amendment of any of the above provisions in our Certificate of Incorporation,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10.6</w:t>
            </w:r>
          </w:p>
        </w:tc>
        <w:tc>
          <w:tcPr>
            <w:tcW w:w="0" w:type="dxa"/>
            <w:vAlign w:val="bottom"/>
          </w:tcPr>
          <w:p>
            <w:pPr>
              <w:spacing w:after="0"/>
              <w:rPr>
                <w:sz w:val="1"/>
                <w:szCs w:val="1"/>
                <w:color w:val="auto"/>
              </w:rPr>
            </w:pPr>
          </w:p>
        </w:tc>
      </w:tr>
      <w:tr>
        <w:trPr>
          <w:trHeight w:val="420"/>
        </w:trPr>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40" w:type="dxa"/>
            <w:vAlign w:val="bottom"/>
            <w:gridSpan w:val="7"/>
          </w:tcPr>
          <w:p>
            <w:pPr>
              <w:jc w:val="center"/>
              <w:ind w:right="3672"/>
              <w:spacing w:after="0"/>
              <w:rPr>
                <w:sz w:val="20"/>
                <w:szCs w:val="20"/>
                <w:color w:val="auto"/>
              </w:rPr>
            </w:pPr>
            <w:r>
              <w:rPr>
                <w:rFonts w:ascii="Times New Roman" w:cs="Times New Roman" w:eastAsia="Times New Roman" w:hAnsi="Times New Roman"/>
                <w:sz w:val="22"/>
                <w:szCs w:val="22"/>
                <w:color w:val="auto"/>
                <w:w w:val="97"/>
              </w:rPr>
              <w:t>101 CAMBRIDGEPARK DRIVE</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40" w:type="dxa"/>
            <w:vAlign w:val="bottom"/>
            <w:gridSpan w:val="7"/>
          </w:tcPr>
          <w:p>
            <w:pPr>
              <w:jc w:val="center"/>
              <w:ind w:right="3692"/>
              <w:spacing w:after="0"/>
              <w:rPr>
                <w:sz w:val="20"/>
                <w:szCs w:val="20"/>
                <w:color w:val="auto"/>
              </w:rPr>
            </w:pPr>
            <w:r>
              <w:rPr>
                <w:rFonts w:ascii="Times New Roman" w:cs="Times New Roman" w:eastAsia="Times New Roman" w:hAnsi="Times New Roman"/>
                <w:sz w:val="22"/>
                <w:szCs w:val="22"/>
                <w:color w:val="auto"/>
                <w:w w:val="98"/>
              </w:rPr>
              <w:t>CAMBRIDGE, MASSACHUSETTS</w:t>
            </w:r>
          </w:p>
        </w:tc>
        <w:tc>
          <w:tcPr>
            <w:tcW w:w="0" w:type="dxa"/>
            <w:vAlign w:val="bottom"/>
          </w:tcPr>
          <w:p>
            <w:pPr>
              <w:spacing w:after="0"/>
              <w:rPr>
                <w:sz w:val="1"/>
                <w:szCs w:val="1"/>
                <w:color w:val="auto"/>
              </w:rPr>
            </w:pPr>
          </w:p>
        </w:tc>
      </w:tr>
      <w:tr>
        <w:trPr>
          <w:trHeight w:val="459"/>
        </w:trPr>
        <w:tc>
          <w:tcPr>
            <w:tcW w:w="2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40" w:type="dxa"/>
            <w:vAlign w:val="bottom"/>
            <w:gridSpan w:val="7"/>
          </w:tcPr>
          <w:p>
            <w:pPr>
              <w:jc w:val="center"/>
              <w:ind w:right="3692"/>
              <w:spacing w:after="0"/>
              <w:rPr>
                <w:sz w:val="20"/>
                <w:szCs w:val="20"/>
                <w:color w:val="auto"/>
              </w:rPr>
            </w:pPr>
            <w:r>
              <w:rPr>
                <w:rFonts w:ascii="Times New Roman" w:cs="Times New Roman" w:eastAsia="Times New Roman" w:hAnsi="Times New Roman"/>
                <w:sz w:val="22"/>
                <w:szCs w:val="22"/>
                <w:color w:val="auto"/>
                <w:w w:val="97"/>
              </w:rPr>
              <w:t>LEASE SUMMARY SHEET</w:t>
            </w:r>
          </w:p>
        </w:tc>
        <w:tc>
          <w:tcPr>
            <w:tcW w:w="0" w:type="dxa"/>
            <w:vAlign w:val="bottom"/>
          </w:tcPr>
          <w:p>
            <w:pPr>
              <w:spacing w:after="0"/>
              <w:rPr>
                <w:sz w:val="1"/>
                <w:szCs w:val="1"/>
                <w:color w:val="auto"/>
              </w:rPr>
            </w:pPr>
          </w:p>
        </w:tc>
      </w:tr>
      <w:tr>
        <w:trPr>
          <w:trHeight w:val="44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Execution Date:</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September 22 , 2021</w:t>
            </w:r>
          </w:p>
        </w:tc>
        <w:tc>
          <w:tcPr>
            <w:tcW w:w="0" w:type="dxa"/>
            <w:vAlign w:val="bottom"/>
          </w:tcPr>
          <w:p>
            <w:pPr>
              <w:spacing w:after="0"/>
              <w:rPr>
                <w:sz w:val="1"/>
                <w:szCs w:val="1"/>
                <w:color w:val="auto"/>
              </w:rPr>
            </w:pPr>
          </w:p>
        </w:tc>
      </w:tr>
      <w:tr>
        <w:trPr>
          <w:trHeight w:val="20"/>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040" w:type="dxa"/>
            <w:vAlign w:val="bottom"/>
            <w:vMerge w:val="continue"/>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Seres Therapeutics, Inc.,</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a Delaware corporation</w:t>
            </w:r>
          </w:p>
        </w:tc>
        <w:tc>
          <w:tcPr>
            <w:tcW w:w="0" w:type="dxa"/>
            <w:vAlign w:val="bottom"/>
          </w:tcPr>
          <w:p>
            <w:pPr>
              <w:spacing w:after="0"/>
              <w:rPr>
                <w:sz w:val="1"/>
                <w:szCs w:val="1"/>
                <w:color w:val="auto"/>
              </w:rPr>
            </w:pPr>
          </w:p>
        </w:tc>
      </w:tr>
      <w:tr>
        <w:trPr>
          <w:trHeight w:val="478"/>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Mailing</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Seres Therapeutics, Inc.</w:t>
            </w:r>
          </w:p>
        </w:tc>
        <w:tc>
          <w:tcPr>
            <w:tcW w:w="0" w:type="dxa"/>
            <w:vAlign w:val="bottom"/>
          </w:tcPr>
          <w:p>
            <w:pPr>
              <w:spacing w:after="0"/>
              <w:rPr>
                <w:sz w:val="1"/>
                <w:szCs w:val="1"/>
                <w:color w:val="auto"/>
              </w:rPr>
            </w:pPr>
          </w:p>
        </w:tc>
      </w:tr>
      <w:tr>
        <w:trPr>
          <w:trHeight w:val="262"/>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Address Prior to</w:t>
            </w:r>
          </w:p>
        </w:tc>
        <w:tc>
          <w:tcPr>
            <w:tcW w:w="9200" w:type="dxa"/>
            <w:vAlign w:val="bottom"/>
            <w:gridSpan w:val="9"/>
          </w:tcPr>
          <w:p>
            <w:pPr>
              <w:ind w:left="460"/>
              <w:spacing w:after="0" w:line="262" w:lineRule="exact"/>
              <w:rPr>
                <w:sz w:val="20"/>
                <w:szCs w:val="20"/>
                <w:color w:val="auto"/>
              </w:rPr>
            </w:pPr>
            <w:r>
              <w:rPr>
                <w:rFonts w:ascii="Times New Roman" w:cs="Times New Roman" w:eastAsia="Times New Roman" w:hAnsi="Times New Roman"/>
                <w:sz w:val="22"/>
                <w:szCs w:val="22"/>
                <w:color w:val="auto"/>
              </w:rPr>
              <w:t>200 Sidney Street,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c>
          <w:tcPr>
            <w:tcW w:w="0" w:type="dxa"/>
            <w:vAlign w:val="bottom"/>
          </w:tcPr>
          <w:p>
            <w:pPr>
              <w:spacing w:after="0"/>
              <w:rPr>
                <w:sz w:val="1"/>
                <w:szCs w:val="1"/>
                <w:color w:val="auto"/>
              </w:rPr>
            </w:pPr>
          </w:p>
        </w:tc>
      </w:tr>
      <w:tr>
        <w:trPr>
          <w:trHeight w:val="28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Occupancy:</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Cambridge, Massachusetts 02139</w:t>
            </w:r>
          </w:p>
        </w:tc>
        <w:tc>
          <w:tcPr>
            <w:tcW w:w="0" w:type="dxa"/>
            <w:vAlign w:val="bottom"/>
          </w:tcPr>
          <w:p>
            <w:pPr>
              <w:spacing w:after="0"/>
              <w:rPr>
                <w:sz w:val="1"/>
                <w:szCs w:val="1"/>
                <w:color w:val="auto"/>
              </w:rPr>
            </w:pPr>
          </w:p>
        </w:tc>
      </w:tr>
      <w:tr>
        <w:trPr>
          <w:trHeight w:val="540"/>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HCP/King 101 CPD LLC, a Delaware limited liability company</w:t>
            </w:r>
          </w:p>
        </w:tc>
        <w:tc>
          <w:tcPr>
            <w:tcW w:w="0" w:type="dxa"/>
            <w:vAlign w:val="bottom"/>
          </w:tcPr>
          <w:p>
            <w:pPr>
              <w:spacing w:after="0"/>
              <w:rPr>
                <w:sz w:val="1"/>
                <w:szCs w:val="1"/>
                <w:color w:val="auto"/>
              </w:rPr>
            </w:pPr>
          </w:p>
        </w:tc>
      </w:tr>
      <w:tr>
        <w:trPr>
          <w:trHeight w:val="501"/>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Building:</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w w:val="99"/>
              </w:rPr>
              <w:t>101 Cambridgepark Drive, Cambridge, Massachusetts. The Building is currently under construction</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9200" w:type="dxa"/>
            <w:vAlign w:val="bottom"/>
            <w:gridSpan w:val="9"/>
          </w:tcPr>
          <w:p>
            <w:pPr>
              <w:ind w:left="460"/>
              <w:spacing w:after="0" w:line="239" w:lineRule="exact"/>
              <w:rPr>
                <w:sz w:val="20"/>
                <w:szCs w:val="20"/>
                <w:color w:val="auto"/>
              </w:rPr>
            </w:pPr>
            <w:r>
              <w:rPr>
                <w:rFonts w:ascii="Times New Roman" w:cs="Times New Roman" w:eastAsia="Times New Roman" w:hAnsi="Times New Roman"/>
                <w:sz w:val="22"/>
                <w:szCs w:val="22"/>
                <w:color w:val="auto"/>
                <w:w w:val="98"/>
              </w:rPr>
              <w:t>and shall consist of five (5) stories and contain approximately 161,040 rentable square feet. The land</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9200" w:type="dxa"/>
            <w:vAlign w:val="bottom"/>
            <w:gridSpan w:val="9"/>
          </w:tcPr>
          <w:p>
            <w:pPr>
              <w:ind w:left="460"/>
              <w:spacing w:after="0" w:line="233" w:lineRule="exact"/>
              <w:rPr>
                <w:sz w:val="20"/>
                <w:szCs w:val="20"/>
                <w:color w:val="auto"/>
              </w:rPr>
            </w:pPr>
            <w:r>
              <w:rPr>
                <w:rFonts w:ascii="Times New Roman" w:cs="Times New Roman" w:eastAsia="Times New Roman" w:hAnsi="Times New Roman"/>
                <w:sz w:val="22"/>
                <w:szCs w:val="22"/>
                <w:color w:val="auto"/>
                <w:w w:val="99"/>
              </w:rPr>
              <w:t>(the "</w:t>
            </w:r>
            <w:r>
              <w:rPr>
                <w:rFonts w:ascii="Times New Roman" w:cs="Times New Roman" w:eastAsia="Times New Roman" w:hAnsi="Times New Roman"/>
                <w:sz w:val="22"/>
                <w:szCs w:val="22"/>
                <w:b w:val="1"/>
                <w:bCs w:val="1"/>
                <w:color w:val="auto"/>
                <w:w w:val="99"/>
              </w:rPr>
              <w:t>Land</w:t>
            </w:r>
            <w:r>
              <w:rPr>
                <w:rFonts w:ascii="Times New Roman" w:cs="Times New Roman" w:eastAsia="Times New Roman" w:hAnsi="Times New Roman"/>
                <w:sz w:val="22"/>
                <w:szCs w:val="22"/>
                <w:color w:val="auto"/>
                <w:w w:val="99"/>
              </w:rPr>
              <w:t>") on which the Building is located is described on Exhibit 2A attached hereto and made</w:t>
            </w:r>
          </w:p>
        </w:tc>
        <w:tc>
          <w:tcPr>
            <w:tcW w:w="0" w:type="dxa"/>
            <w:vAlign w:val="bottom"/>
          </w:tcPr>
          <w:p>
            <w:pPr>
              <w:spacing w:after="0"/>
              <w:rPr>
                <w:sz w:val="1"/>
                <w:szCs w:val="1"/>
                <w:color w:val="auto"/>
              </w:rPr>
            </w:pPr>
          </w:p>
        </w:tc>
      </w:tr>
      <w:tr>
        <w:trPr>
          <w:trHeight w:val="275"/>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Campus:</w:t>
            </w:r>
          </w:p>
        </w:tc>
        <w:tc>
          <w:tcPr>
            <w:tcW w:w="5940" w:type="dxa"/>
            <w:vAlign w:val="bottom"/>
            <w:gridSpan w:val="7"/>
          </w:tcPr>
          <w:p>
            <w:pPr>
              <w:ind w:left="460"/>
              <w:spacing w:after="0"/>
              <w:rPr>
                <w:sz w:val="20"/>
                <w:szCs w:val="20"/>
                <w:color w:val="auto"/>
              </w:rPr>
            </w:pPr>
            <w:r>
              <w:rPr>
                <w:rFonts w:ascii="Times New Roman" w:cs="Times New Roman" w:eastAsia="Times New Roman" w:hAnsi="Times New Roman"/>
                <w:sz w:val="22"/>
                <w:szCs w:val="22"/>
                <w:color w:val="auto"/>
              </w:rPr>
              <w:t>a part hereof.</w:t>
            </w:r>
          </w:p>
        </w:tc>
        <w:tc>
          <w:tcPr>
            <w:tcW w:w="960" w:type="dxa"/>
            <w:vAlign w:val="bottom"/>
            <w:tcBorders>
              <w:top w:val="single" w:sz="8" w:color="auto"/>
            </w:tcBorders>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2040" w:type="dxa"/>
            <w:vAlign w:val="bottom"/>
            <w:vMerge w:val="continue"/>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All of the land described on Exhibit 2B (including the Land described above, which Land is a</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19"/>
                <w:szCs w:val="19"/>
                <w:color w:val="auto"/>
              </w:rPr>
            </w:pPr>
          </w:p>
        </w:tc>
        <w:tc>
          <w:tcPr>
            <w:tcW w:w="3160" w:type="dxa"/>
            <w:vAlign w:val="bottom"/>
            <w:gridSpan w:val="3"/>
          </w:tcPr>
          <w:p>
            <w:pPr>
              <w:ind w:left="460"/>
              <w:spacing w:after="0" w:line="223" w:lineRule="exact"/>
              <w:rPr>
                <w:sz w:val="20"/>
                <w:szCs w:val="20"/>
                <w:color w:val="auto"/>
              </w:rPr>
            </w:pPr>
            <w:r>
              <w:rPr>
                <w:rFonts w:ascii="Times New Roman" w:cs="Times New Roman" w:eastAsia="Times New Roman" w:hAnsi="Times New Roman"/>
                <w:sz w:val="22"/>
                <w:szCs w:val="22"/>
                <w:color w:val="auto"/>
              </w:rPr>
              <w:t>portion of the land described</w:t>
            </w:r>
          </w:p>
        </w:tc>
        <w:tc>
          <w:tcPr>
            <w:tcW w:w="960" w:type="dxa"/>
            <w:vAlign w:val="bottom"/>
            <w:tcBorders>
              <w:top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color w:val="auto"/>
                <w:w w:val="90"/>
              </w:rPr>
              <w:t>on Exhibit</w:t>
            </w:r>
          </w:p>
        </w:tc>
        <w:tc>
          <w:tcPr>
            <w:tcW w:w="508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2"/>
                <w:szCs w:val="22"/>
                <w:color w:val="auto"/>
              </w:rPr>
              <w:t>2B) together with the Building described above, the</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2"/>
                <w:szCs w:val="22"/>
                <w:color w:val="auto"/>
                <w:w w:val="97"/>
              </w:rPr>
              <w:t>Cambridgepark Drive ("</w:t>
            </w:r>
            <w:r>
              <w:rPr>
                <w:rFonts w:ascii="Times New Roman" w:cs="Times New Roman" w:eastAsia="Times New Roman" w:hAnsi="Times New Roman"/>
                <w:sz w:val="22"/>
                <w:szCs w:val="22"/>
                <w:b w:val="1"/>
                <w:bCs w:val="1"/>
                <w:color w:val="auto"/>
                <w:w w:val="97"/>
              </w:rPr>
              <w:t>Building 87</w:t>
            </w:r>
            <w:r>
              <w:rPr>
                <w:rFonts w:ascii="Times New Roman" w:cs="Times New Roman" w:eastAsia="Times New Roman" w:hAnsi="Times New Roman"/>
                <w:sz w:val="22"/>
                <w:szCs w:val="22"/>
                <w:color w:val="auto"/>
                <w:w w:val="97"/>
              </w:rPr>
              <w:t>"), and any other</w:t>
            </w:r>
          </w:p>
        </w:tc>
        <w:tc>
          <w:tcPr>
            <w:tcW w:w="0" w:type="dxa"/>
            <w:vAlign w:val="bottom"/>
          </w:tcPr>
          <w:p>
            <w:pPr>
              <w:spacing w:after="0" w:line="20" w:lineRule="exact"/>
              <w:rPr>
                <w:sz w:val="1"/>
                <w:szCs w:val="1"/>
                <w:color w:val="auto"/>
              </w:rPr>
            </w:pPr>
          </w:p>
        </w:tc>
      </w:tr>
      <w:tr>
        <w:trPr>
          <w:trHeight w:val="236"/>
        </w:trPr>
        <w:tc>
          <w:tcPr>
            <w:tcW w:w="2040" w:type="dxa"/>
            <w:vAlign w:val="bottom"/>
          </w:tcPr>
          <w:p>
            <w:pPr>
              <w:spacing w:after="0"/>
              <w:rPr>
                <w:sz w:val="20"/>
                <w:szCs w:val="20"/>
                <w:color w:val="auto"/>
              </w:rPr>
            </w:pPr>
          </w:p>
        </w:tc>
        <w:tc>
          <w:tcPr>
            <w:tcW w:w="4580" w:type="dxa"/>
            <w:vAlign w:val="bottom"/>
            <w:gridSpan w:val="6"/>
          </w:tcPr>
          <w:p>
            <w:pPr>
              <w:ind w:left="460"/>
              <w:spacing w:after="0" w:line="236" w:lineRule="exact"/>
              <w:rPr>
                <w:sz w:val="20"/>
                <w:szCs w:val="20"/>
                <w:color w:val="auto"/>
              </w:rPr>
            </w:pPr>
            <w:r>
              <w:rPr>
                <w:rFonts w:ascii="Times New Roman" w:cs="Times New Roman" w:eastAsia="Times New Roman" w:hAnsi="Times New Roman"/>
                <w:sz w:val="22"/>
                <w:szCs w:val="22"/>
                <w:color w:val="auto"/>
              </w:rPr>
              <w:t>buildings now known as and numbered 87</w:t>
            </w:r>
          </w:p>
        </w:tc>
        <w:tc>
          <w:tcPr>
            <w:tcW w:w="4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9200" w:type="dxa"/>
            <w:vAlign w:val="bottom"/>
            <w:gridSpan w:val="9"/>
          </w:tcPr>
          <w:p>
            <w:pPr>
              <w:ind w:left="460"/>
              <w:spacing w:after="0" w:line="239" w:lineRule="exact"/>
              <w:rPr>
                <w:sz w:val="20"/>
                <w:szCs w:val="20"/>
                <w:color w:val="auto"/>
              </w:rPr>
            </w:pPr>
            <w:r>
              <w:rPr>
                <w:rFonts w:ascii="Times New Roman" w:cs="Times New Roman" w:eastAsia="Times New Roman" w:hAnsi="Times New Roman"/>
                <w:sz w:val="22"/>
                <w:szCs w:val="22"/>
                <w:color w:val="auto"/>
                <w:w w:val="98"/>
              </w:rPr>
              <w:t>building and/or improvements constructed thereon. The Campus includes a parking garage under the</w:t>
            </w:r>
          </w:p>
        </w:tc>
        <w:tc>
          <w:tcPr>
            <w:tcW w:w="0" w:type="dxa"/>
            <w:vAlign w:val="bottom"/>
          </w:tcPr>
          <w:p>
            <w:pPr>
              <w:spacing w:after="0"/>
              <w:rPr>
                <w:sz w:val="1"/>
                <w:szCs w:val="1"/>
                <w:color w:val="auto"/>
              </w:rPr>
            </w:pPr>
          </w:p>
        </w:tc>
      </w:tr>
      <w:tr>
        <w:trPr>
          <w:trHeight w:val="286"/>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Building (the "</w:t>
            </w:r>
            <w:r>
              <w:rPr>
                <w:rFonts w:ascii="Times New Roman" w:cs="Times New Roman" w:eastAsia="Times New Roman" w:hAnsi="Times New Roman"/>
                <w:sz w:val="22"/>
                <w:szCs w:val="22"/>
                <w:b w:val="1"/>
                <w:bCs w:val="1"/>
                <w:color w:val="auto"/>
              </w:rPr>
              <w:t>Garage</w:t>
            </w:r>
            <w:r>
              <w:rPr>
                <w:rFonts w:ascii="Times New Roman" w:cs="Times New Roman" w:eastAsia="Times New Roman" w:hAnsi="Times New Roman"/>
                <w:sz w:val="22"/>
                <w:szCs w:val="22"/>
                <w:color w:val="auto"/>
              </w:rPr>
              <w:t>") which is used in common by the tenants of the Campus.</w:t>
            </w:r>
          </w:p>
        </w:tc>
        <w:tc>
          <w:tcPr>
            <w:tcW w:w="0" w:type="dxa"/>
            <w:vAlign w:val="bottom"/>
          </w:tcPr>
          <w:p>
            <w:pPr>
              <w:spacing w:after="0"/>
              <w:rPr>
                <w:sz w:val="1"/>
                <w:szCs w:val="1"/>
                <w:color w:val="auto"/>
              </w:rPr>
            </w:pPr>
          </w:p>
        </w:tc>
      </w:tr>
      <w:tr>
        <w:trPr>
          <w:trHeight w:val="61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Premises:</w:t>
            </w: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Phase I Premises</w:t>
            </w:r>
            <w:r>
              <w:rPr>
                <w:rFonts w:ascii="Times New Roman" w:cs="Times New Roman" w:eastAsia="Times New Roman" w:hAnsi="Times New Roman"/>
                <w:sz w:val="22"/>
                <w:szCs w:val="22"/>
                <w:color w:val="auto"/>
              </w:rPr>
              <w:t>: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w:t>
            </w:r>
          </w:p>
        </w:tc>
        <w:tc>
          <w:tcPr>
            <w:tcW w:w="0" w:type="dxa"/>
            <w:vAlign w:val="bottom"/>
          </w:tcPr>
          <w:p>
            <w:pPr>
              <w:spacing w:after="0"/>
              <w:rPr>
                <w:sz w:val="1"/>
                <w:szCs w:val="1"/>
                <w:color w:val="auto"/>
              </w:rPr>
            </w:pPr>
          </w:p>
        </w:tc>
      </w:tr>
      <w:tr>
        <w:trPr>
          <w:trHeight w:val="540"/>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b w:val="1"/>
                <w:bCs w:val="1"/>
                <w:i w:val="1"/>
                <w:iCs w:val="1"/>
                <w:color w:val="auto"/>
              </w:rPr>
              <w:t>Phase II Premises</w:t>
            </w:r>
            <w:r>
              <w:rPr>
                <w:rFonts w:ascii="Times New Roman" w:cs="Times New Roman" w:eastAsia="Times New Roman" w:hAnsi="Times New Roman"/>
                <w:sz w:val="22"/>
                <w:szCs w:val="22"/>
                <w:color w:val="auto"/>
              </w:rPr>
              <w:t>: A portion of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floor, and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w:t>
            </w:r>
          </w:p>
        </w:tc>
        <w:tc>
          <w:tcPr>
            <w:tcW w:w="0" w:type="dxa"/>
            <w:vAlign w:val="bottom"/>
          </w:tcPr>
          <w:p>
            <w:pPr>
              <w:spacing w:after="0"/>
              <w:rPr>
                <w:sz w:val="1"/>
                <w:szCs w:val="1"/>
                <w:color w:val="auto"/>
              </w:rPr>
            </w:pPr>
          </w:p>
        </w:tc>
      </w:tr>
      <w:tr>
        <w:trPr>
          <w:trHeight w:val="401"/>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Areas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floor (8,951 rentable square feet, including the Storage Premises (as defined</w:t>
            </w:r>
          </w:p>
        </w:tc>
        <w:tc>
          <w:tcPr>
            <w:tcW w:w="0" w:type="dxa"/>
            <w:vAlign w:val="bottom"/>
          </w:tcPr>
          <w:p>
            <w:pPr>
              <w:spacing w:after="0"/>
              <w:rPr>
                <w:sz w:val="1"/>
                <w:szCs w:val="1"/>
                <w:color w:val="auto"/>
              </w:rPr>
            </w:pPr>
          </w:p>
        </w:tc>
      </w:tr>
      <w:tr>
        <w:trPr>
          <w:trHeight w:val="266"/>
        </w:trPr>
        <w:tc>
          <w:tcPr>
            <w:tcW w:w="2040" w:type="dxa"/>
            <w:vAlign w:val="bottom"/>
          </w:tcPr>
          <w:p>
            <w:pPr>
              <w:spacing w:after="0"/>
              <w:rPr>
                <w:sz w:val="23"/>
                <w:szCs w:val="23"/>
                <w:color w:val="auto"/>
              </w:rPr>
            </w:pPr>
          </w:p>
        </w:tc>
        <w:tc>
          <w:tcPr>
            <w:tcW w:w="9200" w:type="dxa"/>
            <w:vAlign w:val="bottom"/>
            <w:gridSpan w:val="9"/>
          </w:tcPr>
          <w:p>
            <w:pPr>
              <w:ind w:left="460"/>
              <w:spacing w:after="0" w:line="266" w:lineRule="exact"/>
              <w:rPr>
                <w:sz w:val="20"/>
                <w:szCs w:val="20"/>
                <w:color w:val="auto"/>
              </w:rPr>
            </w:pPr>
            <w:r>
              <w:rPr>
                <w:rFonts w:ascii="Times New Roman" w:cs="Times New Roman" w:eastAsia="Times New Roman" w:hAnsi="Times New Roman"/>
                <w:sz w:val="22"/>
                <w:szCs w:val="22"/>
                <w:color w:val="auto"/>
              </w:rPr>
              <w:t>below)),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(35,575 rentable square feet),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 (35,575 rentable</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9"/>
          </w:tcPr>
          <w:p>
            <w:pPr>
              <w:ind w:left="460"/>
              <w:spacing w:after="0" w:line="243" w:lineRule="exact"/>
              <w:rPr>
                <w:sz w:val="20"/>
                <w:szCs w:val="20"/>
                <w:color w:val="auto"/>
              </w:rPr>
            </w:pPr>
            <w:r>
              <w:rPr>
                <w:rFonts w:ascii="Times New Roman" w:cs="Times New Roman" w:eastAsia="Times New Roman" w:hAnsi="Times New Roman"/>
                <w:sz w:val="22"/>
                <w:szCs w:val="22"/>
                <w:color w:val="auto"/>
              </w:rPr>
              <w:t>square feet, including a vivarium), and the Penthouse floor (2,614 rentable square feet), containing</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color w:val="auto"/>
              </w:rPr>
              <w:t>approximately 82,714 rentable square feet in the aggregate. The Premises consist of:</w:t>
            </w:r>
          </w:p>
        </w:tc>
        <w:tc>
          <w:tcPr>
            <w:tcW w:w="0" w:type="dxa"/>
            <w:vAlign w:val="bottom"/>
          </w:tcPr>
          <w:p>
            <w:pPr>
              <w:spacing w:after="0"/>
              <w:rPr>
                <w:sz w:val="1"/>
                <w:szCs w:val="1"/>
                <w:color w:val="auto"/>
              </w:rPr>
            </w:pPr>
          </w:p>
        </w:tc>
      </w:tr>
      <w:tr>
        <w:trPr>
          <w:trHeight w:val="617"/>
        </w:trPr>
        <w:tc>
          <w:tcPr>
            <w:tcW w:w="2040" w:type="dxa"/>
            <w:vAlign w:val="bottom"/>
          </w:tcPr>
          <w:p>
            <w:pPr>
              <w:spacing w:after="0"/>
              <w:rPr>
                <w:sz w:val="24"/>
                <w:szCs w:val="24"/>
                <w:color w:val="auto"/>
              </w:rPr>
            </w:pPr>
          </w:p>
        </w:tc>
        <w:tc>
          <w:tcPr>
            <w:tcW w:w="9200" w:type="dxa"/>
            <w:vAlign w:val="bottom"/>
            <w:gridSpan w:val="9"/>
          </w:tcPr>
          <w:p>
            <w:pPr>
              <w:ind w:left="460"/>
              <w:spacing w:after="0"/>
              <w:rPr>
                <w:sz w:val="20"/>
                <w:szCs w:val="20"/>
                <w:color w:val="auto"/>
              </w:rPr>
            </w:pPr>
            <w:r>
              <w:rPr>
                <w:rFonts w:ascii="Times New Roman" w:cs="Times New Roman" w:eastAsia="Times New Roman" w:hAnsi="Times New Roman"/>
                <w:sz w:val="22"/>
                <w:szCs w:val="22"/>
                <w:b w:val="1"/>
                <w:bCs w:val="1"/>
                <w:color w:val="auto"/>
              </w:rPr>
              <w:t>Prime Premises</w:t>
            </w:r>
            <w:r>
              <w:rPr>
                <w:rFonts w:ascii="Times New Roman" w:cs="Times New Roman" w:eastAsia="Times New Roman" w:hAnsi="Times New Roman"/>
                <w:sz w:val="22"/>
                <w:szCs w:val="22"/>
                <w:color w:val="auto"/>
              </w:rPr>
              <w:t>, which will be located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and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floors.</w:t>
            </w:r>
          </w:p>
        </w:tc>
        <w:tc>
          <w:tcPr>
            <w:tcW w:w="0" w:type="dxa"/>
            <w:vAlign w:val="bottom"/>
          </w:tcPr>
          <w:p>
            <w:pPr>
              <w:spacing w:after="0"/>
              <w:rPr>
                <w:sz w:val="1"/>
                <w:szCs w:val="1"/>
                <w:color w:val="auto"/>
              </w:rPr>
            </w:pPr>
          </w:p>
        </w:tc>
      </w:tr>
      <w:tr>
        <w:trPr>
          <w:trHeight w:val="1606"/>
        </w:trPr>
        <w:tc>
          <w:tcPr>
            <w:tcW w:w="20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3"/>
        </w:trPr>
        <w:tc>
          <w:tcPr>
            <w:tcW w:w="2280" w:type="dxa"/>
            <w:vAlign w:val="bottom"/>
          </w:tcPr>
          <w:p>
            <w:pPr>
              <w:spacing w:after="0"/>
              <w:rPr>
                <w:sz w:val="22"/>
                <w:szCs w:val="22"/>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b w:val="1"/>
                <w:bCs w:val="1"/>
                <w:color w:val="auto"/>
              </w:rPr>
              <w:t>Penthouse Equipment Premises</w:t>
            </w:r>
            <w:r>
              <w:rPr>
                <w:rFonts w:ascii="Times New Roman" w:cs="Times New Roman" w:eastAsia="Times New Roman" w:hAnsi="Times New Roman"/>
                <w:sz w:val="22"/>
                <w:szCs w:val="22"/>
                <w:color w:val="auto"/>
              </w:rPr>
              <w:t>, which will be located on the Penthouse floor. The Penthouse</w:t>
            </w:r>
          </w:p>
        </w:tc>
      </w:tr>
      <w:tr>
        <w:trPr>
          <w:trHeight w:val="247"/>
        </w:trPr>
        <w:tc>
          <w:tcPr>
            <w:tcW w:w="2280" w:type="dxa"/>
            <w:vAlign w:val="bottom"/>
          </w:tcPr>
          <w:p>
            <w:pPr>
              <w:spacing w:after="0"/>
              <w:rPr>
                <w:sz w:val="21"/>
                <w:szCs w:val="21"/>
                <w:color w:val="auto"/>
              </w:rPr>
            </w:pPr>
          </w:p>
        </w:tc>
        <w:tc>
          <w:tcPr>
            <w:tcW w:w="8960" w:type="dxa"/>
            <w:vAlign w:val="bottom"/>
            <w:gridSpan w:val="7"/>
          </w:tcPr>
          <w:p>
            <w:pPr>
              <w:ind w:left="220"/>
              <w:spacing w:after="0" w:line="247" w:lineRule="exact"/>
              <w:rPr>
                <w:sz w:val="20"/>
                <w:szCs w:val="20"/>
                <w:color w:val="auto"/>
              </w:rPr>
            </w:pPr>
            <w:r>
              <w:rPr>
                <w:rFonts w:ascii="Times New Roman" w:cs="Times New Roman" w:eastAsia="Times New Roman" w:hAnsi="Times New Roman"/>
                <w:sz w:val="22"/>
                <w:szCs w:val="22"/>
                <w:color w:val="auto"/>
              </w:rPr>
              <w:t>Equipment Premises are located in a common room (the "</w:t>
            </w:r>
            <w:r>
              <w:rPr>
                <w:rFonts w:ascii="Times New Roman" w:cs="Times New Roman" w:eastAsia="Times New Roman" w:hAnsi="Times New Roman"/>
                <w:sz w:val="22"/>
                <w:szCs w:val="22"/>
                <w:b w:val="1"/>
                <w:bCs w:val="1"/>
                <w:color w:val="auto"/>
              </w:rPr>
              <w:t>Penthouse Equipment Room</w:t>
            </w:r>
            <w:r>
              <w:rPr>
                <w:rFonts w:ascii="Times New Roman" w:cs="Times New Roman" w:eastAsia="Times New Roman" w:hAnsi="Times New Roman"/>
                <w:sz w:val="22"/>
                <w:szCs w:val="22"/>
                <w:color w:val="auto"/>
              </w:rPr>
              <w:t>") which</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contains equipment of other tenants.</w:t>
            </w:r>
          </w:p>
        </w:tc>
      </w:tr>
      <w:tr>
        <w:trPr>
          <w:trHeight w:val="497"/>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b w:val="1"/>
                <w:bCs w:val="1"/>
                <w:color w:val="auto"/>
              </w:rPr>
              <w:t>Storage Premises</w:t>
            </w:r>
            <w:r>
              <w:rPr>
                <w:rFonts w:ascii="Times New Roman" w:cs="Times New Roman" w:eastAsia="Times New Roman" w:hAnsi="Times New Roman"/>
                <w:sz w:val="22"/>
                <w:szCs w:val="22"/>
                <w:color w:val="auto"/>
              </w:rPr>
              <w:t>, which will be located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floor. The Storage Premises will be a</w:t>
            </w:r>
          </w:p>
        </w:tc>
      </w:tr>
      <w:tr>
        <w:trPr>
          <w:trHeight w:val="247"/>
        </w:trPr>
        <w:tc>
          <w:tcPr>
            <w:tcW w:w="2280" w:type="dxa"/>
            <w:vAlign w:val="bottom"/>
          </w:tcPr>
          <w:p>
            <w:pPr>
              <w:spacing w:after="0"/>
              <w:rPr>
                <w:sz w:val="21"/>
                <w:szCs w:val="21"/>
                <w:color w:val="auto"/>
              </w:rPr>
            </w:pPr>
          </w:p>
        </w:tc>
        <w:tc>
          <w:tcPr>
            <w:tcW w:w="8960" w:type="dxa"/>
            <w:vAlign w:val="bottom"/>
            <w:gridSpan w:val="7"/>
          </w:tcPr>
          <w:p>
            <w:pPr>
              <w:ind w:left="220"/>
              <w:spacing w:after="0" w:line="247" w:lineRule="exact"/>
              <w:rPr>
                <w:sz w:val="20"/>
                <w:szCs w:val="20"/>
                <w:color w:val="auto"/>
              </w:rPr>
            </w:pPr>
            <w:r>
              <w:rPr>
                <w:rFonts w:ascii="Times New Roman" w:cs="Times New Roman" w:eastAsia="Times New Roman" w:hAnsi="Times New Roman"/>
                <w:sz w:val="22"/>
                <w:szCs w:val="22"/>
                <w:color w:val="auto"/>
              </w:rPr>
              <w:t>caged area located in a common room (the "</w:t>
            </w:r>
            <w:r>
              <w:rPr>
                <w:rFonts w:ascii="Times New Roman" w:cs="Times New Roman" w:eastAsia="Times New Roman" w:hAnsi="Times New Roman"/>
                <w:sz w:val="22"/>
                <w:szCs w:val="22"/>
                <w:b w:val="1"/>
                <w:bCs w:val="1"/>
                <w:color w:val="auto"/>
              </w:rPr>
              <w:t>Storage Room</w:t>
            </w:r>
            <w:r>
              <w:rPr>
                <w:rFonts w:ascii="Times New Roman" w:cs="Times New Roman" w:eastAsia="Times New Roman" w:hAnsi="Times New Roman"/>
                <w:sz w:val="22"/>
                <w:szCs w:val="22"/>
                <w:color w:val="auto"/>
              </w:rPr>
              <w:t>") which contains storage areas of other</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tenants.</w:t>
            </w:r>
          </w:p>
        </w:tc>
      </w:tr>
      <w:tr>
        <w:trPr>
          <w:trHeight w:val="501"/>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shall mean the Prime Premises, the Penthouse Equipment Premises and the</w:t>
            </w:r>
          </w:p>
        </w:tc>
      </w:tr>
      <w:tr>
        <w:trPr>
          <w:trHeight w:val="230"/>
        </w:trPr>
        <w:tc>
          <w:tcPr>
            <w:tcW w:w="2280" w:type="dxa"/>
            <w:vAlign w:val="bottom"/>
          </w:tcPr>
          <w:p>
            <w:pPr>
              <w:spacing w:after="0"/>
              <w:rPr>
                <w:sz w:val="19"/>
                <w:szCs w:val="19"/>
                <w:color w:val="auto"/>
              </w:rPr>
            </w:pPr>
          </w:p>
        </w:tc>
        <w:tc>
          <w:tcPr>
            <w:tcW w:w="8960" w:type="dxa"/>
            <w:vAlign w:val="bottom"/>
            <w:gridSpan w:val="7"/>
          </w:tcPr>
          <w:p>
            <w:pPr>
              <w:ind w:left="220"/>
              <w:spacing w:after="0" w:line="230" w:lineRule="exact"/>
              <w:rPr>
                <w:sz w:val="20"/>
                <w:szCs w:val="20"/>
                <w:color w:val="auto"/>
              </w:rPr>
            </w:pPr>
            <w:r>
              <w:rPr>
                <w:rFonts w:ascii="Times New Roman" w:cs="Times New Roman" w:eastAsia="Times New Roman" w:hAnsi="Times New Roman"/>
                <w:sz w:val="22"/>
                <w:szCs w:val="22"/>
                <w:color w:val="auto"/>
              </w:rPr>
              <w:t>Storage Premises. The Premises are shown on the Lease Plans attached hereto as Exhibit 1A,</w:t>
            </w:r>
          </w:p>
        </w:tc>
      </w:tr>
      <w:tr>
        <w:trPr>
          <w:trHeight w:val="223"/>
        </w:trPr>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Exhibit 1B, and Exhibit 1C and made a part hereof (the "</w:t>
            </w:r>
            <w:r>
              <w:rPr>
                <w:rFonts w:ascii="Times New Roman" w:cs="Times New Roman" w:eastAsia="Times New Roman" w:hAnsi="Times New Roman"/>
                <w:sz w:val="22"/>
                <w:szCs w:val="22"/>
                <w:b w:val="1"/>
                <w:bCs w:val="1"/>
                <w:color w:val="auto"/>
              </w:rPr>
              <w:t>Lease Plans</w:t>
            </w:r>
            <w:r>
              <w:rPr>
                <w:rFonts w:ascii="Times New Roman" w:cs="Times New Roman" w:eastAsia="Times New Roman" w:hAnsi="Times New Roman"/>
                <w:sz w:val="22"/>
                <w:szCs w:val="22"/>
                <w:color w:val="auto"/>
              </w:rPr>
              <w:t>").</w:t>
            </w: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r>
      <w:tr>
        <w:trPr>
          <w:trHeight w:val="533"/>
        </w:trPr>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Landlord and Tenant stipulate and agree that the rentable square footage of the Building and the</w:t>
            </w:r>
          </w:p>
        </w:tc>
      </w:tr>
      <w:tr>
        <w:trPr>
          <w:trHeight w:val="243"/>
        </w:trPr>
        <w:tc>
          <w:tcPr>
            <w:tcW w:w="2280" w:type="dxa"/>
            <w:vAlign w:val="bottom"/>
          </w:tcPr>
          <w:p>
            <w:pPr>
              <w:spacing w:after="0"/>
              <w:rPr>
                <w:sz w:val="21"/>
                <w:szCs w:val="21"/>
                <w:color w:val="auto"/>
              </w:rPr>
            </w:pPr>
          </w:p>
        </w:tc>
        <w:tc>
          <w:tcPr>
            <w:tcW w:w="89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w w:val="99"/>
              </w:rPr>
              <w:t>rentable square footage of the Premises are based on the BOMA International Standard Method for</w:t>
            </w:r>
          </w:p>
        </w:tc>
      </w:tr>
      <w:tr>
        <w:trPr>
          <w:trHeight w:val="243"/>
        </w:trPr>
        <w:tc>
          <w:tcPr>
            <w:tcW w:w="2280" w:type="dxa"/>
            <w:vAlign w:val="bottom"/>
          </w:tcPr>
          <w:p>
            <w:pPr>
              <w:spacing w:after="0"/>
              <w:rPr>
                <w:sz w:val="21"/>
                <w:szCs w:val="21"/>
                <w:color w:val="auto"/>
              </w:rPr>
            </w:pPr>
          </w:p>
        </w:tc>
        <w:tc>
          <w:tcPr>
            <w:tcW w:w="89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rPr>
              <w:t>Measuring Floor Area in Office Buildings (ANSI/BOMA Z65.1-2017) as modified for laboratory</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uses and applied in the Boston market and shall not be remeasured.</w:t>
            </w:r>
          </w:p>
        </w:tc>
      </w:tr>
      <w:tr>
        <w:trPr>
          <w:trHeight w:val="501"/>
        </w:trPr>
        <w:tc>
          <w:tcPr>
            <w:tcW w:w="22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Property:</w:t>
            </w: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Building, the Garage, the Land, and other improvements located on, and to be constructed on,</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Land.</w:t>
            </w:r>
          </w:p>
        </w:tc>
      </w:tr>
      <w:tr>
        <w:trPr>
          <w:trHeight w:val="501"/>
        </w:trPr>
        <w:tc>
          <w:tcPr>
            <w:tcW w:w="22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Parking Areas:</w:t>
            </w: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parking structures (including the Garage located underneath the Building) located on the</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Campus that Landlord provides for parking by all tenants of space on the Property.</w:t>
            </w:r>
          </w:p>
        </w:tc>
      </w:tr>
      <w:tr>
        <w:trPr>
          <w:trHeight w:val="497"/>
        </w:trPr>
        <w:tc>
          <w:tcPr>
            <w:tcW w:w="22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Term Commencement</w:t>
            </w: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b w:val="1"/>
                <w:bCs w:val="1"/>
                <w:color w:val="auto"/>
                <w:w w:val="99"/>
              </w:rPr>
              <w:t>Phase I Term Commencement Date</w:t>
            </w:r>
            <w:r>
              <w:rPr>
                <w:rFonts w:ascii="Times New Roman" w:cs="Times New Roman" w:eastAsia="Times New Roman" w:hAnsi="Times New Roman"/>
                <w:sz w:val="22"/>
                <w:szCs w:val="22"/>
                <w:color w:val="auto"/>
                <w:w w:val="99"/>
              </w:rPr>
              <w:t>: The earlier of (i) the date that Tenant first commences to use</w:t>
            </w:r>
          </w:p>
        </w:tc>
      </w:tr>
      <w:tr>
        <w:trPr>
          <w:trHeight w:val="247"/>
        </w:trPr>
        <w:tc>
          <w:tcPr>
            <w:tcW w:w="2280" w:type="dxa"/>
            <w:vAlign w:val="bottom"/>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Date:</w:t>
            </w:r>
          </w:p>
        </w:tc>
        <w:tc>
          <w:tcPr>
            <w:tcW w:w="8960" w:type="dxa"/>
            <w:vAlign w:val="bottom"/>
            <w:gridSpan w:val="7"/>
          </w:tcPr>
          <w:p>
            <w:pPr>
              <w:ind w:left="220"/>
              <w:spacing w:after="0" w:line="247" w:lineRule="exact"/>
              <w:rPr>
                <w:sz w:val="20"/>
                <w:szCs w:val="20"/>
                <w:color w:val="auto"/>
              </w:rPr>
            </w:pPr>
            <w:r>
              <w:rPr>
                <w:rFonts w:ascii="Times New Roman" w:cs="Times New Roman" w:eastAsia="Times New Roman" w:hAnsi="Times New Roman"/>
                <w:sz w:val="22"/>
                <w:szCs w:val="22"/>
                <w:color w:val="auto"/>
              </w:rPr>
              <w:t>the Phase I Premises, or any portion thereof, for any Permitted Use, or (ii) the Substantial</w:t>
            </w:r>
          </w:p>
        </w:tc>
      </w:tr>
      <w:tr>
        <w:trPr>
          <w:trHeight w:val="243"/>
        </w:trPr>
        <w:tc>
          <w:tcPr>
            <w:tcW w:w="2280" w:type="dxa"/>
            <w:vAlign w:val="bottom"/>
          </w:tcPr>
          <w:p>
            <w:pPr>
              <w:spacing w:after="0"/>
              <w:rPr>
                <w:sz w:val="21"/>
                <w:szCs w:val="21"/>
                <w:color w:val="auto"/>
              </w:rPr>
            </w:pPr>
          </w:p>
        </w:tc>
        <w:tc>
          <w:tcPr>
            <w:tcW w:w="89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rPr>
              <w:t>Completion, as hereinafter defined, of Landlord's Work, as hereinafter defined applicable to the</w:t>
            </w:r>
          </w:p>
        </w:tc>
      </w:tr>
      <w:tr>
        <w:trPr>
          <w:trHeight w:val="239"/>
        </w:trPr>
        <w:tc>
          <w:tcPr>
            <w:tcW w:w="2280" w:type="dxa"/>
            <w:vAlign w:val="bottom"/>
          </w:tcPr>
          <w:p>
            <w:pPr>
              <w:spacing w:after="0"/>
              <w:rPr>
                <w:sz w:val="20"/>
                <w:szCs w:val="20"/>
                <w:color w:val="auto"/>
              </w:rPr>
            </w:pPr>
          </w:p>
        </w:tc>
        <w:tc>
          <w:tcPr>
            <w:tcW w:w="8960" w:type="dxa"/>
            <w:vAlign w:val="bottom"/>
            <w:gridSpan w:val="7"/>
          </w:tcPr>
          <w:p>
            <w:pPr>
              <w:ind w:left="220"/>
              <w:spacing w:after="0" w:line="239" w:lineRule="exact"/>
              <w:rPr>
                <w:sz w:val="20"/>
                <w:szCs w:val="20"/>
                <w:color w:val="auto"/>
              </w:rPr>
            </w:pPr>
            <w:r>
              <w:rPr>
                <w:rFonts w:ascii="Times New Roman" w:cs="Times New Roman" w:eastAsia="Times New Roman" w:hAnsi="Times New Roman"/>
                <w:sz w:val="22"/>
                <w:szCs w:val="22"/>
                <w:color w:val="auto"/>
                <w:w w:val="98"/>
              </w:rPr>
              <w:t>Phase I Premises. The parties estimate that that the Phase I Term Commencement Date will occur on</w:t>
            </w:r>
          </w:p>
        </w:tc>
      </w:tr>
      <w:tr>
        <w:trPr>
          <w:trHeight w:val="286"/>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or about October 15, 2022 ("</w:t>
            </w:r>
            <w:r>
              <w:rPr>
                <w:rFonts w:ascii="Times New Roman" w:cs="Times New Roman" w:eastAsia="Times New Roman" w:hAnsi="Times New Roman"/>
                <w:sz w:val="22"/>
                <w:szCs w:val="22"/>
                <w:b w:val="1"/>
                <w:bCs w:val="1"/>
                <w:color w:val="auto"/>
              </w:rPr>
              <w:t>Estimated Phase I Term Commencement Date</w:t>
            </w:r>
            <w:r>
              <w:rPr>
                <w:rFonts w:ascii="Times New Roman" w:cs="Times New Roman" w:eastAsia="Times New Roman" w:hAnsi="Times New Roman"/>
                <w:sz w:val="22"/>
                <w:szCs w:val="22"/>
                <w:color w:val="auto"/>
              </w:rPr>
              <w:t>").</w:t>
            </w:r>
          </w:p>
        </w:tc>
      </w:tr>
      <w:tr>
        <w:trPr>
          <w:trHeight w:val="501"/>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Phase II Term Commencement Date</w:t>
            </w:r>
            <w:r>
              <w:rPr>
                <w:rFonts w:ascii="Times New Roman" w:cs="Times New Roman" w:eastAsia="Times New Roman" w:hAnsi="Times New Roman"/>
                <w:sz w:val="22"/>
                <w:szCs w:val="22"/>
                <w:color w:val="auto"/>
                <w:w w:val="98"/>
              </w:rPr>
              <w:t>: The earlier of (i) the date that Tenant first commences to use</w:t>
            </w:r>
          </w:p>
        </w:tc>
      </w:tr>
      <w:tr>
        <w:trPr>
          <w:trHeight w:val="243"/>
        </w:trPr>
        <w:tc>
          <w:tcPr>
            <w:tcW w:w="2280" w:type="dxa"/>
            <w:vAlign w:val="bottom"/>
          </w:tcPr>
          <w:p>
            <w:pPr>
              <w:spacing w:after="0"/>
              <w:rPr>
                <w:sz w:val="21"/>
                <w:szCs w:val="21"/>
                <w:color w:val="auto"/>
              </w:rPr>
            </w:pPr>
          </w:p>
        </w:tc>
        <w:tc>
          <w:tcPr>
            <w:tcW w:w="89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rPr>
              <w:t>the Phase II Premises, or any portion thereof, for any Permitted Use or (ii) the Substantial</w:t>
            </w:r>
          </w:p>
        </w:tc>
      </w:tr>
      <w:tr>
        <w:trPr>
          <w:trHeight w:val="243"/>
        </w:trPr>
        <w:tc>
          <w:tcPr>
            <w:tcW w:w="2280" w:type="dxa"/>
            <w:vAlign w:val="bottom"/>
          </w:tcPr>
          <w:p>
            <w:pPr>
              <w:spacing w:after="0"/>
              <w:rPr>
                <w:sz w:val="21"/>
                <w:szCs w:val="21"/>
                <w:color w:val="auto"/>
              </w:rPr>
            </w:pPr>
          </w:p>
        </w:tc>
        <w:tc>
          <w:tcPr>
            <w:tcW w:w="8960" w:type="dxa"/>
            <w:vAlign w:val="bottom"/>
            <w:gridSpan w:val="7"/>
          </w:tcPr>
          <w:p>
            <w:pPr>
              <w:ind w:left="220"/>
              <w:spacing w:after="0" w:line="243" w:lineRule="exact"/>
              <w:rPr>
                <w:sz w:val="20"/>
                <w:szCs w:val="20"/>
                <w:color w:val="auto"/>
              </w:rPr>
            </w:pPr>
            <w:r>
              <w:rPr>
                <w:rFonts w:ascii="Times New Roman" w:cs="Times New Roman" w:eastAsia="Times New Roman" w:hAnsi="Times New Roman"/>
                <w:sz w:val="22"/>
                <w:szCs w:val="22"/>
                <w:color w:val="auto"/>
              </w:rPr>
              <w:t>Completion, as hereinafter defined, of Landlord's Work, as hereinafter defined applicable to the</w:t>
            </w:r>
          </w:p>
        </w:tc>
      </w:tr>
      <w:tr>
        <w:trPr>
          <w:trHeight w:val="239"/>
        </w:trPr>
        <w:tc>
          <w:tcPr>
            <w:tcW w:w="2280" w:type="dxa"/>
            <w:vAlign w:val="bottom"/>
          </w:tcPr>
          <w:p>
            <w:pPr>
              <w:spacing w:after="0"/>
              <w:rPr>
                <w:sz w:val="20"/>
                <w:szCs w:val="20"/>
                <w:color w:val="auto"/>
              </w:rPr>
            </w:pPr>
          </w:p>
        </w:tc>
        <w:tc>
          <w:tcPr>
            <w:tcW w:w="8960" w:type="dxa"/>
            <w:vAlign w:val="bottom"/>
            <w:gridSpan w:val="7"/>
          </w:tcPr>
          <w:p>
            <w:pPr>
              <w:ind w:left="220"/>
              <w:spacing w:after="0" w:line="239" w:lineRule="exact"/>
              <w:rPr>
                <w:sz w:val="20"/>
                <w:szCs w:val="20"/>
                <w:color w:val="auto"/>
              </w:rPr>
            </w:pPr>
            <w:r>
              <w:rPr>
                <w:rFonts w:ascii="Times New Roman" w:cs="Times New Roman" w:eastAsia="Times New Roman" w:hAnsi="Times New Roman"/>
                <w:sz w:val="22"/>
                <w:szCs w:val="22"/>
                <w:color w:val="auto"/>
                <w:w w:val="99"/>
              </w:rPr>
              <w:t>Phase II Premises. The parties estimate that that the Phase II Term Commencement Date will occur</w:t>
            </w:r>
          </w:p>
        </w:tc>
      </w:tr>
      <w:tr>
        <w:trPr>
          <w:trHeight w:val="286"/>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on or about December 1, 2022 ("</w:t>
            </w:r>
            <w:r>
              <w:rPr>
                <w:rFonts w:ascii="Times New Roman" w:cs="Times New Roman" w:eastAsia="Times New Roman" w:hAnsi="Times New Roman"/>
                <w:sz w:val="22"/>
                <w:szCs w:val="22"/>
                <w:b w:val="1"/>
                <w:bCs w:val="1"/>
                <w:color w:val="auto"/>
              </w:rPr>
              <w:t>Estimated Phase II Term Commencement Date</w:t>
            </w:r>
            <w:r>
              <w:rPr>
                <w:rFonts w:ascii="Times New Roman" w:cs="Times New Roman" w:eastAsia="Times New Roman" w:hAnsi="Times New Roman"/>
                <w:sz w:val="22"/>
                <w:szCs w:val="22"/>
                <w:color w:val="auto"/>
              </w:rPr>
              <w:t>").</w:t>
            </w:r>
          </w:p>
        </w:tc>
      </w:tr>
      <w:tr>
        <w:trPr>
          <w:trHeight w:val="501"/>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Estimated Term Commencement Date</w:t>
            </w:r>
            <w:r>
              <w:rPr>
                <w:rFonts w:ascii="Times New Roman" w:cs="Times New Roman" w:eastAsia="Times New Roman" w:hAnsi="Times New Roman"/>
                <w:sz w:val="22"/>
                <w:szCs w:val="22"/>
                <w:color w:val="auto"/>
              </w:rPr>
              <w:t>" shall mean, as applicable, the Estimated Phase I</w:t>
            </w:r>
          </w:p>
        </w:tc>
      </w:tr>
      <w:tr>
        <w:trPr>
          <w:trHeight w:val="282"/>
        </w:trPr>
        <w:tc>
          <w:tcPr>
            <w:tcW w:w="2280" w:type="dxa"/>
            <w:vAlign w:val="bottom"/>
          </w:tcPr>
          <w:p>
            <w:pPr>
              <w:spacing w:after="0"/>
              <w:rPr>
                <w:sz w:val="24"/>
                <w:szCs w:val="24"/>
                <w:color w:val="auto"/>
              </w:rPr>
            </w:pPr>
          </w:p>
        </w:tc>
        <w:tc>
          <w:tcPr>
            <w:tcW w:w="8960" w:type="dxa"/>
            <w:vAlign w:val="bottom"/>
            <w:gridSpan w:val="7"/>
          </w:tcPr>
          <w:p>
            <w:pPr>
              <w:ind w:left="220"/>
              <w:spacing w:after="0"/>
              <w:rPr>
                <w:sz w:val="20"/>
                <w:szCs w:val="20"/>
                <w:color w:val="auto"/>
              </w:rPr>
            </w:pPr>
            <w:r>
              <w:rPr>
                <w:rFonts w:ascii="Times New Roman" w:cs="Times New Roman" w:eastAsia="Times New Roman" w:hAnsi="Times New Roman"/>
                <w:sz w:val="22"/>
                <w:szCs w:val="22"/>
                <w:color w:val="auto"/>
              </w:rPr>
              <w:t>Term Commencement Date or the Estimated Phase II Term Commencement Date.</w:t>
            </w:r>
          </w:p>
        </w:tc>
      </w:tr>
      <w:tr>
        <w:trPr>
          <w:trHeight w:val="461"/>
        </w:trPr>
        <w:tc>
          <w:tcPr>
            <w:tcW w:w="2280" w:type="dxa"/>
            <w:vAlign w:val="bottom"/>
          </w:tcPr>
          <w:p>
            <w:pPr>
              <w:spacing w:after="0"/>
              <w:rPr>
                <w:sz w:val="24"/>
                <w:szCs w:val="24"/>
                <w:color w:val="auto"/>
              </w:rPr>
            </w:pPr>
          </w:p>
        </w:tc>
        <w:tc>
          <w:tcPr>
            <w:tcW w:w="7880" w:type="dxa"/>
            <w:vAlign w:val="bottom"/>
            <w:gridSpan w:val="5"/>
          </w:tcPr>
          <w:p>
            <w:pPr>
              <w:jc w:val="right"/>
              <w:ind w:right="45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4835-4009-9054, v. 8</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46"/>
        </w:trPr>
        <w:tc>
          <w:tcPr>
            <w:tcW w:w="2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60" w:type="dxa"/>
            <w:vAlign w:val="bottom"/>
          </w:tcPr>
          <w:p>
            <w:pPr>
              <w:spacing w:after="0"/>
              <w:rPr>
                <w:sz w:val="22"/>
                <w:szCs w:val="22"/>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Term Commencement Date</w:t>
            </w:r>
            <w:r>
              <w:rPr>
                <w:rFonts w:ascii="Times New Roman" w:cs="Times New Roman" w:eastAsia="Times New Roman" w:hAnsi="Times New Roman"/>
                <w:sz w:val="22"/>
                <w:szCs w:val="22"/>
                <w:color w:val="auto"/>
              </w:rPr>
              <w:t>" shall mean, as applicable, the Phase I Premises Term</w:t>
            </w:r>
          </w:p>
        </w:tc>
      </w:tr>
      <w:tr>
        <w:trPr>
          <w:trHeight w:val="282"/>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Commencement Date or the Phase II Premises Term Commencement Date.</w:t>
            </w:r>
          </w:p>
        </w:tc>
      </w:tr>
      <w:tr>
        <w:trPr>
          <w:trHeight w:val="497"/>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Rent Commencement</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i w:val="1"/>
                <w:iCs w:val="1"/>
                <w:color w:val="auto"/>
              </w:rPr>
              <w:t>Phase I</w:t>
            </w:r>
            <w:r>
              <w:rPr>
                <w:rFonts w:ascii="Times New Roman" w:cs="Times New Roman" w:eastAsia="Times New Roman" w:hAnsi="Times New Roman"/>
                <w:sz w:val="22"/>
                <w:szCs w:val="22"/>
                <w:color w:val="auto"/>
              </w:rPr>
              <w:t>: The date that is three (3) months after the Phase I Term Commencement Date ("</w:t>
            </w:r>
            <w:r>
              <w:rPr>
                <w:rFonts w:ascii="Times New Roman" w:cs="Times New Roman" w:eastAsia="Times New Roman" w:hAnsi="Times New Roman"/>
                <w:sz w:val="22"/>
                <w:szCs w:val="22"/>
                <w:b w:val="1"/>
                <w:bCs w:val="1"/>
                <w:color w:val="auto"/>
              </w:rPr>
              <w:t>Phase I</w:t>
            </w:r>
          </w:p>
        </w:tc>
      </w:tr>
      <w:tr>
        <w:trPr>
          <w:trHeight w:val="286"/>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Rent Commencement Date</w:t>
            </w:r>
            <w:r>
              <w:rPr>
                <w:rFonts w:ascii="Times New Roman" w:cs="Times New Roman" w:eastAsia="Times New Roman" w:hAnsi="Times New Roman"/>
                <w:sz w:val="22"/>
                <w:szCs w:val="22"/>
                <w:color w:val="auto"/>
              </w:rPr>
              <w:t>").</w:t>
            </w:r>
          </w:p>
        </w:tc>
      </w:tr>
      <w:tr>
        <w:trPr>
          <w:trHeight w:val="497"/>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i w:val="1"/>
                <w:iCs w:val="1"/>
                <w:color w:val="auto"/>
                <w:w w:val="99"/>
              </w:rPr>
              <w:t>Phase II</w:t>
            </w:r>
            <w:r>
              <w:rPr>
                <w:rFonts w:ascii="Times New Roman" w:cs="Times New Roman" w:eastAsia="Times New Roman" w:hAnsi="Times New Roman"/>
                <w:sz w:val="22"/>
                <w:szCs w:val="22"/>
                <w:color w:val="auto"/>
                <w:w w:val="99"/>
              </w:rPr>
              <w:t>: The date that is three (3) months after the Phase II Term Commencement Date ("</w:t>
            </w:r>
            <w:r>
              <w:rPr>
                <w:rFonts w:ascii="Times New Roman" w:cs="Times New Roman" w:eastAsia="Times New Roman" w:hAnsi="Times New Roman"/>
                <w:sz w:val="22"/>
                <w:szCs w:val="22"/>
                <w:b w:val="1"/>
                <w:bCs w:val="1"/>
                <w:color w:val="auto"/>
                <w:w w:val="99"/>
              </w:rPr>
              <w:t>Phase II</w:t>
            </w:r>
          </w:p>
        </w:tc>
      </w:tr>
      <w:tr>
        <w:trPr>
          <w:trHeight w:val="286"/>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Rent Commencement Date</w:t>
            </w:r>
            <w:r>
              <w:rPr>
                <w:rFonts w:ascii="Times New Roman" w:cs="Times New Roman" w:eastAsia="Times New Roman" w:hAnsi="Times New Roman"/>
                <w:sz w:val="22"/>
                <w:szCs w:val="22"/>
                <w:color w:val="auto"/>
              </w:rPr>
              <w:t>").</w:t>
            </w:r>
          </w:p>
        </w:tc>
      </w:tr>
      <w:tr>
        <w:trPr>
          <w:trHeight w:val="501"/>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Expiration Date:</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9"/>
              </w:rPr>
              <w:t>Ten (10) years and three (3) months after the Phase II Term Commencement Date, except that if the</w:t>
            </w:r>
          </w:p>
        </w:tc>
      </w:tr>
      <w:tr>
        <w:trPr>
          <w:trHeight w:val="243"/>
        </w:trPr>
        <w:tc>
          <w:tcPr>
            <w:tcW w:w="2260" w:type="dxa"/>
            <w:vAlign w:val="bottom"/>
          </w:tcPr>
          <w:p>
            <w:pPr>
              <w:spacing w:after="0"/>
              <w:rPr>
                <w:sz w:val="21"/>
                <w:szCs w:val="21"/>
                <w:color w:val="auto"/>
              </w:rPr>
            </w:pPr>
          </w:p>
        </w:tc>
        <w:tc>
          <w:tcPr>
            <w:tcW w:w="898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rPr>
              <w:t>Phase II Term Commencement Date does not occur on the first day of a calendar month, then the</w:t>
            </w:r>
          </w:p>
        </w:tc>
      </w:tr>
      <w:tr>
        <w:trPr>
          <w:trHeight w:val="243"/>
        </w:trPr>
        <w:tc>
          <w:tcPr>
            <w:tcW w:w="2260" w:type="dxa"/>
            <w:vAlign w:val="bottom"/>
          </w:tcPr>
          <w:p>
            <w:pPr>
              <w:spacing w:after="0"/>
              <w:rPr>
                <w:sz w:val="21"/>
                <w:szCs w:val="21"/>
                <w:color w:val="auto"/>
              </w:rPr>
            </w:pPr>
          </w:p>
        </w:tc>
        <w:tc>
          <w:tcPr>
            <w:tcW w:w="8980" w:type="dxa"/>
            <w:vAlign w:val="bottom"/>
            <w:gridSpan w:val="3"/>
          </w:tcPr>
          <w:p>
            <w:pPr>
              <w:ind w:left="240"/>
              <w:spacing w:after="0" w:line="243" w:lineRule="exact"/>
              <w:rPr>
                <w:sz w:val="20"/>
                <w:szCs w:val="20"/>
                <w:color w:val="auto"/>
              </w:rPr>
            </w:pPr>
            <w:r>
              <w:rPr>
                <w:rFonts w:ascii="Times New Roman" w:cs="Times New Roman" w:eastAsia="Times New Roman" w:hAnsi="Times New Roman"/>
                <w:sz w:val="22"/>
                <w:szCs w:val="22"/>
                <w:color w:val="auto"/>
                <w:w w:val="98"/>
              </w:rPr>
              <w:t>Expiration Date shall be the last day of the calendar month in which the date ten (10) years and three</w:t>
            </w:r>
          </w:p>
        </w:tc>
      </w:tr>
      <w:tr>
        <w:trPr>
          <w:trHeight w:val="282"/>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(3) months after the Phase II Term Commencement Date occurs.</w:t>
            </w:r>
          </w:p>
        </w:tc>
      </w:tr>
      <w:tr>
        <w:trPr>
          <w:trHeight w:val="540"/>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Extension Term:</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Subject to Section 1.2 below, one (1) extension term of seven (7) years.</w:t>
            </w:r>
          </w:p>
        </w:tc>
      </w:tr>
      <w:tr>
        <w:trPr>
          <w:trHeight w:val="488"/>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Landlord's</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Up to $20,678,500.00, subject to Article 4 below and Exhibit 4 attached hereto.</w:t>
            </w:r>
          </w:p>
        </w:tc>
      </w:tr>
      <w:tr>
        <w:trPr>
          <w:trHeight w:val="276"/>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Contribution:</w:t>
            </w:r>
          </w:p>
        </w:tc>
        <w:tc>
          <w:tcPr>
            <w:tcW w:w="490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280" w:type="dxa"/>
            <w:vAlign w:val="bottom"/>
          </w:tcPr>
          <w:p>
            <w:pPr>
              <w:spacing w:after="0"/>
              <w:rPr>
                <w:sz w:val="23"/>
                <w:szCs w:val="23"/>
                <w:color w:val="auto"/>
              </w:rPr>
            </w:pPr>
          </w:p>
        </w:tc>
      </w:tr>
      <w:tr>
        <w:trPr>
          <w:trHeight w:val="501"/>
        </w:trPr>
        <w:tc>
          <w:tcPr>
            <w:tcW w:w="22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Permitted Uses:</w:t>
            </w: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Subject to Legal Requirements, Tenant shall have the right to use the following portions of the</w:t>
            </w:r>
          </w:p>
        </w:tc>
      </w:tr>
      <w:tr>
        <w:trPr>
          <w:trHeight w:val="282"/>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Premises only for the following uses:</w:t>
            </w:r>
          </w:p>
        </w:tc>
      </w:tr>
      <w:tr>
        <w:trPr>
          <w:trHeight w:val="501"/>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Prime Premises</w:t>
            </w:r>
            <w:r>
              <w:rPr>
                <w:rFonts w:ascii="Times New Roman" w:cs="Times New Roman" w:eastAsia="Times New Roman" w:hAnsi="Times New Roman"/>
                <w:sz w:val="22"/>
                <w:szCs w:val="22"/>
                <w:color w:val="auto"/>
              </w:rPr>
              <w:t>: General office, research, development, warehouse and laboratory use, and other</w:t>
            </w:r>
          </w:p>
        </w:tc>
      </w:tr>
      <w:tr>
        <w:trPr>
          <w:trHeight w:val="239"/>
        </w:trPr>
        <w:tc>
          <w:tcPr>
            <w:tcW w:w="2260" w:type="dxa"/>
            <w:vAlign w:val="bottom"/>
          </w:tcPr>
          <w:p>
            <w:pPr>
              <w:spacing w:after="0"/>
              <w:rPr>
                <w:sz w:val="20"/>
                <w:szCs w:val="20"/>
                <w:color w:val="auto"/>
              </w:rPr>
            </w:pPr>
          </w:p>
        </w:tc>
        <w:tc>
          <w:tcPr>
            <w:tcW w:w="8980" w:type="dxa"/>
            <w:vAlign w:val="bottom"/>
            <w:gridSpan w:val="3"/>
          </w:tcPr>
          <w:p>
            <w:pPr>
              <w:ind w:left="240"/>
              <w:spacing w:after="0" w:line="239" w:lineRule="exact"/>
              <w:rPr>
                <w:sz w:val="20"/>
                <w:szCs w:val="20"/>
                <w:color w:val="auto"/>
              </w:rPr>
            </w:pPr>
            <w:r>
              <w:rPr>
                <w:rFonts w:ascii="Times New Roman" w:cs="Times New Roman" w:eastAsia="Times New Roman" w:hAnsi="Times New Roman"/>
                <w:sz w:val="22"/>
                <w:szCs w:val="22"/>
                <w:color w:val="auto"/>
              </w:rPr>
              <w:t>ancillary uses (including, but not limited to, the Approved Vivarium Use) related to the foregoing.</w:t>
            </w:r>
          </w:p>
        </w:tc>
      </w:tr>
      <w:tr>
        <w:trPr>
          <w:trHeight w:val="286"/>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Vivarium Use</w:t>
            </w:r>
            <w:r>
              <w:rPr>
                <w:rFonts w:ascii="Times New Roman" w:cs="Times New Roman" w:eastAsia="Times New Roman" w:hAnsi="Times New Roman"/>
                <w:sz w:val="22"/>
                <w:szCs w:val="22"/>
                <w:color w:val="auto"/>
              </w:rPr>
              <w:t>" shall mean small rodents, subject to Section 4.6 of this Lease;</w:t>
            </w:r>
          </w:p>
        </w:tc>
      </w:tr>
      <w:tr>
        <w:trPr>
          <w:trHeight w:val="501"/>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Penthouse Equipment Premises</w:t>
            </w:r>
            <w:r>
              <w:rPr>
                <w:rFonts w:ascii="Times New Roman" w:cs="Times New Roman" w:eastAsia="Times New Roman" w:hAnsi="Times New Roman"/>
                <w:sz w:val="22"/>
                <w:szCs w:val="22"/>
                <w:color w:val="auto"/>
              </w:rPr>
              <w:t>: Installation, operation and</w:t>
            </w:r>
          </w:p>
        </w:tc>
      </w:tr>
      <w:tr>
        <w:trPr>
          <w:trHeight w:val="282"/>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maintenance of Tenant's Penthouse Equipment; and</w:t>
            </w:r>
          </w:p>
        </w:tc>
      </w:tr>
      <w:tr>
        <w:trPr>
          <w:trHeight w:val="501"/>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w w:val="99"/>
              </w:rPr>
              <w:t>Storage Premises</w:t>
            </w:r>
            <w:r>
              <w:rPr>
                <w:rFonts w:ascii="Times New Roman" w:cs="Times New Roman" w:eastAsia="Times New Roman" w:hAnsi="Times New Roman"/>
                <w:sz w:val="22"/>
                <w:szCs w:val="22"/>
                <w:color w:val="auto"/>
                <w:w w:val="99"/>
              </w:rPr>
              <w:t>: The storage of Tenant's Hazardous Materials, waste and other materials used or</w:t>
            </w:r>
          </w:p>
        </w:tc>
      </w:tr>
      <w:tr>
        <w:trPr>
          <w:trHeight w:val="282"/>
        </w:trPr>
        <w:tc>
          <w:tcPr>
            <w:tcW w:w="2260" w:type="dxa"/>
            <w:vAlign w:val="bottom"/>
          </w:tcPr>
          <w:p>
            <w:pPr>
              <w:spacing w:after="0"/>
              <w:rPr>
                <w:sz w:val="24"/>
                <w:szCs w:val="24"/>
                <w:color w:val="auto"/>
              </w:rPr>
            </w:pPr>
          </w:p>
        </w:tc>
        <w:tc>
          <w:tcPr>
            <w:tcW w:w="898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generated by Tenant in the Premises.</w:t>
            </w:r>
          </w:p>
        </w:tc>
      </w:tr>
      <w:tr>
        <w:trPr>
          <w:trHeight w:val="461"/>
        </w:trPr>
        <w:tc>
          <w:tcPr>
            <w:tcW w:w="2260" w:type="dxa"/>
            <w:vAlign w:val="bottom"/>
          </w:tcPr>
          <w:p>
            <w:pPr>
              <w:spacing w:after="0"/>
              <w:rPr>
                <w:sz w:val="24"/>
                <w:szCs w:val="24"/>
                <w:color w:val="auto"/>
              </w:rPr>
            </w:pPr>
          </w:p>
        </w:tc>
        <w:tc>
          <w:tcPr>
            <w:tcW w:w="490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6"/>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4835-4009-9054, v. 8</w:t>
            </w:r>
          </w:p>
        </w:tc>
        <w:tc>
          <w:tcPr>
            <w:tcW w:w="4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746"/>
        </w:trPr>
        <w:tc>
          <w:tcPr>
            <w:tcW w:w="226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tbl>
      <w:tblPr>
        <w:tblLayout w:type="fixed"/>
        <w:tblInd w:w="10" w:type="dxa"/>
        <w:tblCellMar>
          <w:top w:w="0" w:type="dxa"/>
          <w:left w:w="0" w:type="dxa"/>
          <w:bottom w:w="0" w:type="dxa"/>
          <w:right w:w="0" w:type="dxa"/>
        </w:tblCellMar>
      </w:tblPr>
      <w:tr>
        <w:trPr>
          <w:trHeight w:val="286"/>
        </w:trPr>
        <w:tc>
          <w:tcPr>
            <w:tcW w:w="38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Base Rent:</w:t>
            </w: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8"/>
        </w:trPr>
        <w:tc>
          <w:tcPr>
            <w:tcW w:w="8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173"/>
        </w:trPr>
        <w:tc>
          <w:tcPr>
            <w:tcW w:w="8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Borders>
              <w:right w:val="single" w:sz="8" w:color="auto"/>
            </w:tcBorders>
            <w:gridSpan w:val="5"/>
          </w:tcPr>
          <w:p>
            <w:pPr>
              <w:jc w:val="center"/>
              <w:ind w:right="1300"/>
              <w:spacing w:after="0" w:line="173" w:lineRule="exact"/>
              <w:rPr>
                <w:sz w:val="20"/>
                <w:szCs w:val="20"/>
                <w:color w:val="auto"/>
              </w:rPr>
            </w:pPr>
            <w:r>
              <w:rPr>
                <w:rFonts w:ascii="Times New Roman" w:cs="Times New Roman" w:eastAsia="Times New Roman" w:hAnsi="Times New Roman"/>
                <w:sz w:val="19"/>
                <w:szCs w:val="19"/>
                <w:b w:val="1"/>
                <w:bCs w:val="1"/>
                <w:color w:val="auto"/>
              </w:rPr>
              <w:t>RENT YEAR</w:t>
            </w:r>
          </w:p>
        </w:tc>
        <w:tc>
          <w:tcPr>
            <w:tcW w:w="3720" w:type="dxa"/>
            <w:vAlign w:val="bottom"/>
            <w:tcBorders>
              <w:right w:val="single" w:sz="8" w:color="auto"/>
            </w:tcBorders>
            <w:gridSpan w:val="3"/>
          </w:tcPr>
          <w:p>
            <w:pPr>
              <w:ind w:left="740"/>
              <w:spacing w:after="0" w:line="173" w:lineRule="exact"/>
              <w:rPr>
                <w:sz w:val="20"/>
                <w:szCs w:val="20"/>
                <w:color w:val="auto"/>
              </w:rPr>
            </w:pPr>
            <w:r>
              <w:rPr>
                <w:rFonts w:ascii="Times New Roman" w:cs="Times New Roman" w:eastAsia="Times New Roman" w:hAnsi="Times New Roman"/>
                <w:sz w:val="19"/>
                <w:szCs w:val="19"/>
                <w:b w:val="1"/>
                <w:bCs w:val="1"/>
                <w:color w:val="auto"/>
              </w:rPr>
              <w:t>ANNUAL BASE RENT</w:t>
            </w:r>
          </w:p>
        </w:tc>
        <w:tc>
          <w:tcPr>
            <w:tcW w:w="3660" w:type="dxa"/>
            <w:vAlign w:val="bottom"/>
            <w:tcBorders>
              <w:right w:val="single" w:sz="8" w:color="auto"/>
            </w:tcBorders>
            <w:gridSpan w:val="3"/>
          </w:tcPr>
          <w:p>
            <w:pPr>
              <w:ind w:left="720"/>
              <w:spacing w:after="0" w:line="173" w:lineRule="exact"/>
              <w:rPr>
                <w:sz w:val="20"/>
                <w:szCs w:val="20"/>
                <w:color w:val="auto"/>
              </w:rPr>
            </w:pPr>
            <w:r>
              <w:rPr>
                <w:rFonts w:ascii="Times New Roman" w:cs="Times New Roman" w:eastAsia="Times New Roman" w:hAnsi="Times New Roman"/>
                <w:sz w:val="19"/>
                <w:szCs w:val="19"/>
                <w:b w:val="1"/>
                <w:bCs w:val="1"/>
                <w:color w:val="auto"/>
              </w:rPr>
              <w:t>MONTHLY PAYMENT</w:t>
            </w:r>
          </w:p>
        </w:tc>
      </w:tr>
      <w:tr>
        <w:trPr>
          <w:trHeight w:val="247"/>
        </w:trPr>
        <w:tc>
          <w:tcPr>
            <w:tcW w:w="84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0" w:type="dxa"/>
            <w:vAlign w:val="bottom"/>
            <w:tcBorders>
              <w:top w:val="single" w:sz="8" w:color="auto"/>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2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r>
      <w:tr>
        <w:trPr>
          <w:trHeight w:val="213"/>
        </w:trPr>
        <w:tc>
          <w:tcPr>
            <w:tcW w:w="84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Borders>
              <w:right w:val="single" w:sz="8" w:color="auto"/>
            </w:tcBorders>
            <w:gridSpan w:val="7"/>
          </w:tcPr>
          <w:p>
            <w:pPr>
              <w:jc w:val="center"/>
              <w:ind w:right="900"/>
              <w:spacing w:after="0" w:line="212" w:lineRule="exact"/>
              <w:rPr>
                <w:sz w:val="20"/>
                <w:szCs w:val="20"/>
                <w:color w:val="auto"/>
              </w:rPr>
            </w:pPr>
            <w:r>
              <w:rPr>
                <w:rFonts w:ascii="Times New Roman" w:cs="Times New Roman" w:eastAsia="Times New Roman" w:hAnsi="Times New Roman"/>
                <w:sz w:val="22"/>
                <w:szCs w:val="22"/>
                <w:b w:val="1"/>
                <w:bCs w:val="1"/>
                <w:color w:val="auto"/>
                <w:w w:val="98"/>
              </w:rPr>
              <w:t>Phase I Premises only:</w:t>
            </w: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50"/>
        </w:trPr>
        <w:tc>
          <w:tcPr>
            <w:tcW w:w="84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r>
      <w:tr>
        <w:trPr>
          <w:trHeight w:val="276"/>
        </w:trPr>
        <w:tc>
          <w:tcPr>
            <w:tcW w:w="3860" w:type="dxa"/>
            <w:vAlign w:val="bottom"/>
            <w:tcBorders>
              <w:left w:val="single" w:sz="8" w:color="auto"/>
              <w:right w:val="single" w:sz="8" w:color="auto"/>
            </w:tcBorders>
            <w:gridSpan w:val="9"/>
          </w:tcPr>
          <w:p>
            <w:pPr>
              <w:jc w:val="center"/>
              <w:ind w:right="20"/>
              <w:spacing w:after="0"/>
              <w:rPr>
                <w:sz w:val="20"/>
                <w:szCs w:val="20"/>
                <w:color w:val="auto"/>
              </w:rPr>
            </w:pPr>
            <w:r>
              <w:rPr>
                <w:rFonts w:ascii="Times New Roman" w:cs="Times New Roman" w:eastAsia="Times New Roman" w:hAnsi="Times New Roman"/>
                <w:sz w:val="22"/>
                <w:szCs w:val="22"/>
                <w:color w:val="auto"/>
                <w:w w:val="97"/>
              </w:rPr>
              <w:t>Months 1-3 of Rent Year 1</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6"/>
              </w:rPr>
              <w:t>$0.00</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6"/>
              </w:rPr>
              <w:t>$0.00</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3860" w:type="dxa"/>
            <w:vAlign w:val="bottom"/>
            <w:tcBorders>
              <w:left w:val="single" w:sz="8" w:color="auto"/>
              <w:right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22"/>
                <w:szCs w:val="22"/>
                <w:color w:val="auto"/>
                <w:w w:val="97"/>
              </w:rPr>
              <w:t>Months 4-12 of Rent Year 1</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8"/>
              </w:rPr>
              <w:t>$3,706,599.00*</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$308,883.25</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09"/>
        </w:trPr>
        <w:tc>
          <w:tcPr>
            <w:tcW w:w="840" w:type="dxa"/>
            <w:vAlign w:val="bottom"/>
            <w:tcBorders>
              <w:left w:val="single" w:sz="8" w:color="auto"/>
            </w:tcBorders>
          </w:tcPr>
          <w:p>
            <w:pPr>
              <w:spacing w:after="0"/>
              <w:rPr>
                <w:sz w:val="18"/>
                <w:szCs w:val="18"/>
                <w:color w:val="auto"/>
              </w:rPr>
            </w:pPr>
          </w:p>
        </w:tc>
        <w:tc>
          <w:tcPr>
            <w:tcW w:w="3020" w:type="dxa"/>
            <w:vAlign w:val="bottom"/>
            <w:tcBorders>
              <w:right w:val="single" w:sz="8" w:color="auto"/>
            </w:tcBorders>
            <w:gridSpan w:val="8"/>
          </w:tcPr>
          <w:p>
            <w:pPr>
              <w:jc w:val="center"/>
              <w:ind w:right="860"/>
              <w:spacing w:after="0" w:line="209" w:lineRule="exact"/>
              <w:rPr>
                <w:sz w:val="20"/>
                <w:szCs w:val="20"/>
                <w:color w:val="auto"/>
              </w:rPr>
            </w:pPr>
            <w:r>
              <w:rPr>
                <w:rFonts w:ascii="Times New Roman" w:cs="Times New Roman" w:eastAsia="Times New Roman" w:hAnsi="Times New Roman"/>
                <w:sz w:val="22"/>
                <w:szCs w:val="22"/>
                <w:b w:val="1"/>
                <w:bCs w:val="1"/>
                <w:color w:val="auto"/>
                <w:w w:val="98"/>
              </w:rPr>
              <w:t>Phase II Premises only</w:t>
            </w:r>
            <w:r>
              <w:rPr>
                <w:rFonts w:ascii="Times New Roman" w:cs="Times New Roman" w:eastAsia="Times New Roman" w:hAnsi="Times New Roman"/>
                <w:sz w:val="22"/>
                <w:szCs w:val="22"/>
                <w:color w:val="auto"/>
                <w:w w:val="98"/>
              </w:rPr>
              <w:t>:</w:t>
            </w: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50"/>
        </w:trPr>
        <w:tc>
          <w:tcPr>
            <w:tcW w:w="840" w:type="dxa"/>
            <w:vAlign w:val="bottom"/>
            <w:tcBorders>
              <w:left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r>
      <w:tr>
        <w:trPr>
          <w:trHeight w:val="223"/>
        </w:trPr>
        <w:tc>
          <w:tcPr>
            <w:tcW w:w="3860" w:type="dxa"/>
            <w:vAlign w:val="bottom"/>
            <w:tcBorders>
              <w:left w:val="single" w:sz="8" w:color="auto"/>
              <w:right w:val="single" w:sz="8" w:color="auto"/>
            </w:tcBorders>
            <w:gridSpan w:val="9"/>
          </w:tcPr>
          <w:p>
            <w:pPr>
              <w:ind w:left="160"/>
              <w:spacing w:after="0" w:line="223" w:lineRule="exact"/>
              <w:rPr>
                <w:sz w:val="20"/>
                <w:szCs w:val="20"/>
                <w:color w:val="auto"/>
              </w:rPr>
            </w:pPr>
            <w:r>
              <w:rPr>
                <w:rFonts w:ascii="Times New Roman" w:cs="Times New Roman" w:eastAsia="Times New Roman" w:hAnsi="Times New Roman"/>
                <w:sz w:val="22"/>
                <w:szCs w:val="22"/>
                <w:color w:val="auto"/>
              </w:rPr>
              <w:t>Phase II Term Commencement Date -</w:t>
            </w:r>
          </w:p>
        </w:tc>
        <w:tc>
          <w:tcPr>
            <w:tcW w:w="2940" w:type="dxa"/>
            <w:vAlign w:val="bottom"/>
            <w:gridSpan w:val="2"/>
          </w:tcPr>
          <w:p>
            <w:pPr>
              <w:jc w:val="center"/>
              <w:ind w:left="633"/>
              <w:spacing w:after="0" w:line="223" w:lineRule="exact"/>
              <w:rPr>
                <w:sz w:val="20"/>
                <w:szCs w:val="20"/>
                <w:color w:val="auto"/>
              </w:rPr>
            </w:pPr>
            <w:r>
              <w:rPr>
                <w:rFonts w:ascii="Times New Roman" w:cs="Times New Roman" w:eastAsia="Times New Roman" w:hAnsi="Times New Roman"/>
                <w:sz w:val="22"/>
                <w:szCs w:val="22"/>
                <w:color w:val="auto"/>
                <w:w w:val="96"/>
              </w:rPr>
              <w:t>$0.00</w:t>
            </w:r>
          </w:p>
        </w:tc>
        <w:tc>
          <w:tcPr>
            <w:tcW w:w="780" w:type="dxa"/>
            <w:vAlign w:val="bottom"/>
            <w:tcBorders>
              <w:right w:val="single" w:sz="8" w:color="auto"/>
            </w:tcBorders>
          </w:tcPr>
          <w:p>
            <w:pPr>
              <w:spacing w:after="0"/>
              <w:rPr>
                <w:sz w:val="19"/>
                <w:szCs w:val="19"/>
                <w:color w:val="auto"/>
              </w:rPr>
            </w:pPr>
          </w:p>
        </w:tc>
        <w:tc>
          <w:tcPr>
            <w:tcW w:w="2940" w:type="dxa"/>
            <w:vAlign w:val="bottom"/>
            <w:gridSpan w:val="2"/>
          </w:tcPr>
          <w:p>
            <w:pPr>
              <w:jc w:val="center"/>
              <w:ind w:left="593"/>
              <w:spacing w:after="0" w:line="223" w:lineRule="exact"/>
              <w:rPr>
                <w:sz w:val="20"/>
                <w:szCs w:val="20"/>
                <w:color w:val="auto"/>
              </w:rPr>
            </w:pPr>
            <w:r>
              <w:rPr>
                <w:rFonts w:ascii="Times New Roman" w:cs="Times New Roman" w:eastAsia="Times New Roman" w:hAnsi="Times New Roman"/>
                <w:sz w:val="22"/>
                <w:szCs w:val="22"/>
                <w:color w:val="auto"/>
                <w:w w:val="96"/>
              </w:rPr>
              <w:t>$0.00</w:t>
            </w:r>
          </w:p>
        </w:tc>
        <w:tc>
          <w:tcPr>
            <w:tcW w:w="720" w:type="dxa"/>
            <w:vAlign w:val="bottom"/>
            <w:tcBorders>
              <w:right w:val="single" w:sz="8" w:color="auto"/>
            </w:tcBorders>
          </w:tcPr>
          <w:p>
            <w:pPr>
              <w:spacing w:after="0"/>
              <w:rPr>
                <w:sz w:val="19"/>
                <w:szCs w:val="19"/>
                <w:color w:val="auto"/>
              </w:rPr>
            </w:pPr>
          </w:p>
        </w:tc>
      </w:tr>
      <w:tr>
        <w:trPr>
          <w:trHeight w:val="243"/>
        </w:trPr>
        <w:tc>
          <w:tcPr>
            <w:tcW w:w="3860" w:type="dxa"/>
            <w:vAlign w:val="bottom"/>
            <w:tcBorders>
              <w:left w:val="single" w:sz="8" w:color="auto"/>
              <w:right w:val="single" w:sz="8" w:color="auto"/>
            </w:tcBorders>
            <w:gridSpan w:val="9"/>
          </w:tcPr>
          <w:p>
            <w:pPr>
              <w:ind w:left="160"/>
              <w:spacing w:after="0" w:line="243" w:lineRule="exact"/>
              <w:rPr>
                <w:sz w:val="20"/>
                <w:szCs w:val="20"/>
                <w:color w:val="auto"/>
              </w:rPr>
            </w:pPr>
            <w:r>
              <w:rPr>
                <w:rFonts w:ascii="Times New Roman" w:cs="Times New Roman" w:eastAsia="Times New Roman" w:hAnsi="Times New Roman"/>
                <w:sz w:val="22"/>
                <w:szCs w:val="22"/>
                <w:color w:val="auto"/>
              </w:rPr>
              <w:t>the last day of the third (3rd) calendar</w:t>
            </w:r>
          </w:p>
        </w:tc>
        <w:tc>
          <w:tcPr>
            <w:tcW w:w="7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r>
      <w:tr>
        <w:trPr>
          <w:trHeight w:val="243"/>
        </w:trPr>
        <w:tc>
          <w:tcPr>
            <w:tcW w:w="3860" w:type="dxa"/>
            <w:vAlign w:val="bottom"/>
            <w:tcBorders>
              <w:left w:val="single" w:sz="8" w:color="auto"/>
              <w:right w:val="single" w:sz="8" w:color="auto"/>
            </w:tcBorders>
            <w:gridSpan w:val="9"/>
          </w:tcPr>
          <w:p>
            <w:pPr>
              <w:ind w:left="160"/>
              <w:spacing w:after="0" w:line="243" w:lineRule="exact"/>
              <w:rPr>
                <w:sz w:val="20"/>
                <w:szCs w:val="20"/>
                <w:color w:val="auto"/>
              </w:rPr>
            </w:pPr>
            <w:r>
              <w:rPr>
                <w:rFonts w:ascii="Times New Roman" w:cs="Times New Roman" w:eastAsia="Times New Roman" w:hAnsi="Times New Roman"/>
                <w:sz w:val="22"/>
                <w:szCs w:val="22"/>
                <w:color w:val="auto"/>
              </w:rPr>
              <w:t>month following the Phase II Term</w:t>
            </w:r>
          </w:p>
        </w:tc>
        <w:tc>
          <w:tcPr>
            <w:tcW w:w="7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r>
      <w:tr>
        <w:trPr>
          <w:trHeight w:val="282"/>
        </w:trPr>
        <w:tc>
          <w:tcPr>
            <w:tcW w:w="3860" w:type="dxa"/>
            <w:vAlign w:val="bottom"/>
            <w:tcBorders>
              <w:left w:val="single" w:sz="8" w:color="auto"/>
              <w:right w:val="single" w:sz="8" w:color="auto"/>
            </w:tcBorders>
            <w:gridSpan w:val="9"/>
          </w:tcPr>
          <w:p>
            <w:pPr>
              <w:ind w:left="160"/>
              <w:spacing w:after="0"/>
              <w:rPr>
                <w:sz w:val="20"/>
                <w:szCs w:val="20"/>
                <w:color w:val="auto"/>
              </w:rPr>
            </w:pPr>
            <w:r>
              <w:rPr>
                <w:rFonts w:ascii="Times New Roman" w:cs="Times New Roman" w:eastAsia="Times New Roman" w:hAnsi="Times New Roman"/>
                <w:sz w:val="22"/>
                <w:szCs w:val="22"/>
                <w:color w:val="auto"/>
              </w:rPr>
              <w:t>Commencement Date</w:t>
            </w: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218"/>
        </w:trPr>
        <w:tc>
          <w:tcPr>
            <w:tcW w:w="8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23"/>
        </w:trPr>
        <w:tc>
          <w:tcPr>
            <w:tcW w:w="3860" w:type="dxa"/>
            <w:vAlign w:val="bottom"/>
            <w:tcBorders>
              <w:left w:val="single" w:sz="8" w:color="auto"/>
              <w:right w:val="single" w:sz="8" w:color="auto"/>
            </w:tcBorders>
            <w:gridSpan w:val="9"/>
          </w:tcPr>
          <w:p>
            <w:pPr>
              <w:ind w:left="160"/>
              <w:spacing w:after="0" w:line="223" w:lineRule="exact"/>
              <w:rPr>
                <w:sz w:val="20"/>
                <w:szCs w:val="20"/>
                <w:color w:val="auto"/>
              </w:rPr>
            </w:pPr>
            <w:r>
              <w:rPr>
                <w:rFonts w:ascii="Times New Roman" w:cs="Times New Roman" w:eastAsia="Times New Roman" w:hAnsi="Times New Roman"/>
                <w:sz w:val="22"/>
                <w:szCs w:val="22"/>
                <w:color w:val="auto"/>
              </w:rPr>
              <w:t>The date which is four (4) months after</w:t>
            </w:r>
          </w:p>
        </w:tc>
        <w:tc>
          <w:tcPr>
            <w:tcW w:w="2940" w:type="dxa"/>
            <w:vAlign w:val="bottom"/>
            <w:gridSpan w:val="2"/>
          </w:tcPr>
          <w:p>
            <w:pPr>
              <w:jc w:val="center"/>
              <w:ind w:left="633"/>
              <w:spacing w:after="0" w:line="223" w:lineRule="exact"/>
              <w:rPr>
                <w:sz w:val="20"/>
                <w:szCs w:val="20"/>
                <w:color w:val="auto"/>
              </w:rPr>
            </w:pPr>
            <w:r>
              <w:rPr>
                <w:rFonts w:ascii="Times New Roman" w:cs="Times New Roman" w:eastAsia="Times New Roman" w:hAnsi="Times New Roman"/>
                <w:sz w:val="22"/>
                <w:szCs w:val="22"/>
                <w:color w:val="auto"/>
                <w:w w:val="98"/>
              </w:rPr>
              <w:t>$4,647,515.00*</w:t>
            </w:r>
          </w:p>
        </w:tc>
        <w:tc>
          <w:tcPr>
            <w:tcW w:w="780" w:type="dxa"/>
            <w:vAlign w:val="bottom"/>
            <w:tcBorders>
              <w:right w:val="single" w:sz="8" w:color="auto"/>
            </w:tcBorders>
          </w:tcPr>
          <w:p>
            <w:pPr>
              <w:spacing w:after="0"/>
              <w:rPr>
                <w:sz w:val="19"/>
                <w:szCs w:val="19"/>
                <w:color w:val="auto"/>
              </w:rPr>
            </w:pPr>
          </w:p>
        </w:tc>
        <w:tc>
          <w:tcPr>
            <w:tcW w:w="2940" w:type="dxa"/>
            <w:vAlign w:val="bottom"/>
            <w:gridSpan w:val="2"/>
          </w:tcPr>
          <w:p>
            <w:pPr>
              <w:jc w:val="center"/>
              <w:ind w:left="593"/>
              <w:spacing w:after="0" w:line="223" w:lineRule="exact"/>
              <w:rPr>
                <w:sz w:val="20"/>
                <w:szCs w:val="20"/>
                <w:color w:val="auto"/>
              </w:rPr>
            </w:pPr>
            <w:r>
              <w:rPr>
                <w:rFonts w:ascii="Times New Roman" w:cs="Times New Roman" w:eastAsia="Times New Roman" w:hAnsi="Times New Roman"/>
                <w:sz w:val="22"/>
                <w:szCs w:val="22"/>
                <w:color w:val="auto"/>
                <w:w w:val="98"/>
              </w:rPr>
              <w:t>$387,292.92</w:t>
            </w:r>
          </w:p>
        </w:tc>
        <w:tc>
          <w:tcPr>
            <w:tcW w:w="720" w:type="dxa"/>
            <w:vAlign w:val="bottom"/>
            <w:tcBorders>
              <w:right w:val="single" w:sz="8" w:color="auto"/>
            </w:tcBorders>
          </w:tcPr>
          <w:p>
            <w:pPr>
              <w:spacing w:after="0"/>
              <w:rPr>
                <w:sz w:val="19"/>
                <w:szCs w:val="19"/>
                <w:color w:val="auto"/>
              </w:rPr>
            </w:pPr>
          </w:p>
        </w:tc>
      </w:tr>
      <w:tr>
        <w:trPr>
          <w:trHeight w:val="243"/>
        </w:trPr>
        <w:tc>
          <w:tcPr>
            <w:tcW w:w="3860" w:type="dxa"/>
            <w:vAlign w:val="bottom"/>
            <w:tcBorders>
              <w:left w:val="single" w:sz="8" w:color="auto"/>
              <w:right w:val="single" w:sz="8" w:color="auto"/>
            </w:tcBorders>
            <w:gridSpan w:val="9"/>
          </w:tcPr>
          <w:p>
            <w:pPr>
              <w:jc w:val="center"/>
              <w:ind w:right="80"/>
              <w:spacing w:after="0" w:line="243" w:lineRule="exact"/>
              <w:rPr>
                <w:sz w:val="20"/>
                <w:szCs w:val="20"/>
                <w:color w:val="auto"/>
              </w:rPr>
            </w:pPr>
            <w:r>
              <w:rPr>
                <w:rFonts w:ascii="Times New Roman" w:cs="Times New Roman" w:eastAsia="Times New Roman" w:hAnsi="Times New Roman"/>
                <w:sz w:val="22"/>
                <w:szCs w:val="22"/>
                <w:color w:val="auto"/>
                <w:w w:val="97"/>
              </w:rPr>
              <w:t>the Phase II Term Commencement Date</w:t>
            </w:r>
          </w:p>
        </w:tc>
        <w:tc>
          <w:tcPr>
            <w:tcW w:w="7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r>
      <w:tr>
        <w:trPr>
          <w:trHeight w:val="282"/>
        </w:trPr>
        <w:tc>
          <w:tcPr>
            <w:tcW w:w="3860" w:type="dxa"/>
            <w:vAlign w:val="bottom"/>
            <w:tcBorders>
              <w:left w:val="single" w:sz="8" w:color="auto"/>
              <w:right w:val="single" w:sz="8" w:color="auto"/>
            </w:tcBorders>
            <w:gridSpan w:val="9"/>
          </w:tcPr>
          <w:p>
            <w:pPr>
              <w:ind w:left="160"/>
              <w:spacing w:after="0"/>
              <w:rPr>
                <w:sz w:val="20"/>
                <w:szCs w:val="20"/>
                <w:color w:val="auto"/>
              </w:rPr>
            </w:pPr>
            <w:r>
              <w:rPr>
                <w:rFonts w:ascii="Times New Roman" w:cs="Times New Roman" w:eastAsia="Times New Roman" w:hAnsi="Times New Roman"/>
                <w:sz w:val="22"/>
                <w:szCs w:val="22"/>
                <w:color w:val="auto"/>
              </w:rPr>
              <w:t>- end of Rent Year 1</w:t>
            </w:r>
          </w:p>
        </w:tc>
        <w:tc>
          <w:tcPr>
            <w:tcW w:w="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r>
      <w:tr>
        <w:trPr>
          <w:trHeight w:val="218"/>
        </w:trPr>
        <w:tc>
          <w:tcPr>
            <w:tcW w:w="8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84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Borders>
              <w:right w:val="single" w:sz="8" w:color="auto"/>
            </w:tcBorders>
            <w:gridSpan w:val="7"/>
          </w:tcPr>
          <w:p>
            <w:pPr>
              <w:jc w:val="center"/>
              <w:ind w:right="900"/>
              <w:spacing w:after="0" w:line="209" w:lineRule="exact"/>
              <w:rPr>
                <w:sz w:val="20"/>
                <w:szCs w:val="20"/>
                <w:color w:val="auto"/>
              </w:rPr>
            </w:pPr>
            <w:r>
              <w:rPr>
                <w:rFonts w:ascii="Times New Roman" w:cs="Times New Roman" w:eastAsia="Times New Roman" w:hAnsi="Times New Roman"/>
                <w:sz w:val="22"/>
                <w:szCs w:val="22"/>
                <w:b w:val="1"/>
                <w:bCs w:val="1"/>
                <w:color w:val="auto"/>
                <w:w w:val="96"/>
              </w:rPr>
              <w:t>Entire Premises:</w:t>
            </w:r>
          </w:p>
        </w:tc>
        <w:tc>
          <w:tcPr>
            <w:tcW w:w="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50"/>
        </w:trPr>
        <w:tc>
          <w:tcPr>
            <w:tcW w:w="84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2</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$8,604,737.42</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$717,061.45</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3</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$8,862,879.54</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$738,573.30</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4</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$9,128,765.93</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$760,730.49</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5</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$9,402,628.91</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$783,552.41</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6</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$9,684,707.77</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$807,058.98</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7</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7"/>
              </w:rPr>
              <w:t>$9,975,249.01</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$831,270.75</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8</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8"/>
              </w:rPr>
              <w:t>$10,274,506.48</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$856,208.87</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7"/>
              </w:rPr>
              <w:t>Rent Year 9</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8"/>
              </w:rPr>
              <w:t>$10,582,741.67</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$881,895.14</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5"/>
              </w:rPr>
              <w:t>Rent Year 10</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8"/>
              </w:rPr>
              <w:t>$10,900,223.92</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$908,351.99</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76"/>
        </w:trPr>
        <w:tc>
          <w:tcPr>
            <w:tcW w:w="840" w:type="dxa"/>
            <w:vAlign w:val="bottom"/>
            <w:tcBorders>
              <w:lef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80" w:type="dxa"/>
            <w:vAlign w:val="bottom"/>
            <w:tcBorders>
              <w:right w:val="single" w:sz="8" w:color="auto"/>
            </w:tcBorders>
            <w:gridSpan w:val="5"/>
          </w:tcPr>
          <w:p>
            <w:pPr>
              <w:jc w:val="center"/>
              <w:ind w:right="1300"/>
              <w:spacing w:after="0"/>
              <w:rPr>
                <w:sz w:val="20"/>
                <w:szCs w:val="20"/>
                <w:color w:val="auto"/>
              </w:rPr>
            </w:pPr>
            <w:r>
              <w:rPr>
                <w:rFonts w:ascii="Times New Roman" w:cs="Times New Roman" w:eastAsia="Times New Roman" w:hAnsi="Times New Roman"/>
                <w:sz w:val="22"/>
                <w:szCs w:val="22"/>
                <w:color w:val="auto"/>
                <w:w w:val="95"/>
              </w:rPr>
              <w:t>Rent Year 11</w:t>
            </w:r>
          </w:p>
        </w:tc>
        <w:tc>
          <w:tcPr>
            <w:tcW w:w="2940" w:type="dxa"/>
            <w:vAlign w:val="bottom"/>
            <w:gridSpan w:val="2"/>
          </w:tcPr>
          <w:p>
            <w:pPr>
              <w:jc w:val="center"/>
              <w:ind w:left="633"/>
              <w:spacing w:after="0"/>
              <w:rPr>
                <w:sz w:val="20"/>
                <w:szCs w:val="20"/>
                <w:color w:val="auto"/>
              </w:rPr>
            </w:pPr>
            <w:r>
              <w:rPr>
                <w:rFonts w:ascii="Times New Roman" w:cs="Times New Roman" w:eastAsia="Times New Roman" w:hAnsi="Times New Roman"/>
                <w:sz w:val="22"/>
                <w:szCs w:val="22"/>
                <w:color w:val="auto"/>
                <w:w w:val="98"/>
              </w:rPr>
              <w:t>$11,227,230.64</w:t>
            </w:r>
          </w:p>
        </w:tc>
        <w:tc>
          <w:tcPr>
            <w:tcW w:w="780" w:type="dxa"/>
            <w:vAlign w:val="bottom"/>
            <w:tcBorders>
              <w:right w:val="single" w:sz="8" w:color="auto"/>
            </w:tcBorders>
          </w:tcPr>
          <w:p>
            <w:pPr>
              <w:spacing w:after="0"/>
              <w:rPr>
                <w:sz w:val="23"/>
                <w:szCs w:val="23"/>
                <w:color w:val="auto"/>
              </w:rPr>
            </w:pPr>
          </w:p>
        </w:tc>
        <w:tc>
          <w:tcPr>
            <w:tcW w:w="2940" w:type="dxa"/>
            <w:vAlign w:val="bottom"/>
            <w:gridSpan w:val="2"/>
          </w:tcPr>
          <w:p>
            <w:pPr>
              <w:jc w:val="center"/>
              <w:ind w:left="593"/>
              <w:spacing w:after="0"/>
              <w:rPr>
                <w:sz w:val="20"/>
                <w:szCs w:val="20"/>
                <w:color w:val="auto"/>
              </w:rPr>
            </w:pPr>
            <w:r>
              <w:rPr>
                <w:rFonts w:ascii="Times New Roman" w:cs="Times New Roman" w:eastAsia="Times New Roman" w:hAnsi="Times New Roman"/>
                <w:sz w:val="22"/>
                <w:szCs w:val="22"/>
                <w:color w:val="auto"/>
                <w:w w:val="98"/>
              </w:rPr>
              <w:t>$935,602.55</w:t>
            </w:r>
          </w:p>
        </w:tc>
        <w:tc>
          <w:tcPr>
            <w:tcW w:w="720" w:type="dxa"/>
            <w:vAlign w:val="bottom"/>
            <w:tcBorders>
              <w:right w:val="single" w:sz="8" w:color="auto"/>
            </w:tcBorders>
          </w:tcPr>
          <w:p>
            <w:pPr>
              <w:spacing w:after="0"/>
              <w:rPr>
                <w:sz w:val="23"/>
                <w:szCs w:val="23"/>
                <w:color w:val="auto"/>
              </w:rPr>
            </w:pPr>
          </w:p>
        </w:tc>
      </w:tr>
      <w:tr>
        <w:trPr>
          <w:trHeight w:val="204"/>
        </w:trPr>
        <w:tc>
          <w:tcPr>
            <w:tcW w:w="840" w:type="dxa"/>
            <w:vAlign w:val="bottom"/>
            <w:tcBorders>
              <w:left w:val="single" w:sz="8" w:color="auto"/>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bl>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*annualized</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9" w:name="page150"/>
    <w:bookmarkEnd w:id="149"/>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Rent Year:</w:t>
            </w:r>
          </w:p>
        </w:tc>
        <w:tc>
          <w:tcPr>
            <w:tcW w:w="920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Rent  Year  1  shall  be  the  twelve-(12)-month  period  commencing  as  of  the  Phase  I  Term</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w w:val="98"/>
              </w:rPr>
              <w:t>Commencement Date, except that if the Phase I Term Commencement Date occurs on other than the</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rPr>
              <w:t>first day of a calendar month, then Rent Year 1 shall commence as of the Phase I Term</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Commencement Date and shall end on the last day of the calendar month in which the first</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rPr>
              <w:t>anniversary of the Phase I Term Commencement Date occurs. Each Rent Year after Rent Year 1</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920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shall be the twelve-(12)-month period immediately following the preceding Rent Year.</w:t>
            </w:r>
          </w:p>
        </w:tc>
        <w:tc>
          <w:tcPr>
            <w:tcW w:w="0" w:type="dxa"/>
            <w:vAlign w:val="bottom"/>
          </w:tcPr>
          <w:p>
            <w:pPr>
              <w:spacing w:after="0"/>
              <w:rPr>
                <w:sz w:val="1"/>
                <w:szCs w:val="1"/>
                <w:color w:val="auto"/>
              </w:rPr>
            </w:pPr>
          </w:p>
        </w:tc>
      </w:tr>
      <w:tr>
        <w:trPr>
          <w:trHeight w:val="470"/>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Costs and</w:t>
            </w:r>
          </w:p>
        </w:tc>
        <w:tc>
          <w:tcPr>
            <w:tcW w:w="920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See Sections 5.2 and 5.3.</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Taxes:</w:t>
            </w:r>
          </w:p>
        </w:tc>
        <w:tc>
          <w:tcPr>
            <w:tcW w:w="4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40" w:type="dxa"/>
            <w:vAlign w:val="bottom"/>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Share:</w:t>
            </w:r>
          </w:p>
        </w:tc>
        <w:tc>
          <w:tcPr>
            <w:tcW w:w="9200" w:type="dxa"/>
            <w:vAlign w:val="bottom"/>
            <w:gridSpan w:val="3"/>
          </w:tcPr>
          <w:p>
            <w:pPr>
              <w:ind w:left="460"/>
              <w:spacing w:after="0" w:line="247" w:lineRule="exact"/>
              <w:rPr>
                <w:sz w:val="20"/>
                <w:szCs w:val="20"/>
                <w:color w:val="auto"/>
              </w:rPr>
            </w:pPr>
            <w:r>
              <w:rPr>
                <w:rFonts w:ascii="Times New Roman" w:cs="Times New Roman" w:eastAsia="Times New Roman" w:hAnsi="Times New Roman"/>
                <w:sz w:val="22"/>
                <w:szCs w:val="22"/>
                <w:color w:val="auto"/>
              </w:rPr>
              <w:t>A fraction, the numerator of which is the number of rentable square feet in the Premises and the</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920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rPr>
              <w:t>denominator of which is the number of rentable square feet in the Building. As of the Execution</w:t>
            </w:r>
          </w:p>
        </w:tc>
        <w:tc>
          <w:tcPr>
            <w:tcW w:w="0" w:type="dxa"/>
            <w:vAlign w:val="bottom"/>
          </w:tcPr>
          <w:p>
            <w:pPr>
              <w:spacing w:after="0"/>
              <w:rPr>
                <w:sz w:val="1"/>
                <w:szCs w:val="1"/>
                <w:color w:val="auto"/>
              </w:rPr>
            </w:pPr>
          </w:p>
        </w:tc>
      </w:tr>
      <w:tr>
        <w:trPr>
          <w:trHeight w:val="257"/>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Letter of Credit:</w:t>
            </w:r>
          </w:p>
        </w:tc>
        <w:tc>
          <w:tcPr>
            <w:tcW w:w="920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Date, Tenant's Share with respect to the Premises is 51.36%.</w:t>
            </w: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19"/>
                <w:szCs w:val="19"/>
                <w:color w:val="auto"/>
              </w:rPr>
            </w:pPr>
          </w:p>
        </w:tc>
        <w:tc>
          <w:tcPr>
            <w:tcW w:w="9200" w:type="dxa"/>
            <w:vAlign w:val="bottom"/>
            <w:gridSpan w:val="3"/>
          </w:tcPr>
          <w:p>
            <w:pPr>
              <w:ind w:left="460"/>
              <w:spacing w:after="0" w:line="230" w:lineRule="exact"/>
              <w:rPr>
                <w:sz w:val="20"/>
                <w:szCs w:val="20"/>
                <w:color w:val="auto"/>
              </w:rPr>
            </w:pPr>
            <w:r>
              <w:rPr>
                <w:rFonts w:ascii="Times New Roman" w:cs="Times New Roman" w:eastAsia="Times New Roman" w:hAnsi="Times New Roman"/>
                <w:sz w:val="22"/>
                <w:szCs w:val="22"/>
                <w:color w:val="auto"/>
              </w:rPr>
              <w:t>$6,265,585.53, subject to adjustment as set forth in Section 7.6 below.</w:t>
            </w:r>
          </w:p>
        </w:tc>
        <w:tc>
          <w:tcPr>
            <w:tcW w:w="0" w:type="dxa"/>
            <w:vAlign w:val="bottom"/>
          </w:tcPr>
          <w:p>
            <w:pPr>
              <w:spacing w:after="0"/>
              <w:rPr>
                <w:sz w:val="1"/>
                <w:szCs w:val="1"/>
                <w:color w:val="auto"/>
              </w:rPr>
            </w:pPr>
          </w:p>
        </w:tc>
      </w:tr>
      <w:tr>
        <w:trPr>
          <w:trHeight w:val="54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Guarantor:</w:t>
            </w:r>
          </w:p>
        </w:tc>
        <w:tc>
          <w:tcPr>
            <w:tcW w:w="49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None.</w:t>
            </w:r>
          </w:p>
        </w:tc>
        <w:tc>
          <w:tcPr>
            <w:tcW w:w="9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1A</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LEASE PLAN - PRIME PREMISES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1B</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LEASE PLAN - STORAGE PREMISES</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1C</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LEASE PLAN - PENTHOUSE EQUIPMENT PREMISES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2A</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LEGAL DESCRIPTION - LAND</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2B</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LEGAL DESCRIPTION</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3</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BASE BUILDING CAPACITIES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4</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WORK LETTER</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4-1</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BASE BUILDING PLANS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4-2</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TENANT/LANDLORD RESPONSIBILITY MATRIX</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4-3</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INITIAL FIT PLAN OF TENANT IMPROVEMENT WORK</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5</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FORM OF LETTER OF CREDIT</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6</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LANDLORD'S SERVICES</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7</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TENANT'S HAZARDOUS MATERIALS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7-1</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TENANT'S CONTROL AREAS</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8</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RULES AND REGULATIONS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8-1</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BUILDING RULES AND REGULATIONS</w:t>
            </w:r>
          </w:p>
        </w:tc>
        <w:tc>
          <w:tcPr>
            <w:tcW w:w="0" w:type="dxa"/>
            <w:vAlign w:val="bottom"/>
          </w:tcPr>
          <w:p>
            <w:pPr>
              <w:spacing w:after="0"/>
              <w:rPr>
                <w:sz w:val="1"/>
                <w:szCs w:val="1"/>
                <w:color w:val="auto"/>
              </w:rPr>
            </w:pPr>
          </w:p>
        </w:tc>
      </w:tr>
      <w:tr>
        <w:trPr>
          <w:trHeight w:val="256"/>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8-2</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CONSTRUCTION RULES AND REGULATIONS</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9</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TENANT WORK INSURANCE SCHEDULE</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10</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LEED GUIDELINES</w:t>
            </w:r>
          </w:p>
        </w:tc>
        <w:tc>
          <w:tcPr>
            <w:tcW w:w="0" w:type="dxa"/>
            <w:vAlign w:val="bottom"/>
          </w:tcPr>
          <w:p>
            <w:pPr>
              <w:spacing w:after="0"/>
              <w:rPr>
                <w:sz w:val="1"/>
                <w:szCs w:val="1"/>
                <w:color w:val="auto"/>
              </w:rPr>
            </w:pPr>
          </w:p>
        </w:tc>
      </w:tr>
      <w:tr>
        <w:trPr>
          <w:trHeight w:val="282"/>
        </w:trPr>
        <w:tc>
          <w:tcPr>
            <w:tcW w:w="2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11</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PARKING AND TRAFFIC DEMAND MANAGEMENT PLAN</w:t>
            </w:r>
          </w:p>
        </w:tc>
        <w:tc>
          <w:tcPr>
            <w:tcW w:w="0" w:type="dxa"/>
            <w:vAlign w:val="bottom"/>
          </w:tcPr>
          <w:p>
            <w:pPr>
              <w:spacing w:after="0"/>
              <w:rPr>
                <w:sz w:val="1"/>
                <w:szCs w:val="1"/>
                <w:color w:val="auto"/>
              </w:rPr>
            </w:pPr>
          </w:p>
        </w:tc>
      </w:tr>
      <w:tr>
        <w:trPr>
          <w:trHeight w:val="677"/>
        </w:trPr>
        <w:tc>
          <w:tcPr>
            <w:tcW w:w="2040" w:type="dxa"/>
            <w:vAlign w:val="bottom"/>
          </w:tcPr>
          <w:p>
            <w:pPr>
              <w:spacing w:after="0"/>
              <w:rPr>
                <w:sz w:val="24"/>
                <w:szCs w:val="24"/>
                <w:color w:val="auto"/>
              </w:rPr>
            </w:pPr>
          </w:p>
        </w:tc>
        <w:tc>
          <w:tcPr>
            <w:tcW w:w="492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4835-4009-9054, v. 8</w:t>
            </w:r>
          </w:p>
        </w:tc>
        <w:tc>
          <w:tcPr>
            <w:tcW w:w="4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6"/>
        </w:trPr>
        <w:tc>
          <w:tcPr>
            <w:tcW w:w="20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tbl>
      <w:tblPr>
        <w:tblLayout w:type="fixed"/>
        <w:tblInd w:w="2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248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532"/>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1.</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LEASE GRANT; TERM; APPURTENANT RIGHTS; EXCLUSIONS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Extension Term</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Appurtenant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1.4</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Tenant's Access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1.5</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No recording // Notice of Lease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1.6</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Exclusions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18"/>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2.</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RIGHTS RESERVED TO LANDLORD</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2.1</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Additions and Alterations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Additions to the Property</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Name and Address of Building</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2.4</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Landlord's Access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2.5</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Pipes, Ducts and Conduits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2.6</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Minimize Interference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3.</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CONDITION OF PREMISES; CONSTRUCTION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3.1</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Condition of Premises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Landlord's Work</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Tenant's Remedies in the Event of Delays in Term Commencement Date</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4.</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USE OF PREMISES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4.1</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Permitted Uses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4.2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Prohibited Uses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4.3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MWRA Permit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4.4</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Parking and Traffic Demand Management Plan; Site Action Plan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418"/>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5.</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RENT; ADDITIONAL RENT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5.1</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Base Rent; Additional Rent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Operating Costs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Taxes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5.4</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Late Payments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5.5</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No Offset; Independent Covenants; 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5.6</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Survival</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6.</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INTENTIONALLY OMITTED</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7.</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LETTER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06"/>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7.1</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Amount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7.2</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Application of Proceeds of Letter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7.3</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Transfer of Letter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7.4</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Cash Proceeds of Letter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36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7.5</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Return of Security Deposit or Letter of Credit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82"/>
        </w:trPr>
        <w:tc>
          <w:tcPr>
            <w:tcW w:w="3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7.6</w:t>
            </w:r>
          </w:p>
        </w:tc>
        <w:tc>
          <w:tcPr>
            <w:tcW w:w="82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Reduction in Letter of Credit Amount</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84"/>
              </w:rPr>
              <w:t>8.</w:t>
            </w:r>
          </w:p>
        </w:tc>
        <w:tc>
          <w:tcPr>
            <w:tcW w:w="88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INTENTIONALLY OMITTED</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151" w:name="page152"/>
    <w:bookmarkEnd w:id="151"/>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UTILITIES, LANDLORD'S SERVICES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Electricity</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Water</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Gas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Utilities.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9.5</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Interruption or Curtailment of Utilities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9.6</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Services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MAINTENANCE AND REPAIRS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Maintenance and Repairs by Tenant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Maintenance and Repairs by Landlord</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Accidents to Sanitary and Other Systems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10.4</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Floor Load--Heavy Equipment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10.5</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Premises Cleaning</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10.6</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Pest Control</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10.7</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Service Interruptions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ALTERATIONS AND IMPROVEMENTS BY TENANT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Consent Required</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After-Hours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Harmonious Relations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11.4</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Liens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11.5</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General Requirements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SIGNAGE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Restrictions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Exterior Signage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12.3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Building Directory</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ASSIGNMENT, MORTGAGING AND SUBLETTING</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Consent Required</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Recapture Right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Standard of Consent to Transfer</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13.4</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Listing Confers no Rights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13.5</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Profits In Connection with Transfers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13.6</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Prohibited Transfers</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13.7</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Exceptions to Requirement for Consent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81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INSURANCE; INDEMNIFICATION; EXCULPATION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14.1</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Tenant's 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14.2</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Indemnification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14.3</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Property of Tenant</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14.4</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Limitation of Landlord's Liability for Damage or Injury</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14.5</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 of Subrogation; Mutual Release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14.6</w:t>
            </w:r>
          </w:p>
        </w:tc>
        <w:tc>
          <w:tcPr>
            <w:tcW w:w="7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Tenant's Acts--Effect on 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tbl>
      <w:tblPr>
        <w:tblLayout w:type="fixed"/>
        <w:tblInd w:w="20" w:type="dxa"/>
        <w:tblCellMar>
          <w:top w:w="0" w:type="dxa"/>
          <w:left w:w="0" w:type="dxa"/>
          <w:bottom w:w="0" w:type="dxa"/>
          <w:right w:w="0" w:type="dxa"/>
        </w:tblCellMar>
      </w:tblP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14.7</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Insurance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CASUALTY; TAKING</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Damage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15.2</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Termination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15.3</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Rent Abatement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15.4</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Taking for Temporary Use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15.5</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Disposition of Awards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ESTOPPEL CERTIFICATE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HAZARDOUS MATERIALS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Prohibition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17.2</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Environmental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17.3</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Hazardous Material Defined</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17.4</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Chemical Safety Program</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17.5</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Testing.</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17.6</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Indemnity; Remediation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17.7</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Disclosures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17.8</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Removal</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18.</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RULES AND REGULATIONS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18.1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Rules and Regulations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18.2</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Energy Conservation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18.3</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Recycling</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19.</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LAWS AND PERMITS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18"/>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19.1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Legal Requirements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19"/>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20.</w:t>
            </w:r>
          </w:p>
        </w:tc>
        <w:tc>
          <w:tcPr>
            <w:tcW w:w="8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Events of 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20.2</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Remedies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20.3</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Damages - Termination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20.4</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Self-Help; Fees and Expenses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20.5</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Waiver of Redemption, Statutory Notice and Grace Periods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20.6</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Remedies Not Exclusive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20.7</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 Waiver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20.8</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Restrictions on Tenant's Rights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20.9</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 Default</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19"/>
        </w:trPr>
        <w:tc>
          <w:tcPr>
            <w:tcW w:w="86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21.   SURRENDER; ABANDONED PROPERTY; HOLD-OVER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406"/>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21.1</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Surrender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21.2</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Abandoned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42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21.3</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Holdover</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82"/>
        </w:trPr>
        <w:tc>
          <w:tcPr>
            <w:tcW w:w="42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21.4</w:t>
            </w:r>
          </w:p>
        </w:tc>
        <w:tc>
          <w:tcPr>
            <w:tcW w:w="75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22.   MORTGAGEE RIGHTS</w:t>
            </w:r>
          </w:p>
        </w:tc>
        <w:tc>
          <w:tcPr>
            <w:tcW w:w="7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609"/>
        </w:trPr>
        <w:tc>
          <w:tcPr>
            <w:tcW w:w="4160" w:type="dxa"/>
            <w:vAlign w:val="bottom"/>
          </w:tcPr>
          <w:p>
            <w:pPr>
              <w:spacing w:after="0"/>
              <w:rPr>
                <w:sz w:val="24"/>
                <w:szCs w:val="24"/>
                <w:color w:val="auto"/>
              </w:rPr>
            </w:pPr>
          </w:p>
        </w:tc>
        <w:tc>
          <w:tcPr>
            <w:tcW w:w="7080" w:type="dxa"/>
            <w:vAlign w:val="bottom"/>
          </w:tcPr>
          <w:p>
            <w:pPr>
              <w:jc w:val="right"/>
              <w:ind w:right="5441"/>
              <w:spacing w:after="0"/>
              <w:rPr>
                <w:sz w:val="20"/>
                <w:szCs w:val="20"/>
                <w:color w:val="auto"/>
              </w:rPr>
            </w:pPr>
            <w:r>
              <w:rPr>
                <w:rFonts w:ascii="Times New Roman" w:cs="Times New Roman" w:eastAsia="Times New Roman" w:hAnsi="Times New Roman"/>
                <w:sz w:val="18"/>
                <w:szCs w:val="18"/>
                <w:color w:val="auto"/>
              </w:rPr>
              <w:t>iii</w:t>
            </w:r>
          </w:p>
        </w:tc>
      </w:tr>
      <w:tr>
        <w:trPr>
          <w:trHeight w:val="20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4835-4009-9054, v. 8</w:t>
            </w:r>
          </w:p>
        </w:tc>
        <w:tc>
          <w:tcPr>
            <w:tcW w:w="7080" w:type="dxa"/>
            <w:vAlign w:val="bottom"/>
          </w:tcPr>
          <w:p>
            <w:pPr>
              <w:spacing w:after="0"/>
              <w:rPr>
                <w:sz w:val="17"/>
                <w:szCs w:val="17"/>
                <w:color w:val="auto"/>
              </w:rPr>
            </w:pPr>
          </w:p>
        </w:tc>
      </w:tr>
      <w:tr>
        <w:trPr>
          <w:trHeight w:val="746"/>
        </w:trPr>
        <w:tc>
          <w:tcPr>
            <w:tcW w:w="41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649" w:gutter="0" w:footer="0" w:header="0"/>
        </w:sectPr>
      </w:pPr>
    </w:p>
    <w:bookmarkStart w:id="153" w:name="page154"/>
    <w:bookmarkEnd w:id="153"/>
    <w:tbl>
      <w:tblPr>
        <w:tblLayout w:type="fixed"/>
        <w:tblInd w:w="20" w:type="dxa"/>
        <w:tblCellMar>
          <w:top w:w="0" w:type="dxa"/>
          <w:left w:w="0" w:type="dxa"/>
          <w:bottom w:w="0" w:type="dxa"/>
          <w:right w:w="0" w:type="dxa"/>
        </w:tblCellMar>
      </w:tblP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22.1</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Subordination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22.2</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22.3</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Mortgagee Consent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82"/>
        </w:trPr>
        <w:tc>
          <w:tcPr>
            <w:tcW w:w="4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22.4</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Mortgagee Liability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8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QUIET ENJOYMENT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8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418"/>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80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MISCELLANEOUS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406"/>
        </w:trPr>
        <w:tc>
          <w:tcPr>
            <w:tcW w:w="4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Separability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25.2</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Broker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25.4</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Entire Agreement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25.5</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Governing Law</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25.6</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Representation of Authority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25.7</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Expenses Incurred by Landlord Upon Tenant Requests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25.8</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Survival</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25.9</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Limitation of Liability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25.10</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Binding Effect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25.11</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Landlord Obligations upon Transfer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25.12</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Grant of Interest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25.13</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Financial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25.14</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OFAC Certificate and Indemnity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25.15</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Confidentiality</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25.16</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Force Majeure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82"/>
        </w:trPr>
        <w:tc>
          <w:tcPr>
            <w:tcW w:w="4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25.17</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Jury Trial 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419"/>
        </w:trPr>
        <w:tc>
          <w:tcPr>
            <w:tcW w:w="8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26.   RIGHT OF FIRST OFFER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406"/>
        </w:trPr>
        <w:tc>
          <w:tcPr>
            <w:tcW w:w="4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26.1</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Grant of Option</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26.2</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Definition of ROFO Premises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26.3</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Procedures for Exercising ROFO</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26.4</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Conditions to ROFO</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26.5</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Termination of Right of First Offer</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26.6</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Terms of Lease Applicable ROFO Premises</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70"/>
        </w:trPr>
        <w:tc>
          <w:tcPr>
            <w:tcW w:w="42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26.7</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Offering Amendment</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82"/>
        </w:trPr>
        <w:tc>
          <w:tcPr>
            <w:tcW w:w="42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26.8</w:t>
            </w:r>
          </w:p>
        </w:tc>
        <w:tc>
          <w:tcPr>
            <w:tcW w:w="7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Last Acceptance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54" w:name="page155"/>
    <w:bookmarkEnd w:id="154"/>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THIS INDENTURE OF LEASE (this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is hereby made and entered into on the Execution Date by and between Landlord and Tenant.</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Each reference in this Lease to any of the terms and titles contained in any Exhibit attached to this Lease shall be deemed and construed to incorporate the data stated under that term or title in such Exhibit. All capitalized terms not otherwise defined herein shall have the meanings ascribed to them as set forth in the Lease Summary Sheet which is attached hereto and incorporated herein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CREATION OF CONDOMINIUM</w:t>
      </w:r>
    </w:p>
    <w:p>
      <w:pPr>
        <w:spacing w:after="0" w:line="210" w:lineRule="exact"/>
        <w:rPr>
          <w:sz w:val="20"/>
          <w:szCs w:val="20"/>
          <w:color w:val="auto"/>
        </w:rPr>
      </w:pPr>
    </w:p>
    <w:p>
      <w:pPr>
        <w:jc w:val="both"/>
        <w:ind w:firstLine="757"/>
        <w:spacing w:after="0" w:line="249" w:lineRule="auto"/>
        <w:tabs>
          <w:tab w:leader="none" w:pos="101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acknowledges and agrees that, at Landlord's sole election, Landlord may establish a condominium (the "</w:t>
      </w:r>
      <w:r>
        <w:rPr>
          <w:rFonts w:ascii="Times New Roman" w:cs="Times New Roman" w:eastAsia="Times New Roman" w:hAnsi="Times New Roman"/>
          <w:sz w:val="21"/>
          <w:szCs w:val="21"/>
          <w:b w:val="1"/>
          <w:bCs w:val="1"/>
          <w:color w:val="auto"/>
        </w:rPr>
        <w:t>Condominium</w:t>
      </w:r>
      <w:r>
        <w:rPr>
          <w:rFonts w:ascii="Times New Roman" w:cs="Times New Roman" w:eastAsia="Times New Roman" w:hAnsi="Times New Roman"/>
          <w:sz w:val="21"/>
          <w:szCs w:val="21"/>
          <w:color w:val="auto"/>
        </w:rPr>
        <w:t>") by filing a Master Deed and Declaration of Trust of the Condominium. If Landlord makes such election, then the Building and the building known as 87 Cambridgepark Drive ("</w:t>
      </w:r>
      <w:r>
        <w:rPr>
          <w:rFonts w:ascii="Times New Roman" w:cs="Times New Roman" w:eastAsia="Times New Roman" w:hAnsi="Times New Roman"/>
          <w:sz w:val="21"/>
          <w:szCs w:val="21"/>
          <w:b w:val="1"/>
          <w:bCs w:val="1"/>
          <w:color w:val="auto"/>
        </w:rPr>
        <w:t>87 Building</w:t>
      </w:r>
      <w:r>
        <w:rPr>
          <w:rFonts w:ascii="Times New Roman" w:cs="Times New Roman" w:eastAsia="Times New Roman" w:hAnsi="Times New Roman"/>
          <w:sz w:val="21"/>
          <w:szCs w:val="21"/>
          <w:color w:val="auto"/>
        </w:rPr>
        <w:t>") shall each be Units of the Condominium, provided that no such Condominium shall materially adversely affect Tenant's rights or increase Tenant's obligations under this Lease (the Master Deed, as may be amended from time to time, being referred to herein as the "</w:t>
      </w:r>
      <w:r>
        <w:rPr>
          <w:rFonts w:ascii="Times New Roman" w:cs="Times New Roman" w:eastAsia="Times New Roman" w:hAnsi="Times New Roman"/>
          <w:sz w:val="21"/>
          <w:szCs w:val="21"/>
          <w:b w:val="1"/>
          <w:bCs w:val="1"/>
          <w:color w:val="auto"/>
        </w:rPr>
        <w:t>Master Deed</w:t>
      </w:r>
      <w:r>
        <w:rPr>
          <w:rFonts w:ascii="Times New Roman" w:cs="Times New Roman" w:eastAsia="Times New Roman" w:hAnsi="Times New Roman"/>
          <w:sz w:val="21"/>
          <w:szCs w:val="21"/>
          <w:color w:val="auto"/>
        </w:rPr>
        <w:t>", and the Declaration of Trust, as may be amended from time to time, being referred to herein as the "</w:t>
      </w:r>
      <w:r>
        <w:rPr>
          <w:rFonts w:ascii="Times New Roman" w:cs="Times New Roman" w:eastAsia="Times New Roman" w:hAnsi="Times New Roman"/>
          <w:sz w:val="21"/>
          <w:szCs w:val="21"/>
          <w:b w:val="1"/>
          <w:bCs w:val="1"/>
          <w:color w:val="auto"/>
        </w:rPr>
        <w:t>Declaration of Trust</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757"/>
        <w:spacing w:after="0" w:line="261" w:lineRule="auto"/>
        <w:tabs>
          <w:tab w:leader="none" w:pos="1018"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Lease shall be subject and subordinate, in all respects, to the Master Deed, the Declaration of Trust, and the other documents establishing the Condominium (the "</w:t>
      </w:r>
      <w:r>
        <w:rPr>
          <w:rFonts w:ascii="Times New Roman" w:cs="Times New Roman" w:eastAsia="Times New Roman" w:hAnsi="Times New Roman"/>
          <w:sz w:val="21"/>
          <w:szCs w:val="21"/>
          <w:b w:val="1"/>
          <w:bCs w:val="1"/>
          <w:color w:val="auto"/>
        </w:rPr>
        <w:t>Condominium Documents</w:t>
      </w:r>
      <w:r>
        <w:rPr>
          <w:rFonts w:ascii="Times New Roman" w:cs="Times New Roman" w:eastAsia="Times New Roman" w:hAnsi="Times New Roman"/>
          <w:sz w:val="21"/>
          <w:szCs w:val="21"/>
          <w:color w:val="auto"/>
        </w:rPr>
        <w:t>"). Tenant shall, at Landlord's request, execute a reasonable instrument, in recordable form, confirming that the Lease is subject and subordinate to the Condominium Documents.</w:t>
      </w:r>
    </w:p>
    <w:p>
      <w:pPr>
        <w:spacing w:after="0" w:line="153"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LEASE GRANT; TERM; APPURTENANT RIGHTS; EXCLUSIONS</w:t>
      </w:r>
    </w:p>
    <w:p>
      <w:pPr>
        <w:spacing w:after="0" w:line="206"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1.1Lease Grant</w:t>
      </w:r>
      <w:r>
        <w:rPr>
          <w:rFonts w:ascii="Times New Roman" w:cs="Times New Roman" w:eastAsia="Times New Roman" w:hAnsi="Times New Roman"/>
          <w:sz w:val="22"/>
          <w:szCs w:val="22"/>
          <w:color w:val="auto"/>
        </w:rPr>
        <w:t>. The parties intend that Tenant lease and occupy the Premises as follows:</w:t>
      </w:r>
    </w:p>
    <w:p>
      <w:pPr>
        <w:spacing w:after="0" w:line="210"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Phase I Premises</w:t>
      </w:r>
      <w:r>
        <w:rPr>
          <w:rFonts w:ascii="Times New Roman" w:cs="Times New Roman" w:eastAsia="Times New Roman" w:hAnsi="Times New Roman"/>
          <w:sz w:val="22"/>
          <w:szCs w:val="22"/>
          <w:color w:val="auto"/>
        </w:rPr>
        <w:t>. Landlord hereby leases to Tenant, and Tenant hereby leases from Landlord, the Phase I Premises upon and subject to terms and conditions of this Lease, for a term of years commencing on the Phase I Premises Term Commencement Date and, unless earlier terminated or extended pursuant to the terms hereof, ending on the Expiration Date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the Initial Term and any duly exercised Extension Term are hereinafter collectively referred to as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From the Phase I Premises Term Commencement Date until the Phase II Premises Term Commencement Date, each reference contained in the Lease to the "Premises" shall be considered to be a reference to the Phase I Premises only, and each reference contained in this Lease to the "Term" shall apply to the Phase I Premises only.</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Phase II Premises</w:t>
      </w:r>
      <w:r>
        <w:rPr>
          <w:rFonts w:ascii="Times New Roman" w:cs="Times New Roman" w:eastAsia="Times New Roman" w:hAnsi="Times New Roman"/>
          <w:sz w:val="22"/>
          <w:szCs w:val="22"/>
          <w:color w:val="auto"/>
        </w:rPr>
        <w:t>. Landlord hereby leases to Tenant, and Tenant hereby leases from Landlord, the Phase II Premises upon and subject to terms and conditions of this Lease, for a term of years commencing on the Phase II Premises Term Commencement Date and, unless earlier terminated or extended pursuant to the terms hereof, ending on the Expiration Date. From and after the Phase II Premises Term Commencement Date, each reference contained in the Lease to the "Premises" shall be considered to be a reference to the Phase I Premises and the Phase II Premises, collectively, and each reference to the "Term" shall apply to the entire Premises.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5" w:name="page156"/>
    <w:bookmarkEnd w:id="155"/>
    <w:p>
      <w:pPr>
        <w:spacing w:after="0" w:line="18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Extension Term</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3"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that the following conditions, which may be waived by Landlord in its sole discretion, are satisfied (i) Tenant, an Affiliated Entity (hereinafter defined) and/or a Successor (hereinafter defined) is/are then occupying seventy-five (75%) percent of the Premises; and (ii) no Event of Default nor an event which, with the passage of time and/or the giving of notice would constitute an Event of Default has occurred (1) as of the date of the Extension Notice (hereinafter defined), and (2) at the commencement of the Extension Term (hereinafter defined), Tenant shall have the option to extend the Term for one (1) additional term of seven (7) years (the "</w:t>
      </w:r>
      <w:r>
        <w:rPr>
          <w:rFonts w:ascii="Times New Roman" w:cs="Times New Roman" w:eastAsia="Times New Roman" w:hAnsi="Times New Roman"/>
          <w:sz w:val="22"/>
          <w:szCs w:val="22"/>
          <w:b w:val="1"/>
          <w:bCs w:val="1"/>
          <w:color w:val="auto"/>
        </w:rPr>
        <w:t>Extension Term</w:t>
      </w:r>
      <w:r>
        <w:rPr>
          <w:rFonts w:ascii="Times New Roman" w:cs="Times New Roman" w:eastAsia="Times New Roman" w:hAnsi="Times New Roman"/>
          <w:sz w:val="22"/>
          <w:szCs w:val="22"/>
          <w:color w:val="auto"/>
        </w:rPr>
        <w:t>"), commencing as of the expiration of the Initial Term. Tenant must exercise such option to extend, if at all, by giving Landlord written notice (the "</w:t>
      </w:r>
      <w:r>
        <w:rPr>
          <w:rFonts w:ascii="Times New Roman" w:cs="Times New Roman" w:eastAsia="Times New Roman" w:hAnsi="Times New Roman"/>
          <w:sz w:val="22"/>
          <w:szCs w:val="22"/>
          <w:b w:val="1"/>
          <w:bCs w:val="1"/>
          <w:color w:val="auto"/>
        </w:rPr>
        <w:t>Extension Notice</w:t>
      </w:r>
      <w:r>
        <w:rPr>
          <w:rFonts w:ascii="Times New Roman" w:cs="Times New Roman" w:eastAsia="Times New Roman" w:hAnsi="Times New Roman"/>
          <w:sz w:val="22"/>
          <w:szCs w:val="22"/>
          <w:color w:val="auto"/>
        </w:rPr>
        <w:t xml:space="preserve">") on or before the date that is twelve (12) months prior to the expiration of the Initial Term, but in no event earlier than fifteen (15) months prior to the expiration of the Initial Term, </w:t>
      </w:r>
      <w:r>
        <w:rPr>
          <w:rFonts w:ascii="Times New Roman" w:cs="Times New Roman" w:eastAsia="Times New Roman" w:hAnsi="Times New Roman"/>
          <w:sz w:val="22"/>
          <w:szCs w:val="22"/>
          <w:i w:val="1"/>
          <w:iCs w:val="1"/>
          <w:color w:val="auto"/>
        </w:rPr>
        <w:t>time being of the essence</w:t>
      </w:r>
      <w:r>
        <w:rPr>
          <w:rFonts w:ascii="Times New Roman" w:cs="Times New Roman" w:eastAsia="Times New Roman" w:hAnsi="Times New Roman"/>
          <w:sz w:val="22"/>
          <w:szCs w:val="22"/>
          <w:color w:val="auto"/>
        </w:rPr>
        <w:t>. Upon the timely giving of such notice, the Term shall be deemed extended upon all of the terms and conditions of this Lease, except that Base Rent during the Extension Term shall be calculated in accordance with this Section 1.2, Landlord shall have no obligation to construct or renovate the Premises. If Tenant fails to give timely notice, as aforesaid, Tenant shall have no further right to extend the Term. Notwithstanding the fact that Tenant's proper and timely exercise of such option to extend the Term shall be self-executing, the parties shall promptly execute a lease amendment reflecting such Extension Term after Tenant exercises such option. The execution of such lease amendment shall not be deemed to waive any of the conditions to Tenant's exercise of its rights under this Section 1.2.</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Rent during the Extension Term (the "</w:t>
      </w:r>
      <w:r>
        <w:rPr>
          <w:rFonts w:ascii="Times New Roman" w:cs="Times New Roman" w:eastAsia="Times New Roman" w:hAnsi="Times New Roman"/>
          <w:sz w:val="22"/>
          <w:szCs w:val="22"/>
          <w:b w:val="1"/>
          <w:bCs w:val="1"/>
          <w:color w:val="auto"/>
        </w:rPr>
        <w:t>Extension Term Base Rent</w:t>
      </w:r>
      <w:r>
        <w:rPr>
          <w:rFonts w:ascii="Times New Roman" w:cs="Times New Roman" w:eastAsia="Times New Roman" w:hAnsi="Times New Roman"/>
          <w:sz w:val="22"/>
          <w:szCs w:val="22"/>
          <w:color w:val="auto"/>
        </w:rPr>
        <w:t>") shall be determined in accordance with the process described hereafter. Extension Term Base Rent shall be the fair market rental value of the Premises then demised to Tenant as of the commencement of the Extension Term as determined in accordance with the process described below, for renewals of first class office/research/laboratory building/campus in the Alewife area of Cambridge, Massachusetts real estate market (the "</w:t>
      </w:r>
      <w:r>
        <w:rPr>
          <w:rFonts w:ascii="Times New Roman" w:cs="Times New Roman" w:eastAsia="Times New Roman" w:hAnsi="Times New Roman"/>
          <w:sz w:val="22"/>
          <w:szCs w:val="22"/>
          <w:b w:val="1"/>
          <w:bCs w:val="1"/>
          <w:color w:val="auto"/>
        </w:rPr>
        <w:t>Market Area</w:t>
      </w:r>
      <w:r>
        <w:rPr>
          <w:rFonts w:ascii="Times New Roman" w:cs="Times New Roman" w:eastAsia="Times New Roman" w:hAnsi="Times New Roman"/>
          <w:sz w:val="22"/>
          <w:szCs w:val="22"/>
          <w:color w:val="auto"/>
        </w:rPr>
        <w:t>") of equivalent quality, size, utility and location, with the length of the Extension Term, the credit standing of Tenant and all other relevant factors to be taken into account. Within thirty (30) days after receipt of the Extension Notice, Landlord shall deliver to Tenant written notice of its determination of the Extension Term Base Rent for the Extension Term. Tenant shall, within thirty (30) days after receipt of such notice, notify Landlord in writing whether Tenant accepts or rejects Landlord's determination of the Extension Term Base Rent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Response Notice</w:t>
      </w:r>
      <w:r>
        <w:rPr>
          <w:rFonts w:ascii="Times New Roman" w:cs="Times New Roman" w:eastAsia="Times New Roman" w:hAnsi="Times New Roman"/>
          <w:sz w:val="22"/>
          <w:szCs w:val="22"/>
          <w:color w:val="auto"/>
        </w:rPr>
        <w:t>"). If Tenant fails timely to deliver Tenant's Response Notice, Landlord's determination of the Extension Term Base Rent shall be binding on Tenant.</w:t>
      </w:r>
    </w:p>
    <w:p>
      <w:pPr>
        <w:spacing w:after="0" w:line="179"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only if Tenant's Response Notice is timely delivered to Landlord and indicates both that Tenant rejects Landlord's determination of the Extension Term Base Rent and desires to submit the matter to arbitration, then the Extension Term Base Rent shall be determined in accordance with the procedure set forth in this Section 1.2(c). In such event, within ten (10) days after receipt by Landlord of Tenant's Response Notice indicating Tenant's desire to submit the determination of the Extension Term Base Rent to arbitration, Tenant and Landlord shall each notify the other, in writing, of their respective selections of an appraiser (respectively,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 Appraiser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 Appraiser</w:t>
      </w:r>
      <w:r>
        <w:rPr>
          <w:rFonts w:ascii="Times New Roman" w:cs="Times New Roman" w:eastAsia="Times New Roman" w:hAnsi="Times New Roman"/>
          <w:sz w:val="21"/>
          <w:szCs w:val="21"/>
          <w:color w:val="auto"/>
        </w:rPr>
        <w:t>"). Landlord's Appraiser and Tenant's Appraiser shall then jointly select a third appraiser (the "</w:t>
      </w:r>
      <w:r>
        <w:rPr>
          <w:rFonts w:ascii="Times New Roman" w:cs="Times New Roman" w:eastAsia="Times New Roman" w:hAnsi="Times New Roman"/>
          <w:sz w:val="21"/>
          <w:szCs w:val="21"/>
          <w:b w:val="1"/>
          <w:bCs w:val="1"/>
          <w:color w:val="auto"/>
        </w:rPr>
        <w:t>Third Appraiser</w:t>
      </w:r>
      <w:r>
        <w:rPr>
          <w:rFonts w:ascii="Times New Roman" w:cs="Times New Roman" w:eastAsia="Times New Roman" w:hAnsi="Times New Roman"/>
          <w:sz w:val="21"/>
          <w:szCs w:val="21"/>
          <w:color w:val="auto"/>
        </w:rPr>
        <w:t>") within ten (10) days of their appointment.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of the appraisers selected shall be individuals with at least five (5) consecutive years' commercial appraisal experience for office and laboratory space in the area in which the Premises are located, shall be members of the Appraisal Institute (M.A.I.), and, in the case of the Third Appraiser, shall not have acted in any capacity for either Landlord or Tenant within five (5) years of his or her selection. The three appraisers shall determine the Extension Term Base Rent in accordance with the requirements and criteria set forth in Section 1.2(b) above, employing the method commonly known as Baseball Arbitration, whereby Landlord's Appraiser and Tenant's Appraiser each sets forth its determination of the Extension Term Base Rent as defined above, and the Third Appraiser must select one or the other (it being understood that the Third Appraiser shall be expressly prohibited from selecting a compromise figure). Landlord's Appraiser and Tenant's Appraiser shall deliver their determinations of the Extension Term Base Rent to the Third Appraiser within five (5) days of the appointment of the Third Appraiser and the Third Appraiser shall render his or her decision within ten (10) days after receipt of both of the other two determinations of the Extension Term Base Rent. The Third Appraiser's decision shall be binding on both Landlord and Tenant. Each party shall bear the cost of its own appraiser and the cost of the Third Appraiser shall be paid by the party whose determination is not selected.</w:t>
      </w:r>
    </w:p>
    <w:p>
      <w:pPr>
        <w:spacing w:after="0" w:line="170"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Appurtenant Rights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4"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Areas</w:t>
      </w:r>
      <w:r>
        <w:rPr>
          <w:rFonts w:ascii="Times New Roman" w:cs="Times New Roman" w:eastAsia="Times New Roman" w:hAnsi="Times New Roman"/>
          <w:sz w:val="22"/>
          <w:szCs w:val="22"/>
          <w:color w:val="auto"/>
        </w:rPr>
        <w:t>. Subject to the terms of this Lease and the Rules and Regulations (hereinafter defined), Tenant shall have, as appurtenant to the Premises, rights to use in common with others entitled thereto, the following areas (such areas are hereinafter referred to as the "</w:t>
      </w:r>
      <w:r>
        <w:rPr>
          <w:rFonts w:ascii="Times New Roman" w:cs="Times New Roman" w:eastAsia="Times New Roman" w:hAnsi="Times New Roman"/>
          <w:sz w:val="22"/>
          <w:szCs w:val="22"/>
          <w:b w:val="1"/>
          <w:bCs w:val="1"/>
          <w:color w:val="auto"/>
        </w:rPr>
        <w:t>Common Areas</w:t>
      </w:r>
      <w:r>
        <w:rPr>
          <w:rFonts w:ascii="Times New Roman" w:cs="Times New Roman" w:eastAsia="Times New Roman" w:hAnsi="Times New Roman"/>
          <w:sz w:val="22"/>
          <w:szCs w:val="22"/>
          <w:color w:val="auto"/>
        </w:rPr>
        <w:t>"): (i) the common loading docks, hallways, lobby, and elevator of the Building serving the Premises, (ii) the common lavatories located on the floor(s) on which the Premises are located, (iii) common walkways and driveways necessary for access to the Building, (iv) the Parking Areas, (v) the courtyard deck area, and (vi) other areas and facilities located in the Building, on the Land, or elsewhere on the Campus designated by Landlord from time to time for the common use of tenants of the Building and other entitled thereto; and no other appurtenant rights or easements. "Rules and Regulations" shall be defined as the rules and regulations promulgated by Landlord pursuant to, and subject to, the provisions of Section 18.1 of the Lease.</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 During the Term, Landlord shall, subject to the terms hereof and Section 4.4 below, make available and Tenant shall lease one (1) parking space per 1,000 rentable square feet of the Premises (i.e., eighty-three (83) parking spaces based on 82,714 square feet) for Tenant's use in the Parking Areas serving the Building. The number of parking spaces in the Parking Areas reserved for Tenant, as modified pursuant to this Lease or as otherwise permitted by Landlord, are hereinafter referred to as the "</w:t>
      </w:r>
      <w:r>
        <w:rPr>
          <w:rFonts w:ascii="Times New Roman" w:cs="Times New Roman" w:eastAsia="Times New Roman" w:hAnsi="Times New Roman"/>
          <w:sz w:val="22"/>
          <w:szCs w:val="22"/>
          <w:b w:val="1"/>
          <w:bCs w:val="1"/>
          <w:color w:val="auto"/>
        </w:rPr>
        <w:t>Parking Spaces</w:t>
      </w:r>
      <w:r>
        <w:rPr>
          <w:rFonts w:ascii="Times New Roman" w:cs="Times New Roman" w:eastAsia="Times New Roman" w:hAnsi="Times New Roman"/>
          <w:sz w:val="22"/>
          <w:szCs w:val="22"/>
          <w:color w:val="auto"/>
        </w:rPr>
        <w:t>." The rate for Parking Spaces shall be the prevailing market rate established from time to time by Landlord or the Garage Operator, as the case may be. The current monthly rate for each Parking Space is One Hundred Seventy-Five and 00/100 Dollars ($175.00). Notwithstanding the foregoing, the initial rate for each Parking Space shall be established upon the Phase I Term Commencement Date. Tenant shall have no right to hypothecate or encumber the Parking Spaces, and shall not sublet, assign, or otherwise transfer the Parking Spaces other than to employees of Tenant occupying the Premises or to a Successor (hereinafter defined), an Affiliated Entity (hereinafter defined), or a transferee pursuant to an approved Transfer under Section 13 of this Lease. Subject to Landlord's right to reserve parking for other tenants of the Building, said Parking Spaces will be on an unassigned, non-reserved basis, and shall be subject to such Rules and Regulations, as may be in effect for the use of the parking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areas from time to time. If during the Term of this Lease, Landlord grants or designates reserved parking spaces in the Parking Areas serving the Building to any other tenant of the Building, then Tenant shall be entitled to receive a corresponding number of such reserved parking spaces for a monthly rental fee payable by Tenant as Additional Rent hereunder, at Landlord's prevailing rate for such reserved parking spaces. Reserved and handicap parking spaces must be honored. Landlord hereby reserves the right to enter into a management agreement or lease with an entity for the Garage ("</w:t>
      </w:r>
      <w:r>
        <w:rPr>
          <w:rFonts w:ascii="Times New Roman" w:cs="Times New Roman" w:eastAsia="Times New Roman" w:hAnsi="Times New Roman"/>
          <w:sz w:val="22"/>
          <w:szCs w:val="22"/>
          <w:b w:val="1"/>
          <w:bCs w:val="1"/>
          <w:color w:val="auto"/>
        </w:rPr>
        <w:t>Garage Operator</w:t>
      </w:r>
      <w:r>
        <w:rPr>
          <w:rFonts w:ascii="Times New Roman" w:cs="Times New Roman" w:eastAsia="Times New Roman" w:hAnsi="Times New Roman"/>
          <w:sz w:val="22"/>
          <w:szCs w:val="22"/>
          <w:color w:val="auto"/>
        </w:rPr>
        <w:t>"). In such event, Tenant, upon request of Landlord, shall enter into a parking agreement with the Garage Operator and pay the Garage Operator the monthly charge established hereunder, and Landlord shall have no liability for claims arising through acts or omissions of the Garage Operator unless caused by the negligence or willful misconduct of Landlord. It is understood and agreed that the identity of the Garage Operator may change from time to time during the Term. In connection therewith, any parking lease or agreement entered into between Tenant and a Garage Operator shall be freely assignable by such Garage Operator or any successors thereto. Landlord shall have the right, upon at least three (3) months' prior written notice to Tenant, to temporarily relocate all or any portion of the Parking Spaces in to other portions of the Property and/or parking areas owned, controlled or leased by Landlord and located in the vicinity of the area. If Landlord elects to relocate Tenant's Parking Spaces, Landlord (at its sole cost and expense) shall provide, for the duration of such relocation, shuttle service to and from such temporary parking location. In addition, Landlord may, at its election, implement valet or managed parking in order to accommodate the parking needs of the Property from time to time.</w:t>
      </w:r>
    </w:p>
    <w:p>
      <w:pPr>
        <w:spacing w:after="0" w:line="191" w:lineRule="exact"/>
        <w:rPr>
          <w:sz w:val="20"/>
          <w:szCs w:val="20"/>
          <w:color w:val="auto"/>
        </w:rPr>
      </w:pPr>
    </w:p>
    <w:p>
      <w:pPr>
        <w:ind w:left="2040" w:hanging="535"/>
        <w:spacing w:after="0"/>
        <w:tabs>
          <w:tab w:leader="none" w:pos="20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Acid Neutralization Tank</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as part of Landlord's Work, install an acid neutralization tank (the "</w:t>
      </w:r>
      <w:r>
        <w:rPr>
          <w:rFonts w:ascii="Times New Roman" w:cs="Times New Roman" w:eastAsia="Times New Roman" w:hAnsi="Times New Roman"/>
          <w:sz w:val="22"/>
          <w:szCs w:val="22"/>
          <w:b w:val="1"/>
          <w:bCs w:val="1"/>
          <w:color w:val="auto"/>
        </w:rPr>
        <w:t>Common Acid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Neutralization Tank</w:t>
      </w:r>
      <w:r>
        <w:rPr>
          <w:rFonts w:ascii="Times New Roman" w:cs="Times New Roman" w:eastAsia="Times New Roman" w:hAnsi="Times New Roman"/>
          <w:sz w:val="22"/>
          <w:szCs w:val="22"/>
          <w:color w:val="auto"/>
        </w:rPr>
        <w:t>") on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floor of the Building (the "</w:t>
      </w:r>
      <w:r>
        <w:rPr>
          <w:rFonts w:ascii="Times New Roman" w:cs="Times New Roman" w:eastAsia="Times New Roman" w:hAnsi="Times New Roman"/>
          <w:sz w:val="22"/>
          <w:szCs w:val="22"/>
          <w:b w:val="1"/>
          <w:bCs w:val="1"/>
          <w:color w:val="auto"/>
        </w:rPr>
        <w:t>PH System Room</w:t>
      </w:r>
      <w:r>
        <w:rPr>
          <w:rFonts w:ascii="Times New Roman" w:cs="Times New Roman" w:eastAsia="Times New Roman" w:hAnsi="Times New Roman"/>
          <w:sz w:val="22"/>
          <w:szCs w:val="22"/>
          <w:color w:val="auto"/>
        </w:rPr>
        <w:t>") for Tenant's use, in common with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in the Building, in accordance with the provisions of this Lease. Landlord shall obtain, and maintain, all governmental permits and approvals necessary for the operation and maintenance of the Common Acid Neutralization Tank in accordance with Legal Requirements. In addition, as part of Landlord's Work, Landlord may install a lab waste sampling port within the Premises to allow Landlord to take samples of Tenant's effluent from time to time and ensure compliance with Legal requirements, including the MWRA regulations.</w:t>
      </w:r>
    </w:p>
    <w:p>
      <w:pPr>
        <w:spacing w:after="0" w:line="179"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below, the cost of operating, maintaining, repairing and restoring the Common Acid Neutralization Tank shall be included in Operating Costs. Notwithstanding the foregoing, if Landlord reasonably determines that Tenant is using the Common Acid Neutralization Tank in excess of its proportionate share of the total volume thereof, Landlord may elect, at Tenant's expense, to furnish and install metering equipment to measure Tenant's usage of the Common Acid Neutralization Tank. In such event, Tenant shall, within thirty (30) days after Landlord's written demand therefor from time to time, pay to Landlord, as Additional Rent, the full amount of any charges (including, without limitation, any services charges) attributable to Tenant's usage as measured by such meter.</w:t>
      </w:r>
    </w:p>
    <w:p>
      <w:pPr>
        <w:spacing w:after="0" w:line="18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 xml:space="preserve">(iii)Tenant agrees to be responsible for any damage caused to the Building, Property or the Common Acid Neutralization Tank in connection with Tenant's use thereof. Except (subject to </w:t>
      </w:r>
      <w:r>
        <w:rPr>
          <w:rFonts w:ascii="Times New Roman" w:cs="Times New Roman" w:eastAsia="Times New Roman" w:hAnsi="Times New Roman"/>
          <w:sz w:val="22"/>
          <w:szCs w:val="22"/>
          <w:u w:val="single" w:color="auto"/>
          <w:color w:val="auto"/>
        </w:rPr>
        <w:t>Section 14.5</w:t>
      </w:r>
      <w:r>
        <w:rPr>
          <w:rFonts w:ascii="Times New Roman" w:cs="Times New Roman" w:eastAsia="Times New Roman" w:hAnsi="Times New Roman"/>
          <w:sz w:val="22"/>
          <w:szCs w:val="22"/>
          <w:color w:val="auto"/>
        </w:rPr>
        <w:t>) with respect to Claims, to the extent caused by the negligence or willful misconduct of Landlord or any Landlord Parties, Tenant shall indemnify,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save, defend (at Landlord's option and with counsel reasonably acceptable to Landlord) and hold the Landlord Parties, harmless from and against any and all Claims, including (A) damages for the loss of or restriction on use of rentable or usable space of the Building, and (B) sums paid in settlement of Claims that arise during or after the Term as a result of Tenant's improper use of the Common Acid Neutralization Tank. This indemnification by Tenant includes costs actually incurred by Landlord: (1) in connection with any investigation required by any Governmental Authority of site conditions, (2) in connection with any investigation required by Landlord pursuant to which it is determined that Tenant has improperly used the Common Acid Neutralization Tank, and (3) any clean-up, remediation, and/or removal of any Hazardous Materials and/or restoration of the Property required by any Governmental Authority caused by Tenant's improper use of the Common Acid Neutralization Tank.</w:t>
      </w:r>
    </w:p>
    <w:p>
      <w:pPr>
        <w:spacing w:after="0" w:line="17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(iv)Tenant shall have no right to (A) make any changes, alterations, additions, decorations or other improvements to the Common Acid Neutralization Tank or (B) otherwise access the PH System Room.</w:t>
      </w:r>
    </w:p>
    <w:p>
      <w:pPr>
        <w:spacing w:after="0" w:line="158" w:lineRule="exact"/>
        <w:rPr>
          <w:sz w:val="20"/>
          <w:szCs w:val="20"/>
          <w:color w:val="auto"/>
        </w:rPr>
      </w:pPr>
    </w:p>
    <w:p>
      <w:pPr>
        <w:jc w:val="both"/>
        <w:ind w:firstLine="1505"/>
        <w:spacing w:after="0" w:line="244" w:lineRule="auto"/>
        <w:tabs>
          <w:tab w:leader="none" w:pos="203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Generator</w:t>
      </w:r>
      <w:r>
        <w:rPr>
          <w:rFonts w:ascii="Times New Roman" w:cs="Times New Roman" w:eastAsia="Times New Roman" w:hAnsi="Times New Roman"/>
          <w:sz w:val="21"/>
          <w:szCs w:val="21"/>
          <w:color w:val="auto"/>
        </w:rPr>
        <w:t>. Reference is made to the fact the Building is served by a 1250 kw emergency generator ("</w:t>
      </w:r>
      <w:r>
        <w:rPr>
          <w:rFonts w:ascii="Times New Roman" w:cs="Times New Roman" w:eastAsia="Times New Roman" w:hAnsi="Times New Roman"/>
          <w:sz w:val="21"/>
          <w:szCs w:val="21"/>
          <w:b w:val="1"/>
          <w:bCs w:val="1"/>
          <w:u w:val="single" w:color="auto"/>
          <w:color w:val="auto"/>
        </w:rPr>
        <w:t>Generator</w:t>
      </w:r>
      <w:r>
        <w:rPr>
          <w:rFonts w:ascii="Times New Roman" w:cs="Times New Roman" w:eastAsia="Times New Roman" w:hAnsi="Times New Roman"/>
          <w:sz w:val="21"/>
          <w:szCs w:val="21"/>
          <w:color w:val="auto"/>
        </w:rPr>
        <w:t>"). Tenant shall be permitted to connect certain equipment the Generator, provided that the aggregate electrical demand of all equipment connected by Tenant to the Generator at any time shall not exceed Tenant's pro rata share (based upon relative rentable floor area) of the Generator. Landlord's sole obligation for either providing emergency generators or providing emergency back-up power to Tenant shall be: (i) to provide emergency generators with not less than the stated capacity of the emergency generators located in the Building as of the Term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 In no event shall Landlord be liable to Tenant or any other party for any damages of any type, whether actual or consequential, suffered by Tenant or any such other person in the event that any emergency generator or back-up power or any replacement thereof fails or does not provide sufficient power.</w:t>
      </w:r>
    </w:p>
    <w:p>
      <w:pPr>
        <w:spacing w:after="0" w:line="175"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Penthouse Equipment Premises</w:t>
      </w:r>
      <w:r>
        <w:rPr>
          <w:rFonts w:ascii="Times New Roman" w:cs="Times New Roman" w:eastAsia="Times New Roman" w:hAnsi="Times New Roman"/>
          <w:sz w:val="22"/>
          <w:szCs w:val="22"/>
          <w:color w:val="auto"/>
        </w:rPr>
        <w:t>. Tenant may, as part of Tenant's Work or in accordance with the terms and conditions of Article 11 below, install certain equipment within a portion of the Penthouse of the Building designated by Landlord (the "</w:t>
      </w:r>
      <w:r>
        <w:rPr>
          <w:rFonts w:ascii="Times New Roman" w:cs="Times New Roman" w:eastAsia="Times New Roman" w:hAnsi="Times New Roman"/>
          <w:sz w:val="22"/>
          <w:szCs w:val="22"/>
          <w:b w:val="1"/>
          <w:bCs w:val="1"/>
          <w:color w:val="auto"/>
        </w:rPr>
        <w:t>Penthouse Equipment Premises</w:t>
      </w:r>
      <w:r>
        <w:rPr>
          <w:rFonts w:ascii="Times New Roman" w:cs="Times New Roman" w:eastAsia="Times New Roman" w:hAnsi="Times New Roman"/>
          <w:sz w:val="22"/>
          <w:szCs w:val="22"/>
          <w:color w:val="auto"/>
        </w:rPr>
        <w:t xml:space="preserve">"), as shown on </w:t>
      </w:r>
      <w:r>
        <w:rPr>
          <w:rFonts w:ascii="Times New Roman" w:cs="Times New Roman" w:eastAsia="Times New Roman" w:hAnsi="Times New Roman"/>
          <w:sz w:val="22"/>
          <w:szCs w:val="22"/>
          <w:u w:val="single" w:color="auto"/>
          <w:color w:val="auto"/>
        </w:rPr>
        <w:t>Exhibit 1C</w:t>
      </w:r>
      <w:r>
        <w:rPr>
          <w:rFonts w:ascii="Times New Roman" w:cs="Times New Roman" w:eastAsia="Times New Roman" w:hAnsi="Times New Roman"/>
          <w:sz w:val="22"/>
          <w:szCs w:val="22"/>
          <w:color w:val="auto"/>
        </w:rPr>
        <w:t xml:space="preserve"> (any equipment installed within the Penthouse Equipment Premises, as the same may be modified, altered or replaced during the Term, is collectively referred to herein as "Tenant's Penthouse Equipment"), for Tenant's exclusive use during the Term in accordance with the provisions of this Lease, including, without limitation, Section 11 hereof. Tenant shall have the right, throughout the Term of the Lease, as the same may be extended, to</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use Tenant's Penthouse Equipment in accordance with Legal Requirements. Tenant shall not operate Tenant's Penthouse Equipment until Landlord has obtained copies of all required governmental permits, licenses, and authorizations necessary for the installation and operation thereof. In addition, following the delivery of Tenant's Penthouse Equipment by Landlord in good working order and repair, Tenant shall comply with all reasonable construction rules and regulations promulgated by Landlord in connection with the installation, maintenance and operation of Tenant's Penthouse Equipment. Landlord shall have no obligation to provide any services including, without limitation, electric current or gas service, to the Penthouse Equipment Premises or to Tenant's Penthouse Equipment, provided, however, Landlord, as part of the Tenant Improvement Work, will install the initial necessary utility connections between Tenant's Penthouse Equipment and the Premises (which utility connections shall be deemed part of Tenant's Penthouse Equipment). Tenant shall be responsible for the cost of repairing and maintaining Tenant's Penthouse Equipment and the cost of repairing any damage to the Building, or the cost of any necessary improvements to the Building, caused by or as a result of the installation, replacement and/or removal of Tenant's Penthouse Equipment. Except for Landlord's Warranty, as set forth in Section 15 of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 Landlord makes no warranties or representations to Tenant as to the suitability of the Penthouse Equipment Premises for the installation and operation of Tenant's Penthouse Equipment. In the event that at any time during the Term, Landlord determines, in its sole but bona fide business judgment, that the operation and/or periodic testing of Tenant's Penthouse Equipment interferes with the operation of the Building or the business operations of any of the occupants of the Building, then Tenant shall, upon notice from Landlord, cause all further testing of Tenant's Penthouse Equipment to occur after normal business hours (hereinafter defined).</w:t>
      </w:r>
    </w:p>
    <w:p>
      <w:pPr>
        <w:spacing w:after="0" w:line="18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1.4Tenant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Access</w:t>
      </w:r>
      <w:r>
        <w:rPr>
          <w:rFonts w:ascii="Times New Roman" w:cs="Times New Roman" w:eastAsia="Times New Roman" w:hAnsi="Times New Roman"/>
          <w:sz w:val="22"/>
          <w:szCs w:val="22"/>
          <w:color w:val="auto"/>
        </w:rPr>
        <w:t>. Commencing on the Phase I Premises Term Commencement Date as to the Phase I Premises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commencing on the Phase II Premises Term Commencement Date as to the Phase II Premises, Tenant shall have access to the Phase I Premises and the Phase II Premises, as applicable, twenty-four (24) hours a day, seven (7) days a week, except in an emergency, and subject to Landlord's reasonable Building security requirements, causes beyond Landlord's reasonable control, Legal Requirements, the Rules and Regulations, the terms of this Lease, Force Majeure (hereinafter defined) and matters of record. Tenant and its employees shall have access to the Building after normal business hours by means of a card reader access system.</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1.5No recording // Notice of Lease</w:t>
      </w:r>
      <w:r>
        <w:rPr>
          <w:rFonts w:ascii="Times New Roman" w:cs="Times New Roman" w:eastAsia="Times New Roman" w:hAnsi="Times New Roman"/>
          <w:sz w:val="22"/>
          <w:szCs w:val="22"/>
          <w:color w:val="auto"/>
        </w:rPr>
        <w:t>. Neither party shall record this Lease. Tenant shall not record a memorandum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and/or a notice of this Lease. Notwithstanding the foregoing, if the Initial Term plus any Extension Term(s) exceed in the aggregate seven (7) years, Landlord agrees to join in the execution, in recordable form, of a statutory notice of lease and/or written declaration in which shall be stated the Term Commencement Date, the Rent Commencement Date, the number and length of the Extension Term(s) and the Expiration Date, which notice of lease may be recorded by Tenant with the Middlesex South Registry of Deeds and/or filed with the Middlesex South Registry District of the Land Court, as appropriate (alternatively and collectively, the "</w:t>
      </w:r>
      <w:r>
        <w:rPr>
          <w:rFonts w:ascii="Times New Roman" w:cs="Times New Roman" w:eastAsia="Times New Roman" w:hAnsi="Times New Roman"/>
          <w:sz w:val="22"/>
          <w:szCs w:val="22"/>
          <w:b w:val="1"/>
          <w:bCs w:val="1"/>
          <w:color w:val="auto"/>
        </w:rPr>
        <w:t>Registry</w:t>
      </w:r>
      <w:r>
        <w:rPr>
          <w:rFonts w:ascii="Times New Roman" w:cs="Times New Roman" w:eastAsia="Times New Roman" w:hAnsi="Times New Roman"/>
          <w:sz w:val="22"/>
          <w:szCs w:val="22"/>
          <w:color w:val="auto"/>
        </w:rPr>
        <w:t>") at Tenant's sole cost and expense. If a notice of lease was previously recorded with the Registry, upon the expiration or earlier termination of this Lease, Landlord shall deliver to Tenant a notice of termination of Lease and Tenant shall promptly execute, acknowledge, and deliver the same (together with any other instrument(s) that may be necessary in order to record and/or file same with the Registry) to Landlord for Landlord's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and recordation with the Registry, which obligation shall survive the expiration or earlier termination of the Lease.</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1.6Exclusions</w:t>
      </w:r>
      <w:r>
        <w:rPr>
          <w:rFonts w:ascii="Times New Roman" w:cs="Times New Roman" w:eastAsia="Times New Roman" w:hAnsi="Times New Roman"/>
          <w:sz w:val="22"/>
          <w:szCs w:val="22"/>
          <w:color w:val="auto"/>
        </w:rPr>
        <w:t>. The following are expressly excluded from the Premises and reserved to Landlord: all the perimeter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walls of the Premises (except the inner surfaces thereof), the Common Areas, and any space in or adjacent to the Premises used for shafts, stacks, pipes, conduits, wires and appurtenant fixtures, fan rooms, ducts, electric or other utilities, sinks or other Building facilities, and the use of all of the foregoing, except as expressly permitted pursuant to Section 1.3(a) above.</w:t>
      </w:r>
    </w:p>
    <w:p>
      <w:pPr>
        <w:spacing w:after="0" w:line="172" w:lineRule="exact"/>
        <w:rPr>
          <w:sz w:val="20"/>
          <w:szCs w:val="20"/>
          <w:color w:val="auto"/>
        </w:rPr>
      </w:pPr>
    </w:p>
    <w:p>
      <w:pPr>
        <w:ind w:left="760" w:hanging="752"/>
        <w:spacing w:after="0"/>
        <w:tabs>
          <w:tab w:leader="none" w:pos="7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RESERVED TO LANDLORD</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2.1Additions and Alterations</w:t>
      </w:r>
      <w:r>
        <w:rPr>
          <w:rFonts w:ascii="Times New Roman" w:cs="Times New Roman" w:eastAsia="Times New Roman" w:hAnsi="Times New Roman"/>
          <w:sz w:val="22"/>
          <w:szCs w:val="22"/>
          <w:color w:val="auto"/>
        </w:rPr>
        <w:t>. Landlord reserves the right, at any time and from time to time, to make such changes,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alterations, additions, improvements, repairs or replacements in or to the Property (including the Premises but, with respect to the Premises, only for purposes of repairs, maintenance, replacements and the exercise of any other rights expressly reserved to Landlord herein) and the fixtures and equipment therein, as well as in or to the street entrances and/or the Common Areas, as it may deem necessary or desirable, provided, however, that there be no material obstruction of permanent access to, or material interference with the use and enjoyment of, the Premises by Tenant. Subject to the foregoing, Landlord expressly reserves the right to temporarily close all, or any portion, of the Common Areas for the purpose of making repairs or changes thereto.</w:t>
      </w:r>
    </w:p>
    <w:p>
      <w:pPr>
        <w:spacing w:after="0" w:line="17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Additions to the Property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8"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at any time or from time to time (i) construct additional building(s) and improvements and related site improvements (collectively, "</w:t>
      </w:r>
      <w:r>
        <w:rPr>
          <w:rFonts w:ascii="Times New Roman" w:cs="Times New Roman" w:eastAsia="Times New Roman" w:hAnsi="Times New Roman"/>
          <w:sz w:val="22"/>
          <w:szCs w:val="22"/>
          <w:b w:val="1"/>
          <w:bCs w:val="1"/>
          <w:color w:val="auto"/>
        </w:rPr>
        <w:t>Future Development</w:t>
      </w:r>
      <w:r>
        <w:rPr>
          <w:rFonts w:ascii="Times New Roman" w:cs="Times New Roman" w:eastAsia="Times New Roman" w:hAnsi="Times New Roman"/>
          <w:sz w:val="22"/>
          <w:szCs w:val="22"/>
          <w:color w:val="auto"/>
        </w:rPr>
        <w:t>") in all or any part of the Property and/or (ii) change the location or arrangement of any improvement outside the Building in or on the Property or all or any part of the Common Areas, or add or deduct any land to or from the Property; provided that there shall be no material increase in Tenant's obligations or material interference with Tenant's rights under this Lease in connection with the exercise of the foregoing reserved rights.</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excavation shall be made for building or improvements or for any other purpose upon the land adjacent to or near the Premises, Tenant will afford without charge to Landlord, or the person or persons, firms or corporations causing or making such excavation, license to enter upon the Premises for the purpose of doing such work as Landlord or such person or persons, firms or corporation shall deem to be necessary to preserve the walls or structures of the Building from injury, and to protect the Building by proper securing of foundations.</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each hereby acknowledges and agrees that, in connection with any Future Development, (i) Landlord shall have the right to enter into, and subject the Property to the terms and conditions of, a commercially reasonable reciprocal easement agreement with any one or more of the neighboring property owners in order to create a commercial campus-like setting ("</w:t>
      </w:r>
      <w:r>
        <w:rPr>
          <w:rFonts w:ascii="Times New Roman" w:cs="Times New Roman" w:eastAsia="Times New Roman" w:hAnsi="Times New Roman"/>
          <w:sz w:val="22"/>
          <w:szCs w:val="22"/>
          <w:b w:val="1"/>
          <w:bCs w:val="1"/>
          <w:color w:val="auto"/>
        </w:rPr>
        <w:t>REA</w:t>
      </w:r>
      <w:r>
        <w:rPr>
          <w:rFonts w:ascii="Times New Roman" w:cs="Times New Roman" w:eastAsia="Times New Roman" w:hAnsi="Times New Roman"/>
          <w:sz w:val="22"/>
          <w:szCs w:val="22"/>
          <w:color w:val="auto"/>
        </w:rPr>
        <w:t>"); (ii) upon Landlord's request in connection with the recording of the REA, Tenant shall execute a commercially reasonable instrument in recordable form making this Lease subject and subordinate to the REA; (iii) Landlord shall have the right to</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subdivide the Property so long as Tenant continues to have all of the rights and obligations contained in this Lease (e.g., the appurtenant right to use all Common Areas); and (iv) Tenant shall execute such reasonable documents (which may be in recordable form) evidencing the foregoing with reasonable promptness upon Landlord's request.</w:t>
      </w:r>
    </w:p>
    <w:p>
      <w:pPr>
        <w:spacing w:after="0" w:line="16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2.3Name and Address of Building</w:t>
      </w:r>
      <w:r>
        <w:rPr>
          <w:rFonts w:ascii="Times New Roman" w:cs="Times New Roman" w:eastAsia="Times New Roman" w:hAnsi="Times New Roman"/>
          <w:sz w:val="21"/>
          <w:szCs w:val="21"/>
          <w:color w:val="auto"/>
        </w:rPr>
        <w:t>. Landlord reserves the right at any time and from time to time to change the name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address of the Building and/or the Property, provided Landlord gives Tenant at least three (3) months' prior written notice thereof.</w:t>
      </w:r>
    </w:p>
    <w:p>
      <w:pPr>
        <w:spacing w:after="0" w:line="12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2.4Landlord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 Access</w:t>
      </w:r>
      <w:r>
        <w:rPr>
          <w:rFonts w:ascii="Times New Roman" w:cs="Times New Roman" w:eastAsia="Times New Roman" w:hAnsi="Times New Roman"/>
          <w:sz w:val="21"/>
          <w:szCs w:val="21"/>
          <w:color w:val="auto"/>
        </w:rPr>
        <w:t>. Subject to the terms hereof, Tenant shall (a) upon reasonable advance notice, which may be oral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that no notice shall be required in emergency situations), permit Landlord and any holder of a Mortgage (hereinafter defined) (each such holder, a "</w:t>
      </w:r>
      <w:r>
        <w:rPr>
          <w:rFonts w:ascii="Times New Roman" w:cs="Times New Roman" w:eastAsia="Times New Roman" w:hAnsi="Times New Roman"/>
          <w:sz w:val="21"/>
          <w:szCs w:val="21"/>
          <w:b w:val="1"/>
          <w:bCs w:val="1"/>
          <w:color w:val="auto"/>
        </w:rPr>
        <w:t>Mortgagee</w:t>
      </w:r>
      <w:r>
        <w:rPr>
          <w:rFonts w:ascii="Times New Roman" w:cs="Times New Roman" w:eastAsia="Times New Roman" w:hAnsi="Times New Roman"/>
          <w:sz w:val="21"/>
          <w:szCs w:val="21"/>
          <w:color w:val="auto"/>
        </w:rPr>
        <w:t>"), and the agents, representatives, employees and contractors of each of them, to have reasonable access to the Premises at all reasonable hours for the purposes of inspection, making repairs, replacements or improvements in or to the Premises or the Building or equipment therein (including, without limitation, sanitary, electrical, heating, air conditioning or other systems), complying with all applicable laws, ordinances, rules, regulations, statutes, by-laws, court decisions and orders and requirements of all public authorities (collectively, "</w:t>
      </w:r>
      <w:r>
        <w:rPr>
          <w:rFonts w:ascii="Times New Roman" w:cs="Times New Roman" w:eastAsia="Times New Roman" w:hAnsi="Times New Roman"/>
          <w:sz w:val="21"/>
          <w:szCs w:val="21"/>
          <w:b w:val="1"/>
          <w:bCs w:val="1"/>
          <w:color w:val="auto"/>
        </w:rPr>
        <w:t>Legal Requirements</w:t>
      </w:r>
      <w:r>
        <w:rPr>
          <w:rFonts w:ascii="Times New Roman" w:cs="Times New Roman" w:eastAsia="Times New Roman" w:hAnsi="Times New Roman"/>
          <w:sz w:val="21"/>
          <w:szCs w:val="21"/>
          <w:color w:val="auto"/>
        </w:rPr>
        <w:t>"), or exercising any right reserved to Landlord under this Lease (including without limitation the right to take upon or through, or to keep and store within the Premises all necessary materials, tools and equipment); (b) permit Landlord and its agents and employees, at reasonable times, upon reasonable advance notice, to show the Premises during normal business hours (i.e. Monday - Friday 7 A.M. - 6 P.M., Saturday 7 A.M. - 12 P.M., excluding holidays) to any prospective Mortgagee or purchaser of the Building and/or the Property or of the interest of Landlord therein, and, during the last twelve (12) months of the Term or at any time after the occurrence of an Event of Default, prospective tenants; and (c) upon reasonable prior written notice from Landlord, permit Landlord and its agents, at Landlord's sole cost and expense, to perform environmental audits, environmental site investigations and environmental site assessments ("</w:t>
      </w:r>
      <w:r>
        <w:rPr>
          <w:rFonts w:ascii="Times New Roman" w:cs="Times New Roman" w:eastAsia="Times New Roman" w:hAnsi="Times New Roman"/>
          <w:sz w:val="21"/>
          <w:szCs w:val="21"/>
          <w:b w:val="1"/>
          <w:bCs w:val="1"/>
          <w:color w:val="auto"/>
        </w:rPr>
        <w:t>Site Assessments</w:t>
      </w:r>
      <w:r>
        <w:rPr>
          <w:rFonts w:ascii="Times New Roman" w:cs="Times New Roman" w:eastAsia="Times New Roman" w:hAnsi="Times New Roman"/>
          <w:sz w:val="21"/>
          <w:szCs w:val="21"/>
          <w:color w:val="auto"/>
        </w:rPr>
        <w:t>") in, on, under and at the Premises and the Land, it being understood that Landlord shall repair any damage arising as a result of the Site Assessments, and such Site Assessments may include both above and below the ground testing and such other tests as may be necessary or appropriate to conduct the Site Assessments. In addition, to the extent that it is necessary to enter the Premises in order to access any area that serves any portion of the Building outside the Premises, then Tenant shall, upon as much advance notice as is practical under the circumstances, and in any event at least twenty-four (24) hours' prior written notice (except that no notice shall be required in emergency situations), permit contractors engaged by other occupants of the Building to pass through the Premises in order to access such areas but only if accompanied by a representative of Landlord. The parties agree and acknowledge that, despite reasonable and customary precautions (which Landlord agrees it shall exercise), any property or equipment in the Premises of a delicate, fragile or vulnerable nature may nevertheless be damaged in the course of performing Landlord's obligations. Accordingly, Tenant shall take reasonable protective precautions with unusually fragile, vulnerable or sensitive property and equipment.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1" w:lineRule="exact"/>
        <w:rPr>
          <w:sz w:val="20"/>
          <w:szCs w:val="20"/>
          <w:color w:val="auto"/>
        </w:rPr>
      </w:pPr>
    </w:p>
    <w:p>
      <w:pPr>
        <w:jc w:val="both"/>
        <w:ind w:right="10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2.5Pipes, Ducts and Conduits</w:t>
      </w:r>
      <w:r>
        <w:rPr>
          <w:rFonts w:ascii="Times New Roman" w:cs="Times New Roman" w:eastAsia="Times New Roman" w:hAnsi="Times New Roman"/>
          <w:sz w:val="22"/>
          <w:szCs w:val="22"/>
          <w:color w:val="auto"/>
        </w:rPr>
        <w:t>. Subject to the provisions of Section 2.4 and other provisions of this Lease, Tenant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 Landlord to erect, use, maintain and relocate pipes, ducts and conduits in and through the Premises, provided the same do not reduce the rentable square footage of the Premises, other than by a de minimis amount, or adversely affect the appearance of the Premises.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2.6Minimize Interference</w:t>
      </w:r>
      <w:r>
        <w:rPr>
          <w:rFonts w:ascii="Times New Roman" w:cs="Times New Roman" w:eastAsia="Times New Roman" w:hAnsi="Times New Roman"/>
          <w:sz w:val="22"/>
          <w:szCs w:val="22"/>
          <w:color w:val="auto"/>
        </w:rPr>
        <w:t>. Except in the event of an emergency, Landlord shall use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minimize any interference with Tenant's business operations and use and occupancy of the Premises in connection with the exercise any of the foregoing rights under this Section 2.</w:t>
      </w:r>
    </w:p>
    <w:p>
      <w:pPr>
        <w:spacing w:after="0" w:line="167" w:lineRule="exact"/>
        <w:rPr>
          <w:sz w:val="20"/>
          <w:szCs w:val="20"/>
          <w:color w:val="auto"/>
        </w:rPr>
      </w:pPr>
    </w:p>
    <w:p>
      <w:pPr>
        <w:ind w:left="760" w:hanging="752"/>
        <w:spacing w:after="0"/>
        <w:tabs>
          <w:tab w:leader="none" w:pos="7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 OF PREMISES; CONSTRUCTION.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3.1Condition of Premises</w:t>
      </w:r>
      <w:r>
        <w:rPr>
          <w:rFonts w:ascii="Times New Roman" w:cs="Times New Roman" w:eastAsia="Times New Roman" w:hAnsi="Times New Roman"/>
          <w:sz w:val="22"/>
          <w:szCs w:val="22"/>
          <w:color w:val="auto"/>
        </w:rPr>
        <w:t>. Tenant acknowledges and agrees that Tenant is leasing the Premises in their "</w:t>
      </w:r>
      <w:r>
        <w:rPr>
          <w:rFonts w:ascii="Times New Roman" w:cs="Times New Roman" w:eastAsia="Times New Roman" w:hAnsi="Times New Roman"/>
          <w:sz w:val="22"/>
          <w:szCs w:val="22"/>
          <w:b w:val="1"/>
          <w:bCs w:val="1"/>
          <w:color w:val="auto"/>
        </w:rPr>
        <w:t>AS IS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WHERE IS</w:t>
      </w:r>
      <w:r>
        <w:rPr>
          <w:rFonts w:ascii="Times New Roman" w:cs="Times New Roman" w:eastAsia="Times New Roman" w:hAnsi="Times New Roman"/>
          <w:sz w:val="22"/>
          <w:szCs w:val="22"/>
          <w:color w:val="auto"/>
        </w:rPr>
        <w:t xml:space="preserve">" condition and with all faults on the Execution Date, without representations or warranties, express or implied, in fact or by law, of any kind, and without recourse to Landlord, except that Landlord shall perform Landlord's Work in accordance with the provisions of this Section 3 and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 xml:space="preserve">. Tenant shall not exceed its allotted base building capacities defined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attached hereto.</w:t>
      </w:r>
    </w:p>
    <w:p>
      <w:pPr>
        <w:spacing w:after="0" w:line="17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 Work</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5" w:lineRule="auto"/>
        <w:tabs>
          <w:tab w:leader="none" w:pos="203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Force Majeure and any Tenant Delay, as hereinafter defined, Landlord shall perform Landlord's Work in order to prepare the Premises for Tenant's use and occupancy in accordance with </w:t>
      </w:r>
      <w:r>
        <w:rPr>
          <w:rFonts w:ascii="Times New Roman" w:cs="Times New Roman" w:eastAsia="Times New Roman" w:hAnsi="Times New Roman"/>
          <w:sz w:val="22"/>
          <w:szCs w:val="22"/>
          <w:u w:val="single" w:color="auto"/>
          <w:color w:val="auto"/>
        </w:rPr>
        <w:t>Exhibit 4</w:t>
      </w:r>
      <w:r>
        <w:rPr>
          <w:rFonts w:ascii="Times New Roman" w:cs="Times New Roman" w:eastAsia="Times New Roman" w:hAnsi="Times New Roman"/>
          <w:sz w:val="22"/>
          <w:szCs w:val="22"/>
          <w:color w:val="auto"/>
        </w:rPr>
        <w:t xml:space="preserve"> attached hereto. Landlord shall use diligent efforts to achieve Substantial Completion of the applicable portion of Landlord's Work by the applicable Estimated Term Commencement Date. However, except to the extent that such failure constitutes a delay in the occurrence of the Term Commencement Date (as provided in the definition of the Term Commencement Date), and: (i) Tenant's sole remedies shall be a delay in the Term Commencement Date, (ii) Tenant shall have no claim or rights against Landlord, and Landlord shall have no liability or obligation to Tenant in the event of delay in Landlord's Work, and (iii) no delay in Landlord's Work shall have any effect on the parties rights or obligations under this Lease.</w:t>
      </w:r>
    </w:p>
    <w:p>
      <w:pPr>
        <w:spacing w:after="0" w:line="17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 Delay</w:t>
      </w:r>
      <w:r>
        <w:rPr>
          <w:rFonts w:ascii="Times New Roman" w:cs="Times New Roman" w:eastAsia="Times New Roman" w:hAnsi="Times New Roman"/>
          <w:sz w:val="22"/>
          <w:szCs w:val="22"/>
          <w:color w:val="auto"/>
        </w:rPr>
        <w:t>" shall mean any act or omission by Tenant and/or Tenant's agents, employees or contractors (collectively with Tenant, the "</w:t>
      </w:r>
      <w:r>
        <w:rPr>
          <w:rFonts w:ascii="Times New Roman" w:cs="Times New Roman" w:eastAsia="Times New Roman" w:hAnsi="Times New Roman"/>
          <w:sz w:val="22"/>
          <w:szCs w:val="22"/>
          <w:b w:val="1"/>
          <w:bCs w:val="1"/>
          <w:color w:val="auto"/>
        </w:rPr>
        <w:t>Tenant Parties</w:t>
      </w:r>
      <w:r>
        <w:rPr>
          <w:rFonts w:ascii="Times New Roman" w:cs="Times New Roman" w:eastAsia="Times New Roman" w:hAnsi="Times New Roman"/>
          <w:sz w:val="22"/>
          <w:szCs w:val="22"/>
          <w:color w:val="auto"/>
        </w:rPr>
        <w:t>") which causes a delay in the commencement or performance of Landlord's Work or the issuance of a certificate of occupancy for the Premises. Notwithstanding the foregoing, except where a Tenant Delay arises from Tenant's failure timely to act within on or before a date or time period expressly set forth in the Lease (in which event no Tenant Delay Notice shall be required): (x) in no event shall any act or omission be deemed to be a Tenant Delay until and unless Landlord has given Tenant written notice (the "</w:t>
      </w:r>
      <w:r>
        <w:rPr>
          <w:rFonts w:ascii="Times New Roman" w:cs="Times New Roman" w:eastAsia="Times New Roman" w:hAnsi="Times New Roman"/>
          <w:sz w:val="22"/>
          <w:szCs w:val="22"/>
          <w:b w:val="1"/>
          <w:bCs w:val="1"/>
          <w:color w:val="auto"/>
        </w:rPr>
        <w:t>Tenant Delay Notice</w:t>
      </w:r>
      <w:r>
        <w:rPr>
          <w:rFonts w:ascii="Times New Roman" w:cs="Times New Roman" w:eastAsia="Times New Roman" w:hAnsi="Times New Roman"/>
          <w:sz w:val="22"/>
          <w:szCs w:val="22"/>
          <w:color w:val="auto"/>
        </w:rPr>
        <w:t>") advising Tenant (a) that a Tenant Delay is occurring, and (b) of the basis on which Landlord has determined that a Tenant Delay is occurring, and (y) no period of time prior to the time that Tenant receives a Tenant Delay Notice shall be included in the period of time charged to Tenant pursuant to such Tenant Delay Notice.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1" w:lineRule="exact"/>
        <w:rPr>
          <w:sz w:val="20"/>
          <w:szCs w:val="20"/>
          <w:color w:val="auto"/>
        </w:rPr>
      </w:pPr>
    </w:p>
    <w:p>
      <w:pPr>
        <w:jc w:val="both"/>
        <w:ind w:firstLine="2254"/>
        <w:spacing w:after="0" w:line="244" w:lineRule="auto"/>
        <w:tabs>
          <w:tab w:leader="none" w:pos="254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Substantially Complete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Substantial Completion</w:t>
      </w:r>
      <w:r>
        <w:rPr>
          <w:rFonts w:ascii="Times New Roman" w:cs="Times New Roman" w:eastAsia="Times New Roman" w:hAnsi="Times New Roman"/>
          <w:sz w:val="21"/>
          <w:szCs w:val="21"/>
          <w:color w:val="auto"/>
        </w:rPr>
        <w:t xml:space="preserve">," when referring to Landlord's Work shall mean that: (1) Landlord's Work is completed, other than minor work which does not materially affect Tenant's use of, or access to, the Premises, (2) the Premises and those portions of the Common Areas of the Building which affect Tenant's occupancy are in conformance with all applicable building codes, permits, laws and regulations, including without limitation, ADA, (3) all structural elements and subsystems of the Building, including but not limited to HVAC, mechanical, electrical, lighting, plumbing, and life safety systems, will be in good working condition and repair, (4) Landlord has delivered to Tenant (x) a certificate of substantial completion from Landlord's architect stating that Landlord's Work is substantially complete, and (y) a certificate of occupancy (which may be a temporary certificate of occupancy) relating to the Premises or an equivalent approval provided by the City of Cambridge to evidence Tenant's right to lawfully occupy the Premises, except to the extent that such certificate of occupancy or such approval from the City of Cambridge cannot be obtained by reason of the failure of Tenant to perform Tenant's Work (as defined in </w:t>
      </w:r>
      <w:r>
        <w:rPr>
          <w:rFonts w:ascii="Times New Roman" w:cs="Times New Roman" w:eastAsia="Times New Roman" w:hAnsi="Times New Roman"/>
          <w:sz w:val="21"/>
          <w:szCs w:val="21"/>
          <w:u w:val="single" w:color="auto"/>
          <w:color w:val="auto"/>
        </w:rPr>
        <w:t>Exhibit 4</w:t>
      </w:r>
      <w:r>
        <w:rPr>
          <w:rFonts w:ascii="Times New Roman" w:cs="Times New Roman" w:eastAsia="Times New Roman" w:hAnsi="Times New Roman"/>
          <w:sz w:val="21"/>
          <w:szCs w:val="21"/>
          <w:color w:val="auto"/>
        </w:rPr>
        <w:t>) or to install or make operational its modular furniture or telecommunications equipment, and (5) such evidence as is customarily provided by the City of Cambridge to evidence its acceptance of Landlord's Work and Tenant's right to lawfully occupy the Premises (e.g., sign-offs on the Building permit by all applicable City of Cambridge departments or a certificate of occupancy, which may be a temporary certificate of occupancy) has been provided by the City of Cambridge. No costs incurred by Landlord in satisfying the definition of Substantial Completion shall be included in Operating Costs. Notwithstanding anything to the contrary herein contained, in the event that Landlord's Work is delayed by reason of any Tenant Delay, then Landlord shall be deemed to have achieved Substantial Completion of Landlord's Work on the date that Landlord would have achieved Substantial Completion of Landlord's Work, but for such Tenant Delay.</w:t>
      </w:r>
    </w:p>
    <w:p>
      <w:pPr>
        <w:spacing w:after="0" w:line="175"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Punchlist</w:t>
      </w:r>
      <w:r>
        <w:rPr>
          <w:rFonts w:ascii="Times New Roman" w:cs="Times New Roman" w:eastAsia="Times New Roman" w:hAnsi="Times New Roman"/>
          <w:sz w:val="22"/>
          <w:szCs w:val="22"/>
          <w:color w:val="auto"/>
        </w:rPr>
        <w:t>. Promptly following Substantial Completion of Landlord's Work, Landlord shall provide Tenant with a punchlist prepared by Landlord's architect (the "</w:t>
      </w:r>
      <w:r>
        <w:rPr>
          <w:rFonts w:ascii="Times New Roman" w:cs="Times New Roman" w:eastAsia="Times New Roman" w:hAnsi="Times New Roman"/>
          <w:sz w:val="22"/>
          <w:szCs w:val="22"/>
          <w:b w:val="1"/>
          <w:bCs w:val="1"/>
          <w:color w:val="auto"/>
        </w:rPr>
        <w:t>Punchlist</w:t>
      </w:r>
      <w:r>
        <w:rPr>
          <w:rFonts w:ascii="Times New Roman" w:cs="Times New Roman" w:eastAsia="Times New Roman" w:hAnsi="Times New Roman"/>
          <w:sz w:val="22"/>
          <w:szCs w:val="22"/>
          <w:color w:val="auto"/>
        </w:rPr>
        <w:t>") incorporating those items jointly identified by Landlord and Tenant during their joint inspection of Landlord's Work, of outstanding items (the "</w:t>
      </w:r>
      <w:r>
        <w:rPr>
          <w:rFonts w:ascii="Times New Roman" w:cs="Times New Roman" w:eastAsia="Times New Roman" w:hAnsi="Times New Roman"/>
          <w:sz w:val="22"/>
          <w:szCs w:val="22"/>
          <w:b w:val="1"/>
          <w:bCs w:val="1"/>
          <w:color w:val="auto"/>
        </w:rPr>
        <w:t>Punchlist Items</w:t>
      </w:r>
      <w:r>
        <w:rPr>
          <w:rFonts w:ascii="Times New Roman" w:cs="Times New Roman" w:eastAsia="Times New Roman" w:hAnsi="Times New Roman"/>
          <w:sz w:val="22"/>
          <w:szCs w:val="22"/>
          <w:color w:val="auto"/>
        </w:rPr>
        <w:t>"). Promptly after Substantial Completion of Landlord's Work, Landlord and Tenant shall jointly inspect the Premises. Subject to Force Majeure (as defined in Section 25.16) and Tenant Delays, Landlord shall complete all Punchlist Items within thirty (30) days of the date of the Punchlist (other than seasonal items, such as landscaping, requiring a longer period), provided that Tenant reasonably cooperates in connection with the completion of such Punchlist Items.</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3.3</w:t>
      </w:r>
      <w:r>
        <w:rPr>
          <w:rFonts w:ascii="Times New Roman" w:cs="Times New Roman" w:eastAsia="Times New Roman" w:hAnsi="Times New Roman"/>
          <w:sz w:val="21"/>
          <w:szCs w:val="21"/>
          <w:color w:val="auto"/>
        </w:rPr>
        <w:t>Tenant's Remedies in the Event of Delays in Term Commencement Date. This Section 3.3 sets forth Tenant's sole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remedies, both at law and in equity, in the event of any delay in Landlord's Work or the applicable Term Commencement Date: If the Phase I Term Commencement Date has not occurred on or before the date that is ninety (90) days after the Phase I Estimated Term Commencement Date or if the Phase II Term Commencement Date has not occurred on or before the date that is ninety (90) days after the Phase II Estimated Term Commencement Date (each such date being hereinafter referred to as the "</w:t>
      </w:r>
      <w:r>
        <w:rPr>
          <w:rFonts w:ascii="Times New Roman" w:cs="Times New Roman" w:eastAsia="Times New Roman" w:hAnsi="Times New Roman"/>
          <w:sz w:val="21"/>
          <w:szCs w:val="21"/>
          <w:b w:val="1"/>
          <w:bCs w:val="1"/>
          <w:color w:val="auto"/>
        </w:rPr>
        <w:t>First Outside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Rent Credit Date</w:t>
      </w:r>
      <w:r>
        <w:rPr>
          <w:rFonts w:ascii="Times New Roman" w:cs="Times New Roman" w:eastAsia="Times New Roman" w:hAnsi="Times New Roman"/>
          <w:sz w:val="21"/>
          <w:szCs w:val="21"/>
          <w:color w:val="auto"/>
        </w:rPr>
        <w:t>"), then, as Tenant's sole remedy, based upon any delay in the applicable Term Commencement Date, Tenant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entitled to a rent credit against Tenant's obligation to pay Base Rent for the applicable portion of the Premises (i.e., the Phase I Premises or the Phase II Premises) equal to one (1) day for each day between the First Outside Rent Credit Date and the earlier of (x) the applicable Term Commencement Date and (y) the date that is ninety (90) days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after the applicable First Outside Rent Credit Date (each such date being hereinafter referred to as the "</w:t>
      </w:r>
      <w:r>
        <w:rPr>
          <w:rFonts w:ascii="Times New Roman" w:cs="Times New Roman" w:eastAsia="Times New Roman" w:hAnsi="Times New Roman"/>
          <w:sz w:val="22"/>
          <w:szCs w:val="22"/>
          <w:b w:val="1"/>
          <w:bCs w:val="1"/>
          <w:color w:val="auto"/>
        </w:rPr>
        <w:t>Second Outside 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Credit Date</w:t>
      </w:r>
      <w:r>
        <w:rPr>
          <w:rFonts w:ascii="Times New Roman" w:cs="Times New Roman" w:eastAsia="Times New Roman" w:hAnsi="Times New Roman"/>
          <w:sz w:val="22"/>
          <w:szCs w:val="22"/>
          <w:color w:val="auto"/>
        </w:rPr>
        <w:t>"). If the applicable Term Commencement Date has not occurred on or before the Second Outside Rent Credit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Tenant's sole remedy, Tenant shall be entitled to a rent credit against Tenant's obligation to pay Base Rent for the applicable portion of the Premises equal to two (2) days for each day between the Second Outside Rent Credit Date and the applicable Term Commencement Date. Notwithstanding anything to the contrary contained herein, each of the First Outside Rent Credit Date and the Second Outside Rent Credit Date shall be extended by the length of any delays in Landlord's Work arising from delay by Force Majeure (as defined in Section 25.16) and/or Tenant Delay.</w:t>
      </w:r>
    </w:p>
    <w:p>
      <w:pPr>
        <w:spacing w:after="0" w:line="176"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USE OF PREMISES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4.1Permitted Uses</w:t>
      </w:r>
      <w:r>
        <w:rPr>
          <w:rFonts w:ascii="Times New Roman" w:cs="Times New Roman" w:eastAsia="Times New Roman" w:hAnsi="Times New Roman"/>
          <w:sz w:val="22"/>
          <w:szCs w:val="22"/>
          <w:color w:val="auto"/>
        </w:rPr>
        <w:t>. During the Term, Tenant shall use the Premises only for the Permitted Uses and for no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Service and utility areas (whether or not a part of the Premises) shall be used only for the particular purpose for which they are designed. Tenant shall keep the Premises equipped with appropriate safety appliances to the extent required by applicable laws or insurance requirements.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4.2Prohibited Uses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Lease, Tenant shall not use the Premises or the Building, or any part thereof, or suffer or permit the use or occupancy of the Premises or the Building or any part thereof by any of the Tenant Parties (i) in a manner which would violate any of the covenants, agreements, terms, provisions and conditions of this Lease or otherwise applicable to or binding upon the Premises; (ii) for any unlawful purposes or in any unlawful manner; (iii) which, in the reasonable judgment of Landlord (taking into account the use of the Building as a combination laboratory, research and development and office building and the Permitted Uses) shall (a) impair the appearance or reputation of the Building; (b) impair, interfere with or otherwise diminish the quality of any of the Building services or the proper and economic heating, cleaning, ventilating, air conditioning or other servicing of the Building or Premises, or the use or occupancy of any of the Common Areas;</w:t>
      </w:r>
    </w:p>
    <w:p>
      <w:pPr>
        <w:spacing w:after="0" w:line="3" w:lineRule="exact"/>
        <w:rPr>
          <w:rFonts w:ascii="Times New Roman" w:cs="Times New Roman" w:eastAsia="Times New Roman" w:hAnsi="Times New Roman"/>
          <w:sz w:val="21"/>
          <w:szCs w:val="21"/>
          <w:color w:val="auto"/>
        </w:rPr>
      </w:pPr>
    </w:p>
    <w:p>
      <w:pPr>
        <w:jc w:val="both"/>
        <w:ind w:firstLine="8"/>
        <w:spacing w:after="0" w:line="232" w:lineRule="auto"/>
        <w:tabs>
          <w:tab w:leader="none" w:pos="30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occasion discomfort, inconvenience or annoyance in any material respect (and Tenant shall not install or use any electrical or other equipment of any kind (including, without limitation, Tenant's Penthouse Equipment) which, in the reasonable judgment of Landlord, will cause any such impairment, interference, discomfort, inconvenience, annoyance or injury), or cause any injury or damage to any occupants of the Premises or other tenants or occupants of the Building or their property; or (d) cause harmful air emissions, laboratory odors or noises or any unusual or other objectionable odors, noises or emissions to emanate from the Premises; (iv) in a manner which is inconsistent with the operation and/or maintenance of the Building as a first-class combination office, research, development and laboratory facility; (v) for any fermentation processes whatsoever; or (vi) in a manner which shall increase such insurance rates on the Building or on property located therein over that applicable when Tenant first took occupancy of the Premises hereunder.</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5" w:lineRule="exact"/>
        <w:rPr>
          <w:sz w:val="20"/>
          <w:szCs w:val="20"/>
          <w:color w:val="auto"/>
        </w:rPr>
      </w:pPr>
    </w:p>
    <w:p>
      <w:pPr>
        <w:jc w:val="both"/>
        <w:ind w:firstLine="1505"/>
        <w:spacing w:after="0" w:line="238"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use and occupancy of the Premises and the Common Areas, Tenant will not: (i) place or maintain any signage (except as set forth in Section 12.2 below), trash, refuse or other articles in any vestibule or entry of the Premises, on the footwalks or corridors adjacent thereto or elsewhere on the exterior of the Premises, nor obstruct any driveway, corridor, footwalk, parking area, mall or any other Common Areas; (ii) permit undue accumulations of or burn garbage, trash, rubbish or other refuse within or without the Premises;</w:t>
      </w:r>
    </w:p>
    <w:p>
      <w:pPr>
        <w:spacing w:after="0" w:line="176" w:lineRule="exact"/>
        <w:rPr>
          <w:rFonts w:ascii="Times New Roman" w:cs="Times New Roman" w:eastAsia="Times New Roman" w:hAnsi="Times New Roman"/>
          <w:sz w:val="22"/>
          <w:szCs w:val="22"/>
          <w:color w:val="auto"/>
        </w:rPr>
      </w:pPr>
    </w:p>
    <w:p>
      <w:pPr>
        <w:jc w:val="both"/>
        <w:ind w:firstLine="8"/>
        <w:spacing w:after="0" w:line="248" w:lineRule="auto"/>
        <w:tabs>
          <w:tab w:leader="none" w:pos="38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the parking of vehicles so as to interfere with (x) the ability of others, entitled thereto, to park in the common parking areas, or (y) the use of any driveway, corridor, footwalk, parking area, or other Common Areas; (iv) receive or ship articles of any kind outside of those areas reasonably designated by Landlord; (v) conduct or permit to be conducted any auction, going out of business sale, bankruptcy sale (unless directed by court order), or other similar type sale in or connected with the Premises; (vi) use the name of Landlord, or any of Landlord's affiliates in any publicity, promotion, trailer, press release, advertising, printed, or display materials without Landlord's prior written consent; or (vii) except in connection with Alterations (hereinafter defined) approved by Landlord, cause or permit any hole to be drilled or made in any part of the Building.</w:t>
      </w:r>
    </w:p>
    <w:p>
      <w:pPr>
        <w:spacing w:after="0" w:line="16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4.3MWRA Permit</w:t>
      </w:r>
      <w:r>
        <w:rPr>
          <w:rFonts w:ascii="Times New Roman" w:cs="Times New Roman" w:eastAsia="Times New Roman" w:hAnsi="Times New Roman"/>
          <w:sz w:val="21"/>
          <w:szCs w:val="21"/>
          <w:color w:val="auto"/>
        </w:rPr>
        <w:t>. Landlord shall obtain and maintain with respect to the Common Acid Neutralization Tank,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MWRA waste water discharge permit for the Building. In addition, to the extent required to be obtained by Tenant pursuant to Legal Requirements, Tenant shall establish and maintain with respect to its use of wastewater facilities and discharge to the Common Acid Neutralization Tank, an MWRA waste water discharge program administered by a licensed, qualified individual (which individual may be (i) a third party contractor/consultant approved by Landlord, which approval shall not be unreasonably withheld, or (ii) an employee of Tenant or Tenant's affiliate) in accordance with the requirements of the Massachusetts Water Resources Authority ("</w:t>
      </w:r>
      <w:r>
        <w:rPr>
          <w:rFonts w:ascii="Times New Roman" w:cs="Times New Roman" w:eastAsia="Times New Roman" w:hAnsi="Times New Roman"/>
          <w:sz w:val="21"/>
          <w:szCs w:val="21"/>
          <w:b w:val="1"/>
          <w:bCs w:val="1"/>
          <w:color w:val="auto"/>
        </w:rPr>
        <w:t>MWRA</w:t>
      </w:r>
      <w:r>
        <w:rPr>
          <w:rFonts w:ascii="Times New Roman" w:cs="Times New Roman" w:eastAsia="Times New Roman" w:hAnsi="Times New Roman"/>
          <w:sz w:val="21"/>
          <w:szCs w:val="21"/>
          <w:color w:val="auto"/>
        </w:rPr>
        <w:t>") and any other applicable governmental authority. Tenant shall be solely responsible for all costs incurred in connection with its MWRA waste water discharge, and Tenant shall provide Landlord with such documentation as Landlord may reasonably require evidencing Tenant's compliance with the requirements of (a) the MWRA and any other applicable governmental authority with respect to such chemical safety program and (b) this Section. To the extent required to be obtained by Tenant pursuant to Legal Requirements, Tenant, at its sole cost and expense, shall obtain and maintain during the Term any permit required by the MWRA. Tenant shall not introduce anything into the Common Acid Neutralization Tank serving the Premises, if any (x) in violation of the terms of any MWRA permit or any related permit held by Landlord, (y) in violation of Legal Requirements or (z) that would interfere with the proper functioning of the Common Acid Neutralization Tank.</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4.4Parking and Traffic Demand Management Plan; Site Action Plan</w:t>
      </w:r>
      <w:r>
        <w:rPr>
          <w:rFonts w:ascii="Times New Roman" w:cs="Times New Roman" w:eastAsia="Times New Roman" w:hAnsi="Times New Roman"/>
          <w:sz w:val="22"/>
          <w:szCs w:val="22"/>
          <w:color w:val="auto"/>
        </w:rPr>
        <w:t>. The Property is subject to a Parking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Traffic Demand Management Plan with the City of Cambridge for the Campus, a copy of which is attached hereto as </w:t>
      </w:r>
      <w:r>
        <w:rPr>
          <w:rFonts w:ascii="Times New Roman" w:cs="Times New Roman" w:eastAsia="Times New Roman" w:hAnsi="Times New Roman"/>
          <w:sz w:val="22"/>
          <w:szCs w:val="22"/>
          <w:u w:val="single" w:color="auto"/>
          <w:color w:val="auto"/>
        </w:rPr>
        <w:t>Exhibit 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Initial PTDM</w:t>
      </w:r>
      <w:r>
        <w:rPr>
          <w:rFonts w:ascii="Times New Roman" w:cs="Times New Roman" w:eastAsia="Times New Roman" w:hAnsi="Times New Roman"/>
          <w:sz w:val="22"/>
          <w:szCs w:val="22"/>
          <w:color w:val="auto"/>
        </w:rPr>
        <w:t>"). Tenant agrees, at its sole expense, to comply with the requirements of the Initial PTDM, only insofar as they apply to the Premises and/or Tenant's use and occupancy thereof. In the event that the Initial PTDM is ever modified, supplemented, amended or replaced ("</w:t>
      </w:r>
      <w:r>
        <w:rPr>
          <w:rFonts w:ascii="Times New Roman" w:cs="Times New Roman" w:eastAsia="Times New Roman" w:hAnsi="Times New Roman"/>
          <w:sz w:val="22"/>
          <w:szCs w:val="22"/>
          <w:b w:val="1"/>
          <w:bCs w:val="1"/>
          <w:color w:val="auto"/>
        </w:rPr>
        <w:t>PTDM Modifications</w:t>
      </w:r>
      <w:r>
        <w:rPr>
          <w:rFonts w:ascii="Times New Roman" w:cs="Times New Roman" w:eastAsia="Times New Roman" w:hAnsi="Times New Roman"/>
          <w:sz w:val="22"/>
          <w:szCs w:val="22"/>
          <w:color w:val="auto"/>
        </w:rPr>
        <w:t>"), Tenant agrees, at its sole expense, to comply with the requirements of the PTDM Modifications, only insofar as they apply to the Premises and/or Tenant's use and occupancy thereof. The Parties acknowledge that the Initial PTDM includes requirements that (i) Tenant provide its employees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with a 100% transit subsidy per month in amount up to the federal pre-tax benefit limit and (ii) Landlord charge for parking spaces at the market rate for parking spaces in the Alewife area. Tenant is hereby notified that the Property is subject to a Site Action Plan with the City of Cambridge for Campus in connection with flood risk at the Campus.</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b w:val="1"/>
          <w:bCs w:val="1"/>
          <w:color w:val="auto"/>
        </w:rPr>
        <w:t>4.5Vivarium</w:t>
      </w:r>
      <w:r>
        <w:rPr>
          <w:rFonts w:ascii="Times New Roman" w:cs="Times New Roman" w:eastAsia="Times New Roman" w:hAnsi="Times New Roman"/>
          <w:sz w:val="22"/>
          <w:szCs w:val="22"/>
          <w:color w:val="auto"/>
        </w:rPr>
        <w:t>. Provided that Tenant, at its sole expense, obtains all governmental permits and approvals required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therefor, Tenant shall have the right to install a vivarium in the Premises as part of the Tenant Improvement Work or in accordance with the terms and conditions </w:t>
      </w:r>
      <w:r>
        <w:rPr>
          <w:rFonts w:ascii="Times New Roman" w:cs="Times New Roman" w:eastAsia="Times New Roman" w:hAnsi="Times New Roman"/>
          <w:sz w:val="19"/>
          <w:szCs w:val="19"/>
          <w:color w:val="auto"/>
        </w:rPr>
        <w:t>of Article 11 below. Tenant shall be responsible, at its sole expense, for the operations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vivarium in accordance with all Legal Requirements and with standard industry practices. Without limiting the general application of the foregoing, Tenant shall separately dispose of all waste products from the operation of the vivarium, including, without limitation, dead animals, strictly in accordance with Legal Requirements. Landlord shall have the right, from time to time by written notice to Tenant, to promulgate reasonable rules and regulations with respect to the operation of the vivarium so as to minimize any adverse effects that such operation may have on other occupants of the Building, including without limitation, regulations as to noise mitigation.</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4.6Transportation of Animals</w:t>
      </w:r>
      <w:r>
        <w:rPr>
          <w:rFonts w:ascii="Times New Roman" w:cs="Times New Roman" w:eastAsia="Times New Roman" w:hAnsi="Times New Roman"/>
          <w:sz w:val="22"/>
          <w:szCs w:val="22"/>
          <w:color w:val="auto"/>
        </w:rPr>
        <w:t>. No animals, animal waste, food or supplies relating to the animals maintained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in the animal storage areas of the Premises shall be transported within the Building except as provided in this Section 4.6. Tenant shall use commercially reasonable efforts to minimize the presence of animals, animal waste, food or supplies relating to the animals within the Common Areas between the hours of 11:00 a.m. and 1:00 p.m. At all times that animals are transported within the Common Areas, they shall be transported in an appropriate cage or other container. At no time shall any animals, animal waste, food or supplies relating to the animals be brought into, transported through, or delivered to the lobby of the Building or be transported within the Building in elevators other than the freight elevator.</w:t>
      </w:r>
    </w:p>
    <w:p>
      <w:pPr>
        <w:spacing w:after="0" w:line="176"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RENT; ADDITIONAL RENT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5.1Base Rent; Additional Rent</w:t>
      </w:r>
      <w:r>
        <w:rPr>
          <w:rFonts w:ascii="Times New Roman" w:cs="Times New Roman" w:eastAsia="Times New Roman" w:hAnsi="Times New Roman"/>
          <w:sz w:val="22"/>
          <w:szCs w:val="22"/>
          <w:color w:val="auto"/>
        </w:rPr>
        <w:t>. Commencing as of the Rent Commencement Date and continuing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throughout the remainder of the Term, Tenant shall pay Base Rent to Landlord in equal monthly installments, in advance and without demand on the first day of each month for and with respect to such month. Unless otherwise expressly provided herein, the payment of Base Rent, Additional Rent and other charges reserved and covenanted to be paid under this Lease with respect to the Premises (collectively,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shall commence on the Rent Commencement Date, and shall be prorated for any partial months. Rent shall be payable to Landlord or, if Landlord shall so direct in writing, to Landlord's agent or nominee, in lawful money of the United States which shall be legal tender for payment of all debts and dues, public and private, at the time of payment.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5.2Operating Costs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1" w:lineRule="auto"/>
        <w:tabs>
          <w:tab w:leader="none" w:pos="203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Operating Costs</w:t>
      </w:r>
      <w:r>
        <w:rPr>
          <w:rFonts w:ascii="Times New Roman" w:cs="Times New Roman" w:eastAsia="Times New Roman" w:hAnsi="Times New Roman"/>
          <w:sz w:val="22"/>
          <w:szCs w:val="22"/>
          <w:color w:val="auto"/>
        </w:rPr>
        <w:t>" shall mean all costs incurred and expenditures of whatever nature made by Landlord in the operation, management, repair, replacement, maintenance and insurance (including, without limitation, environmental liability insurance and property insurance on Landlord-supplied leasehold improvements for tenants, but not property insurance on tenants' equipment) of the Property or allocated to the Property, including without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limitation all costs of labor (wages, salaries, fringe benefits, etc.) up to and including the Director of Property Management, however denominated, any costs for utilities supplied to exterior areas and the Common Areas, and any costs for repair and replacements, cleaning and maintenance of exterior areas and the Common Areas (including, without limitation, the Building's share of common expenses under the Condominium Documents and costs of maintaining and operating the exterior common areas and facilities of the Campus allocable to the Building), related equipment, facilities and appurtenances and HVAC equipment, security services, a management fee in the amount of four percent (4%) of gross Building revenues (increased, if applicable, in accordance with Section 5.2(g)), the costs, including, without limitation, a commercially reasonable rental factor, of Landlord's management office for the Property, which management office may be located outside the Property and which may serve other properties in addition to the Property (in which event such costs shall be equitably allocated among the properties served by such office), all costs of applying and reporting for the Building or any part thereof to seek or maintain certification under the U.S. EPA's Energy Star® rating system, the U.S. Green Building Council's Leadership in Energy and Environmental Design (LEED) rating system or a similar system or standard, the cost of operating any amenities in the Property available to all tenants of the Property and any subsidy provided by Landlord for or with respect to any such amenity, and the Annual Charge-Off (as hereinafter defined) with respect to a Permitted Capital Expenditure (as hereinafter defined). For costs and expenditures made by Landlord in connection with the operation, management, repair, replacement, maintenance and insurance of the Building as a whole, Landlord shall make a reasonable allocation thereof between the retail and non-retail portions of the Building, if applicable. To the extent that particular Operating Costs affect only non-retail portions of the Building, Landlord may make a reasonable adjustment to Tenant's Share in order to allocate such Operating Costs only to tenants occupying the non-retail portions of the Building. The allocation of Operating Costs relating to the Common Areas of the Campus shall be made in accordance with the Condominium Documents. Operating Costs shall not include Excluded Costs (hereinafter defined).</w:t>
      </w:r>
    </w:p>
    <w:p>
      <w:pPr>
        <w:spacing w:after="0" w:line="182" w:lineRule="exact"/>
        <w:rPr>
          <w:sz w:val="20"/>
          <w:szCs w:val="20"/>
          <w:color w:val="auto"/>
        </w:rPr>
      </w:pPr>
    </w:p>
    <w:p>
      <w:pPr>
        <w:jc w:val="both"/>
        <w:ind w:firstLine="1505"/>
        <w:spacing w:after="0" w:line="241" w:lineRule="auto"/>
        <w:tabs>
          <w:tab w:leader="none" w:pos="203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Capital Expenditures</w:t>
      </w:r>
      <w:r>
        <w:rPr>
          <w:rFonts w:ascii="Times New Roman" w:cs="Times New Roman" w:eastAsia="Times New Roman" w:hAnsi="Times New Roman"/>
          <w:sz w:val="22"/>
          <w:szCs w:val="22"/>
          <w:color w:val="auto"/>
        </w:rPr>
        <w:t>. Permitted Capital Expenditures (as hereinafter defined) shall only be included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Operating Costs for each fiscal year during the Term to the extent of the Annual Charge-Off, as hereinafter defined, for such fiscal year with respect to such capital expenditure. Operating Costs shall not include any Annual Charge-Off with respect to Excluded Costs, as hereinafter defined. For the purposes hereof:</w:t>
      </w:r>
    </w:p>
    <w:p>
      <w:pPr>
        <w:spacing w:after="0" w:line="171" w:lineRule="exact"/>
        <w:rPr>
          <w:rFonts w:ascii="Times New Roman" w:cs="Times New Roman" w:eastAsia="Times New Roman" w:hAnsi="Times New Roman"/>
          <w:sz w:val="22"/>
          <w:szCs w:val="22"/>
          <w:color w:val="auto"/>
        </w:rPr>
      </w:pPr>
    </w:p>
    <w:p>
      <w:pPr>
        <w:jc w:val="both"/>
        <w:ind w:firstLine="2254"/>
        <w:spacing w:after="0" w:line="241" w:lineRule="auto"/>
        <w:tabs>
          <w:tab w:leader="none" w:pos="254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Charge-Off</w:t>
      </w:r>
      <w:r>
        <w:rPr>
          <w:rFonts w:ascii="Times New Roman" w:cs="Times New Roman" w:eastAsia="Times New Roman" w:hAnsi="Times New Roman"/>
          <w:sz w:val="22"/>
          <w:szCs w:val="22"/>
          <w:color w:val="auto"/>
        </w:rPr>
        <w:t>" means the annual amount of principal and interest payments which would be required to repay a loan in equal monthly installments over the Useful Life, as defined below, of the capital item in question on a direct reduction basis at an annual interest rate equal to the Capital Interest Rate, as defined below, where the initial principal balance is the cost of the capital item in question.</w:t>
      </w:r>
    </w:p>
    <w:p>
      <w:pPr>
        <w:spacing w:after="0" w:line="171" w:lineRule="exact"/>
        <w:rPr>
          <w:rFonts w:ascii="Times New Roman" w:cs="Times New Roman" w:eastAsia="Times New Roman" w:hAnsi="Times New Roman"/>
          <w:sz w:val="22"/>
          <w:szCs w:val="22"/>
          <w:color w:val="auto"/>
        </w:rPr>
      </w:pPr>
    </w:p>
    <w:p>
      <w:pPr>
        <w:ind w:firstLine="2254"/>
        <w:spacing w:after="0" w:line="262" w:lineRule="auto"/>
        <w:tabs>
          <w:tab w:leader="none" w:pos="254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Useful Life</w:t>
      </w:r>
      <w:r>
        <w:rPr>
          <w:rFonts w:ascii="Times New Roman" w:cs="Times New Roman" w:eastAsia="Times New Roman" w:hAnsi="Times New Roman"/>
          <w:sz w:val="22"/>
          <w:szCs w:val="22"/>
          <w:color w:val="auto"/>
        </w:rPr>
        <w:t>" shall be reasonably determined by Landlord in accordance with generally accepted accounting principles and practices in effect at the time of acquisition of the capital item.</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b w:val="1"/>
          <w:bCs w:val="1"/>
          <w:color w:val="auto"/>
        </w:rPr>
        <w:t>Capital Interest Rate</w:t>
      </w:r>
      <w:r>
        <w:rPr>
          <w:rFonts w:ascii="Times New Roman" w:cs="Times New Roman" w:eastAsia="Times New Roman" w:hAnsi="Times New Roman"/>
          <w:sz w:val="22"/>
          <w:szCs w:val="22"/>
          <w:color w:val="auto"/>
        </w:rPr>
        <w:t>" shall be defined as an annual rate of either one percentage point over the</w:t>
      </w:r>
    </w:p>
    <w:p>
      <w:pPr>
        <w:spacing w:after="0" w:line="18" w:lineRule="exact"/>
        <w:rPr>
          <w:sz w:val="20"/>
          <w:szCs w:val="20"/>
          <w:color w:val="auto"/>
        </w:rPr>
      </w:pPr>
    </w:p>
    <w:p>
      <w:pPr>
        <w:jc w:val="both"/>
        <w:ind w:firstLine="8"/>
        <w:spacing w:after="0" w:line="235" w:lineRule="auto"/>
        <w:tabs>
          <w:tab w:leader="none" w:pos="3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bond rate (Standard &amp; Poor's corporate composite or, if unavailable, its equivalent) as reported in the financial press at the time the capital expenditure is made or, if the capital item is acquired through third-party financing, then the actual (including fluctuating) rate paid by Landlord in financing the acquisition of such capital item.</w:t>
      </w:r>
    </w:p>
    <w:p>
      <w:pPr>
        <w:spacing w:after="0" w:line="17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Costs</w:t>
      </w:r>
      <w:r>
        <w:rPr>
          <w:rFonts w:ascii="Times New Roman" w:cs="Times New Roman" w:eastAsia="Times New Roman" w:hAnsi="Times New Roman"/>
          <w:sz w:val="22"/>
          <w:szCs w:val="22"/>
          <w:color w:val="auto"/>
        </w:rPr>
        <w:t xml:space="preserve">" shall be defined as (i) any fixed or percentage ground rent payable to any ground lessor, or any mortgage charges (including interest, principal, points and fees); (ii) brokerage commissions; (iii) salaries of executives and owners not directly employed in the management/operation of the Property; (iv) the cost of work done by Landlord for a particular tenant; (v) the cost of items which, by generally accepted accounting principles, would be capitalized on the books of Landlord or are otherwise not properly chargeable against income, except to the extent such capital item is (A) required by any Legal Requirements, (B) reasonably projected to reduce Operating Costs, or (C) reasonably expected to improve the management and/or operation of the Building; (vi) the costs of Landlord's Work and any contributions made by Landlord to any tenant of the Property in connection with the build-out of its premises; (vii) franchise or income taxes imposed on Landlord; (viii) costs paid directly by individual tenants to suppliers, including tenant electricity, telephone and other utility costs; (ix) increases in premiums for insurance when such increase is caused by the use of the Building by Landlord or any other tenant of the Building; (x) depreciation of the Building; (xi) costs relating to maintaining Landlord's existence as a corporation, partnership or other entity; (xii) advertising and other fees and costs incurred in procuring tenants; (xiii) the cost of any items for which Landlord is reimbursed by insurance, condemnation awards, refund, rebate or otherwise, and any expenses for repairs or maintenance to the extent covered by warranties, guaranties and service contracts; and </w:t>
      </w:r>
      <w:r>
        <w:rPr>
          <w:rFonts w:ascii="Times New Roman" w:cs="Times New Roman" w:eastAsia="Times New Roman" w:hAnsi="Times New Roman"/>
          <w:sz w:val="17"/>
          <w:szCs w:val="17"/>
          <w:color w:val="auto"/>
        </w:rPr>
        <w:t>(xiv) costs</w:t>
      </w:r>
      <w:r>
        <w:rPr>
          <w:rFonts w:ascii="Times New Roman" w:cs="Times New Roman" w:eastAsia="Times New Roman" w:hAnsi="Times New Roman"/>
          <w:sz w:val="22"/>
          <w:szCs w:val="22"/>
          <w:color w:val="auto"/>
        </w:rPr>
        <w:t xml:space="preserve"> incurred in connection with any disputes between Landlord and its employees, between Landlord and Building management, or between Landlord and other tenants or occupants, (xv) Taxes, (xvi) the cost of acquiring sculptures, paintings or other art, and (xvii) the cost of remediating Hazardous Materials from the Building other than Included Hazardous Materials, as hereinafter defined; "</w:t>
      </w:r>
      <w:r>
        <w:rPr>
          <w:rFonts w:ascii="Times New Roman" w:cs="Times New Roman" w:eastAsia="Times New Roman" w:hAnsi="Times New Roman"/>
          <w:sz w:val="22"/>
          <w:szCs w:val="22"/>
          <w:b w:val="1"/>
          <w:bCs w:val="1"/>
          <w:color w:val="auto"/>
        </w:rPr>
        <w:t>Included Hazardous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shall be defined as all Hazardous Materials, other than: (A) any material or substance located in the Building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which, as of the Execution Date, is not considered under then existing Legal Requirements, to be Hazardous Material, but which is subsequently determined to be a Hazardous Material by reason of a Legal Requirement which first becomes effective after the Execution Date of this Lease, and(B) any material or substance that is introduced to the Building after the Execution Date which, when introduced to the Building, is not then (i.e., at the time of introduction to the Building) considered, as a matter of any Legal Requirement, to be a Hazardous Material, but which is subsequently determined to be a Hazardous Material by reason of Legal Requirements which first becomes effective after the date of introduction of such material or substance to the Building.</w:t>
      </w:r>
    </w:p>
    <w:p>
      <w:pPr>
        <w:spacing w:after="0" w:line="177" w:lineRule="exact"/>
        <w:rPr>
          <w:rFonts w:ascii="Times New Roman" w:cs="Times New Roman" w:eastAsia="Times New Roman" w:hAnsi="Times New Roman"/>
          <w:sz w:val="22"/>
          <w:szCs w:val="22"/>
          <w:color w:val="auto"/>
        </w:rPr>
      </w:pPr>
    </w:p>
    <w:p>
      <w:pPr>
        <w:jc w:val="both"/>
        <w:ind w:firstLine="1505"/>
        <w:spacing w:after="0" w:line="250" w:lineRule="auto"/>
        <w:tabs>
          <w:tab w:leader="none" w:pos="203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 of Operating Costs</w:t>
      </w:r>
      <w:r>
        <w:rPr>
          <w:rFonts w:ascii="Times New Roman" w:cs="Times New Roman" w:eastAsia="Times New Roman" w:hAnsi="Times New Roman"/>
          <w:sz w:val="21"/>
          <w:szCs w:val="21"/>
          <w:color w:val="auto"/>
        </w:rPr>
        <w:t>. Commencing as of the Term Commencement Date and continuing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thereafter throughout the remainder of the Term of the Lease, Tenant shall pay to Landlord, as Additional Rent, Tenant's Share of Operating Costs. Landlord may make a good faith estimate of Tenant's Share of Operating Costs for any fiscal year or part thereof during the Term, and Tenant shall pay to Landlord, on the Term Commencement Date and on the first (1st) day of each calendar month thereafter, an amount equal to Tenant's Share of Operating Costs for such fiscal year and/or part thereof divided by the number of months therein. Landlord may estimate and re-estimate Tenant's Share of Operating Costs and deliver a copy of</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estimate or re-estimate to Tenant. Thereafter, the monthly installments of Tenant's Share of Operating Costs shall be appropriately adjusted in accordance with the estimations so that, by the end of the fiscal year in question, Tenant shall have paid all of Tenant's Share of Operating Costs as estimated by Landlord. Any amounts paid based on such an estimate shall be subject to adjustment as herein provided when actual Operating Costs are available for each fiscal year. As of the Execution Date, the Property's fiscal year is January 1 - December 31.</w:t>
      </w:r>
    </w:p>
    <w:p>
      <w:pPr>
        <w:spacing w:after="0" w:line="173" w:lineRule="exact"/>
        <w:rPr>
          <w:sz w:val="20"/>
          <w:szCs w:val="20"/>
          <w:color w:val="auto"/>
        </w:rPr>
      </w:pPr>
    </w:p>
    <w:p>
      <w:pPr>
        <w:jc w:val="both"/>
        <w:ind w:firstLine="1505"/>
        <w:spacing w:after="0" w:line="233"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Reconciliation</w:t>
      </w:r>
      <w:r>
        <w:rPr>
          <w:rFonts w:ascii="Times New Roman" w:cs="Times New Roman" w:eastAsia="Times New Roman" w:hAnsi="Times New Roman"/>
          <w:sz w:val="22"/>
          <w:szCs w:val="22"/>
          <w:color w:val="auto"/>
        </w:rPr>
        <w:t>. Landlord shall, within one hundred twenty (120) days after the end of each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deliver to Tenant a reasonably detailed statement of the actual amount of Operating Costs for such fiscal year ("</w:t>
      </w:r>
      <w:r>
        <w:rPr>
          <w:rFonts w:ascii="Times New Roman" w:cs="Times New Roman" w:eastAsia="Times New Roman" w:hAnsi="Times New Roman"/>
          <w:sz w:val="22"/>
          <w:szCs w:val="22"/>
          <w:b w:val="1"/>
          <w:bCs w:val="1"/>
          <w:color w:val="auto"/>
        </w:rPr>
        <w:t>Year 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Failure of Landlord to provide the Year End Statement within the time prescribed shall not relieve Tenant from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hereunder. If the total of such monthly remittances on account of any fiscal year is greater than Tenant's Share of Operating Costs actually incurred for such fiscal year, then, provided no Event of Default has occurred nor any event which, with the passage of time and/or the giving of notice would constitute an Event of Default, Tenant may credit the difference against the next installment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Operating Costs actually incurred for such fiscal year, Tenant shall pay the difference to Landlord, as Additional Rent hereunder, within thirty (30) days of Tenant's receipt of an invoice therefor. Landlord's estimate of Operating Costs for the next fiscal year shall be based upon the Operating Costs actually incurred for the prior fiscal year as reflected in the Year- End Statement plus a reasonable adjustment based upon estimated increases in Operating Costs. The provisions of this Section 5.2(e) shall survive the expiration or earlier termination of this Lease.</w:t>
      </w:r>
    </w:p>
    <w:p>
      <w:pPr>
        <w:spacing w:after="0" w:line="17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 Years</w:t>
      </w:r>
      <w:r>
        <w:rPr>
          <w:rFonts w:ascii="Times New Roman" w:cs="Times New Roman" w:eastAsia="Times New Roman" w:hAnsi="Times New Roman"/>
          <w:sz w:val="22"/>
          <w:szCs w:val="22"/>
          <w:color w:val="auto"/>
        </w:rPr>
        <w:t>. If the Term Commencement Date or the Expiration Date occurs in the middle of a calendar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 Tenant shall be liable for only that portion of the Operating Costs with respect to such calendar year within the Term.</w:t>
      </w:r>
    </w:p>
    <w:p>
      <w:pPr>
        <w:spacing w:after="0" w:line="14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Gross-Up</w:t>
      </w:r>
      <w:r>
        <w:rPr>
          <w:rFonts w:ascii="Times New Roman" w:cs="Times New Roman" w:eastAsia="Times New Roman" w:hAnsi="Times New Roman"/>
          <w:sz w:val="22"/>
          <w:szCs w:val="22"/>
          <w:color w:val="auto"/>
        </w:rPr>
        <w:t>. If, during any fiscal year, less than 95% of the Building is occupied by tenants or if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 not supplying all tenants with the services being supplied to Tenant hereunder, actual Operating Costs incurred shall be reasonably extrapolated by Landlord on an item-by-item basis to the reasonable Operating Costs that would have been incurred if the Building was 95% occupied and such services were being supplied to all tenants, and such extrapolated Operating Costs shall, for all purposes hereof, be deemed to be the Operating Costs for such fiscal year. This "gross up" treatment shall be applied only with respect to variable Operating Costs arising from services provided to Common Areas or to space in the Building being occupied by tenants (which services are not provided to vacant space or may be provided only to some tenants) in order to allocate equitably such variable Operating Costs to the tenants receiving the benefits thereof.</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5.3Taxes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shall mean the real estate taxes and other taxes, levies and assessments imposed upon the Unit of the Condominium in which the Building and the Land are located (the "</w:t>
      </w:r>
      <w:r>
        <w:rPr>
          <w:rFonts w:ascii="Times New Roman" w:cs="Times New Roman" w:eastAsia="Times New Roman" w:hAnsi="Times New Roman"/>
          <w:sz w:val="22"/>
          <w:szCs w:val="22"/>
          <w:b w:val="1"/>
          <w:bCs w:val="1"/>
          <w:color w:val="auto"/>
        </w:rPr>
        <w:t>Unit</w:t>
      </w:r>
      <w:r>
        <w:rPr>
          <w:rFonts w:ascii="Times New Roman" w:cs="Times New Roman" w:eastAsia="Times New Roman" w:hAnsi="Times New Roman"/>
          <w:sz w:val="22"/>
          <w:szCs w:val="22"/>
          <w:color w:val="auto"/>
        </w:rPr>
        <w:t>") and upon any personal property of Landlord used in the operation thereof, or on Landlord's interest therein or such personal property; charges, fees and assessments for transit, housing, police, fire or other services or purported benefits to the Building and the Land (including without limitation any community preservation assessments); service or user payments in lieu of taxes; and any and all other taxes, levies, betterments, assessments and charges arising from the ownership, leasing, operation, use or occupancy of the Building and the Land or based upon rentals derived therefrom, which are or shall be imposed by federal, state, county, municipal or other governmental authorities. Taxes shall not include any inheritance, estate, succession, gift, franchise, rental, income or profit tax, capital stock tax, capital levy or excise, or any income taxes arising out of or related to the ownership and operation of the Unit,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Unit were the only real estate owned by Landlord. "Taxes" shall also include reasonable expenses (including without limitation legal and consultant fees) of tax abatement or other proceedings contesting assessments or levies.</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Prior to the fiscal year in which the Unit has been created and assessed (the "</w:t>
      </w:r>
      <w:r>
        <w:rPr>
          <w:rFonts w:ascii="Times New Roman" w:cs="Times New Roman" w:eastAsia="Times New Roman" w:hAnsi="Times New Roman"/>
          <w:sz w:val="22"/>
          <w:szCs w:val="22"/>
          <w:b w:val="1"/>
          <w:bCs w:val="1"/>
          <w:color w:val="auto"/>
        </w:rPr>
        <w:t>Applicable Fiscal Year</w:t>
      </w:r>
      <w:r>
        <w:rPr>
          <w:rFonts w:ascii="Times New Roman" w:cs="Times New Roman" w:eastAsia="Times New Roman" w:hAnsi="Times New Roman"/>
          <w:sz w:val="22"/>
          <w:szCs w:val="22"/>
          <w:color w:val="auto"/>
        </w:rPr>
        <w:t>"), Landlord shall allocate Taxes which are incurred with respect to the Common Areas of the Campus on a reasonable basis. From and after substantial completion of any occupiable improvements constructed as part of a Future Development, if such improvements are not separately assessed, Landlord shall reasonably allocate Taxes between the Building and such improvements and the land area associated with the same. From and after the Applicable Fiscal Year, such allocation shall be effected based upon the Taxes payable by Landlord with respect to the unit in the Condominium in which the Property is located.</w:t>
      </w:r>
    </w:p>
    <w:p>
      <w:pPr>
        <w:spacing w:after="0" w:line="175" w:lineRule="exact"/>
        <w:rPr>
          <w:sz w:val="20"/>
          <w:szCs w:val="20"/>
          <w:color w:val="auto"/>
        </w:rPr>
      </w:pPr>
    </w:p>
    <w:p>
      <w:pPr>
        <w:jc w:val="both"/>
        <w:ind w:right="20" w:firstLine="1505"/>
        <w:spacing w:after="0" w:line="246"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Period</w:t>
      </w:r>
      <w:r>
        <w:rPr>
          <w:rFonts w:ascii="Times New Roman" w:cs="Times New Roman" w:eastAsia="Times New Roman" w:hAnsi="Times New Roman"/>
          <w:sz w:val="22"/>
          <w:szCs w:val="22"/>
          <w:color w:val="auto"/>
        </w:rPr>
        <w:t>" shall be any fiscal/tax period in respect of which Taxes are due and payable to the appropriate governmental taxing authority (i.e., as mandated by the governmental taxing authority), any portion of which period occurs during the Term of this Lease.</w:t>
      </w:r>
    </w:p>
    <w:p>
      <w:pPr>
        <w:spacing w:after="0" w:line="167"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of Taxes</w:t>
      </w:r>
      <w:r>
        <w:rPr>
          <w:rFonts w:ascii="Times New Roman" w:cs="Times New Roman" w:eastAsia="Times New Roman" w:hAnsi="Times New Roman"/>
          <w:sz w:val="22"/>
          <w:szCs w:val="22"/>
          <w:color w:val="auto"/>
        </w:rPr>
        <w:t>. Commencing as of the Term Commencement Date and continuing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throughout the remainder of the Term of the Lease, Tenant shall pay to Landlord, as Additional Rent, Tenant's Share of Taxes. Landlord may make a good faith estimate of the Taxes to be due by Tenant for any Tax Period or part thereof during the Term, and Tenant shall pay to Landlord, on the Term Commencement Date and on the first (1st) day of each calendar month thereafter, an amount equal to Tenant's Share of Taxes for such Tax Period or part thereof divided by the number of months therein. Landlord may estimate and re-estimate Tenant's Share of Taxes and deliver a copy of the estimate or re-estimate to Tenant. Thereafter, the monthly installments of Tenant's Share of Taxes shall be appropriately adjusted in accordance with the estimations so that, by the end of the Tax Period in question, Tenant shall have paid all of Tenant's Share of Taxes as estimated by Landlord. Any amounts paid based on such an estimate shall be subject to adjustment as herein provided when actual Taxes are available for each Tax Period. If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total of such monthly remittances is greater than Tenant's Share of Taxes actually due for such Tax Period, then, provided no Event of Default has occurred nor any event which, with the passage of time and/or the giving of notice would constitute an Event of Default, Tenant may credit the difference against the next installment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Taxes actually due for such Tax Period, Tenant shall pay the difference to Landlord, as Additional Rent hereunder, within ten (10) days of Tenant's receipt of an invoice therefor. Landlord's estimate for the next Tax Period shall be based upon actual Taxes for the prior Tax Period plus a reasonable adjustment based upon estimated increases in Taxes. The provisions of this Section 5.3(c) shall survive the expiration or earlier termination of this Lease.</w:t>
      </w:r>
    </w:p>
    <w:p>
      <w:pPr>
        <w:spacing w:after="0" w:line="175" w:lineRule="exact"/>
        <w:rPr>
          <w:sz w:val="20"/>
          <w:szCs w:val="20"/>
          <w:color w:val="auto"/>
        </w:rPr>
      </w:pPr>
    </w:p>
    <w:p>
      <w:pPr>
        <w:jc w:val="both"/>
        <w:ind w:firstLine="1505"/>
        <w:spacing w:after="0" w:line="238"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Abatements</w:t>
      </w:r>
      <w:r>
        <w:rPr>
          <w:rFonts w:ascii="Times New Roman" w:cs="Times New Roman" w:eastAsia="Times New Roman" w:hAnsi="Times New Roman"/>
          <w:sz w:val="22"/>
          <w:szCs w:val="22"/>
          <w:color w:val="auto"/>
        </w:rPr>
        <w:t>. Appropriate credit against Taxes shall be given for any refund obtained by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reduction in any Taxes by the assessors or the administrative, judicial or other governmental agency responsible therefor after deduction of Landlord's expenditures for reasonable legal fees and for other reasonable expenses incurred in obtaining the Tax refund. Upon request by Tenant, Landlord agrees to consult with Tenant in connection with tax protest filings and proceedings undertaken by Landlord to obtain a Tax refund or abatement.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 Years</w:t>
      </w:r>
      <w:r>
        <w:rPr>
          <w:rFonts w:ascii="Times New Roman" w:cs="Times New Roman" w:eastAsia="Times New Roman" w:hAnsi="Times New Roman"/>
          <w:sz w:val="22"/>
          <w:szCs w:val="22"/>
          <w:color w:val="auto"/>
        </w:rPr>
        <w:t>. If the Term Commencement Date or the Expiration Date occurs in the middle of a Tax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Tenant shall be liable for only that portion of the Taxes, as the case may be, with respect to such Tax Period within the Term.</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5.4Late Payments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of Rent due hereunder not paid when due shall bear interest for each month or fraction thereof from the due date until paid in full at the annual rate of eighteen percent (18%), or at any applicable lesser maximum legally permissible rate for debts of this nature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Additionally, if Tenant fails to make any payment within five (5) days after the due date therefor, Landlord may charge Tenant a fee, which shall constitute liquidated damages, equal to three percent (3%) of any such late payment, provided, however, Landlord shall waive the late fee once in any twelve-(12)-month period in the event Tenant shall pay such late payment within five (5) days after notice from Landlord.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Tenant payment check to Landlord that is returned by a bank for any reason, Tenant shall pay a returned check charge equal to the amount as shall be customarily charged by Landlord's bank at the time.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85" w:lineRule="exact"/>
        <w:rPr>
          <w:sz w:val="20"/>
          <w:szCs w:val="20"/>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paid by Tenant to Landlord shall be applied to Tenant's account in the following order: first, to any unpaid Additional Rent, including without limitation late charges, returned check charges, legal fees and/or court costs chargeable to Tenant hereunder; and then to unpaid Base Rent.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late charge referenced in Section 5.4(b) represents a fair and reasonable estimate of the costs that Landlord will incur by reason of any late payment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during any six (6) month period shall be more than five (5) days delinquent in the payment of any installment of Rent on three (3) or more occasions, then, notwithstanding anything herein to the contrary, Landlord may, by written notice to Tenant, elect to require Tenant to pay all Base Rent and Additional Rent on account of Operating Costs and Taxes quarterly in advance. Such right shall be in addition to and not in lieu of any other right or remedy available to Landlord hereunder or at law on account of Tenant's default hereunder.</w:t>
      </w:r>
    </w:p>
    <w:p>
      <w:pPr>
        <w:spacing w:after="0" w:line="17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b w:val="1"/>
          <w:bCs w:val="1"/>
          <w:color w:val="auto"/>
        </w:rPr>
        <w:t>5.5No Offset; Independent Covenants; Waiver</w:t>
      </w:r>
      <w:r>
        <w:rPr>
          <w:rFonts w:ascii="Times New Roman" w:cs="Times New Roman" w:eastAsia="Times New Roman" w:hAnsi="Times New Roman"/>
          <w:sz w:val="21"/>
          <w:szCs w:val="21"/>
          <w:color w:val="auto"/>
        </w:rPr>
        <w:t>. Rent shall be paid without notice or demand, and without setoff,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counterclaim, defense, abatement, suspension, deferment, reduction or deduction, except as expressly provided herein. </w:t>
      </w:r>
      <w:r>
        <w:rPr>
          <w:rFonts w:ascii="Times New Roman" w:cs="Times New Roman" w:eastAsia="Times New Roman" w:hAnsi="Times New Roman"/>
          <w:sz w:val="21"/>
          <w:szCs w:val="21"/>
          <w:b w:val="1"/>
          <w:bCs w:val="1"/>
          <w:color w:val="auto"/>
        </w:rPr>
        <w:t>TENANT</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WAIVES ALL RIGHTS (I) TO ANY ABATEMENT, SUSPENSION, DEFERMENT, REDUCTION OR DEDUCTION OF OR FROM RENT, AND (II) TO QUIT, TERMINATE OR SURRENDER THIS LEASE OR THE PREMISES OR ANY PART THEREOF, EXCEPT AS EXPRESSLY PROVIDED HEREIN. TENANT HEREBY ACKNOWLEDGES AND AGREES THAT THE OBLIGATIONS OF TENANT HEREUNDER SHALL BE SEPARATE AND INDEPENDENT COVENANTS AND AGREEMENTS, THAT RENT SHALL CONTINUE TO BE PAYABLE IN ALL EVENTS AND THAT THE OBLIGATIONS OF TENANT HEREUNDER SHALL CONTINUE UNAFFECTED, UNLESS THE REQUIREMENT TO PAY OR PERFORM THE SAME SHALL HAVE BEEN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 HEREIN ARE MADE WITH FULL KNOWLEDGE OF THE HOLDING IN </w:t>
      </w:r>
      <w:r>
        <w:rPr>
          <w:rFonts w:ascii="Times New Roman" w:cs="Times New Roman" w:eastAsia="Times New Roman" w:hAnsi="Times New Roman"/>
          <w:sz w:val="22"/>
          <w:szCs w:val="22"/>
          <w:b w:val="1"/>
          <w:bCs w:val="1"/>
          <w:u w:val="single" w:color="auto"/>
          <w:color w:val="auto"/>
        </w:rPr>
        <w:t>WESSON V. LEONE ENTERPRISES, INC.</w:t>
      </w:r>
      <w:r>
        <w:rPr>
          <w:rFonts w:ascii="Times New Roman" w:cs="Times New Roman" w:eastAsia="Times New Roman" w:hAnsi="Times New Roman"/>
          <w:sz w:val="22"/>
          <w:szCs w:val="22"/>
          <w:b w:val="1"/>
          <w:bCs w:val="1"/>
          <w:color w:val="auto"/>
        </w:rPr>
        <w:t>, 437 MASS. 708 (2002). SUCH ACKNOWLEDGEMENTS, AGREEMENTS AND WAIVERS BY TENANT ARE A MATERIAL INDUCEMENT TO LANDLORD ENTERING INTO THIS LEASE.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5.6Survival</w:t>
      </w:r>
      <w:r>
        <w:rPr>
          <w:rFonts w:ascii="Times New Roman" w:cs="Times New Roman" w:eastAsia="Times New Roman" w:hAnsi="Times New Roman"/>
          <w:sz w:val="22"/>
          <w:szCs w:val="22"/>
          <w:color w:val="auto"/>
        </w:rPr>
        <w:t>. Any obligations under this Section 5 which shall not have been paid at the expiration or earlier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Term shall survive such expiration or earlier termination and shall be paid when and as the amount of same shall be determined and be due.</w:t>
      </w:r>
    </w:p>
    <w:p>
      <w:pPr>
        <w:spacing w:after="0" w:line="167" w:lineRule="exact"/>
        <w:rPr>
          <w:sz w:val="20"/>
          <w:szCs w:val="20"/>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INTENTIONALLY OMITTED.</w:t>
      </w:r>
    </w:p>
    <w:p>
      <w:pPr>
        <w:spacing w:after="0" w:line="206"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LETTER OF CREDIT</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7.1Amount</w:t>
      </w:r>
      <w:r>
        <w:rPr>
          <w:rFonts w:ascii="Times New Roman" w:cs="Times New Roman" w:eastAsia="Times New Roman" w:hAnsi="Times New Roman"/>
          <w:sz w:val="22"/>
          <w:szCs w:val="22"/>
          <w:color w:val="auto"/>
        </w:rPr>
        <w:t>. Contemporaneously with the execution of this Lease, Tenant shall deliver to Landlord an irrevocable letter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credit (the "</w:t>
      </w:r>
      <w:r>
        <w:rPr>
          <w:rFonts w:ascii="Times New Roman" w:cs="Times New Roman" w:eastAsia="Times New Roman" w:hAnsi="Times New Roman"/>
          <w:sz w:val="22"/>
          <w:szCs w:val="22"/>
          <w:b w:val="1"/>
          <w:bCs w:val="1"/>
          <w:color w:val="auto"/>
        </w:rPr>
        <w:t>Letter of Credit</w:t>
      </w:r>
      <w:r>
        <w:rPr>
          <w:rFonts w:ascii="Times New Roman" w:cs="Times New Roman" w:eastAsia="Times New Roman" w:hAnsi="Times New Roman"/>
          <w:sz w:val="22"/>
          <w:szCs w:val="22"/>
          <w:color w:val="auto"/>
        </w:rPr>
        <w:t>") that shall (a) be in the initial amount of $6,265,585.53 (the "</w:t>
      </w:r>
      <w:r>
        <w:rPr>
          <w:rFonts w:ascii="Times New Roman" w:cs="Times New Roman" w:eastAsia="Times New Roman" w:hAnsi="Times New Roman"/>
          <w:sz w:val="22"/>
          <w:szCs w:val="22"/>
          <w:b w:val="1"/>
          <w:bCs w:val="1"/>
          <w:color w:val="auto"/>
        </w:rPr>
        <w:t>Letter of Credit Amount</w:t>
      </w:r>
      <w:r>
        <w:rPr>
          <w:rFonts w:ascii="Times New Roman" w:cs="Times New Roman" w:eastAsia="Times New Roman" w:hAnsi="Times New Roman"/>
          <w:sz w:val="22"/>
          <w:szCs w:val="22"/>
          <w:color w:val="auto"/>
        </w:rPr>
        <w:t xml:space="preserve">"); (b) be issued on the form attached hereto as </w:t>
      </w:r>
      <w:r>
        <w:rPr>
          <w:rFonts w:ascii="Times New Roman" w:cs="Times New Roman" w:eastAsia="Times New Roman" w:hAnsi="Times New Roman"/>
          <w:sz w:val="22"/>
          <w:szCs w:val="22"/>
          <w:u w:val="single" w:color="auto"/>
          <w:color w:val="auto"/>
        </w:rPr>
        <w:t>Exhibit 5</w:t>
      </w:r>
      <w:r>
        <w:rPr>
          <w:rFonts w:ascii="Times New Roman" w:cs="Times New Roman" w:eastAsia="Times New Roman" w:hAnsi="Times New Roman"/>
          <w:sz w:val="22"/>
          <w:szCs w:val="22"/>
          <w:color w:val="auto"/>
        </w:rPr>
        <w:t>; (c) name Landlord as its beneficiary; (d) be drawn on an FDIC insured financial institution reasonably satisfactory to Landlord ("</w:t>
      </w:r>
      <w:r>
        <w:rPr>
          <w:rFonts w:ascii="Times New Roman" w:cs="Times New Roman" w:eastAsia="Times New Roman" w:hAnsi="Times New Roman"/>
          <w:sz w:val="22"/>
          <w:szCs w:val="22"/>
          <w:b w:val="1"/>
          <w:bCs w:val="1"/>
          <w:color w:val="auto"/>
        </w:rPr>
        <w:t>Approved Issuer</w:t>
      </w:r>
      <w:r>
        <w:rPr>
          <w:rFonts w:ascii="Times New Roman" w:cs="Times New Roman" w:eastAsia="Times New Roman" w:hAnsi="Times New Roman"/>
          <w:sz w:val="22"/>
          <w:szCs w:val="22"/>
          <w:color w:val="auto"/>
        </w:rPr>
        <w:t>") that both (x) has an office in the greater Boston metropolitan area that will accept presentation of, and pay against, the Letter of Credit and (y) satisfies both the Minimum Rating Agency Threshold and the Minimum Capital Threshold (as those terms are defined below). The "</w:t>
      </w:r>
      <w:r>
        <w:rPr>
          <w:rFonts w:ascii="Times New Roman" w:cs="Times New Roman" w:eastAsia="Times New Roman" w:hAnsi="Times New Roman"/>
          <w:sz w:val="22"/>
          <w:szCs w:val="22"/>
          <w:b w:val="1"/>
          <w:bCs w:val="1"/>
          <w:color w:val="auto"/>
        </w:rPr>
        <w:t>Minimum Rating Agency Threshold</w:t>
      </w:r>
      <w:r>
        <w:rPr>
          <w:rFonts w:ascii="Times New Roman" w:cs="Times New Roman" w:eastAsia="Times New Roman" w:hAnsi="Times New Roman"/>
          <w:sz w:val="22"/>
          <w:szCs w:val="22"/>
          <w:color w:val="auto"/>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Times New Roman" w:cs="Times New Roman" w:eastAsia="Times New Roman" w:hAnsi="Times New Roman"/>
          <w:sz w:val="22"/>
          <w:szCs w:val="22"/>
          <w:b w:val="1"/>
          <w:bCs w:val="1"/>
          <w:color w:val="auto"/>
        </w:rPr>
        <w:t>Minimum Capital Threshold</w:t>
      </w:r>
      <w:r>
        <w:rPr>
          <w:rFonts w:ascii="Times New Roman" w:cs="Times New Roman" w:eastAsia="Times New Roman" w:hAnsi="Times New Roman"/>
          <w:sz w:val="22"/>
          <w:szCs w:val="22"/>
          <w:color w:val="auto"/>
        </w:rPr>
        <w:t>" shall mean that the issuing bank has combined capital, surplus and undivided profits of not less than $10,000,000,000. The Letter of Credit (and any renewals or replacements thereof) shall be for a term of not less than one (1) year. If the issuer of the Letter of Credit gives notice of its election not to renew such Letter of Credit for any additional period, Tenant shall be required to deliver a substitute Letter of Credit satisfying the conditions hereof at least thirty (30) days prior to the expiration of the term of such Letter of Credit. If the issuer of the Letter of Credit fails to satisfy either or both of the Minimum Rating Agency Threshold or the Minimum Capital Threshold, Tenant shall be required to deliver a substitute letter of credit from another issuer reasonably satisfactory to the Landlord and that satisfies both the Minimum Rating Agency Threshold and the Minimum Capital Threshold not later than ten (10) business days after Landlord notifies Tenant of such failure. Tenant agrees that it shall from time to time, as necessary, whether as a result of a draw on the Letter of Credit by Landlord pursuant to the terms hereof or as a result of the expiration of the Letter of Credit then in effect, renew or replace the original and any subsequent Letter of Credit so that a Letter of Credit, in the amount required hereunder, is in effect until a date which is at least sixty (60) days after the Expiration Date. If Tenant fails to furnish such renewal or replacement at least sixty (60) days prior to the stated expiration date of the Letter of Credit then held by Landlord, Landlord may draw upon such Letter of Credit and hold the proceeds thereof (and such proceeds need not be segregated) as a Security Deposit pursuant to the terms of this Article 7. Any renewal or replacement of the original or any subsequent Letter of Credit shall meet the requirements for the original Letter of Credit as set forth above, except that such replacement or renewal shall be issued by an Approved Issuer.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7.2Application of Proceeds of Letter of Credit</w:t>
      </w:r>
      <w:r>
        <w:rPr>
          <w:rFonts w:ascii="Times New Roman" w:cs="Times New Roman" w:eastAsia="Times New Roman" w:hAnsi="Times New Roman"/>
          <w:sz w:val="22"/>
          <w:szCs w:val="22"/>
          <w:color w:val="auto"/>
        </w:rPr>
        <w:t>. Upon an Event of Default, or if any proceeding shall be instituted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ninety (90) days) or if Tenant is adjudged bankrupt or insolvent as a result of any such proceeding, Landlord at its sole option may draw down all or a part of the Letter of Credit. The balance of any Letter of Credit cash proceeds shall be held in accordance with Section 7.5 below. Should the entire Letter of Credit, or any portion thereof, be drawn down by Landlord, Tenant shall, upon the written demand of Landlord, deliver a replacement Letter of Credit in the amount drawn, and Tenant's failure to do so within ten (10) business days after receipt of such written demand shall constitute an additional Event of Default hereunder. The application of all or any part of the cash proceeds of the Letter of Credit to any obligation or default of Tenant under this Lease shall not deprive Landlord of any other rights or remedies Landlord may have nor shall such application by Landlord constitute a waiver by Landlord.</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b w:val="1"/>
          <w:bCs w:val="1"/>
          <w:color w:val="auto"/>
        </w:rPr>
        <w:t>7.3Transfer of Letter of Credit</w:t>
      </w:r>
      <w:r>
        <w:rPr>
          <w:rFonts w:ascii="Times New Roman" w:cs="Times New Roman" w:eastAsia="Times New Roman" w:hAnsi="Times New Roman"/>
          <w:sz w:val="22"/>
          <w:szCs w:val="22"/>
          <w:color w:val="auto"/>
        </w:rPr>
        <w:t>. In the event that Landlord transfers its interest in the Premises, Tenant shall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notice from and at no cost to Landlord, deliver to Landlord an amendment to the Letter of Credit or a replacement Letter of Credit naming Landlord's successor as the beneficiary thereof. If Tenant fails to deliver such amendment or replacement within ten </w:t>
      </w:r>
      <w:r>
        <w:rPr>
          <w:rFonts w:ascii="Times New Roman" w:cs="Times New Roman" w:eastAsia="Times New Roman" w:hAnsi="Times New Roman"/>
          <w:sz w:val="19"/>
          <w:szCs w:val="19"/>
          <w:color w:val="auto"/>
        </w:rPr>
        <w:t>(10) days after written notice from Landlord, Landlord shall have the right to draw down the entire amount of the Letter of Credit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hold the proceeds thereof in accordance with Section 7.5 below.</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7.4Cash Proceeds of Letter of Credit</w:t>
      </w:r>
      <w:r>
        <w:rPr>
          <w:rFonts w:ascii="Times New Roman" w:cs="Times New Roman" w:eastAsia="Times New Roman" w:hAnsi="Times New Roman"/>
          <w:sz w:val="22"/>
          <w:szCs w:val="22"/>
          <w:color w:val="auto"/>
        </w:rPr>
        <w:t>. Landlord shall hold the balance of proceeds remaining after a draw on the Letter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Credit (each hereinafter referred to as the "</w:t>
      </w:r>
      <w:r>
        <w:rPr>
          <w:rFonts w:ascii="Times New Roman" w:cs="Times New Roman" w:eastAsia="Times New Roman" w:hAnsi="Times New Roman"/>
          <w:sz w:val="22"/>
          <w:szCs w:val="22"/>
          <w:b w:val="1"/>
          <w:bCs w:val="1"/>
          <w:color w:val="auto"/>
        </w:rPr>
        <w:t>Security Deposit</w:t>
      </w:r>
      <w:r>
        <w:rPr>
          <w:rFonts w:ascii="Times New Roman" w:cs="Times New Roman" w:eastAsia="Times New Roman" w:hAnsi="Times New Roman"/>
          <w:sz w:val="22"/>
          <w:szCs w:val="22"/>
          <w:color w:val="auto"/>
        </w:rPr>
        <w:t>") as security for Tenant's performance of all its Lease obligations. After an Event of Default, Landlord may apply the Security Deposit, or any part thereof, to Landlord's damages without prejudice to any other Landlord remedy. Landlord has no obligation to pay interest on the Security Deposit and may co-mingle the Security Deposit with Landlord's funds. If Landlord conveys its interest under this Lease, the Security Deposit, or any part not applied previously, may be turned over to the grantee in which case Tenant shall look solely to the grantee for the proper application and return of the Security Deposit.</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7.5Return of Security Deposit or Letter of Credit</w:t>
      </w:r>
      <w:r>
        <w:rPr>
          <w:rFonts w:ascii="Times New Roman" w:cs="Times New Roman" w:eastAsia="Times New Roman" w:hAnsi="Times New Roman"/>
          <w:sz w:val="22"/>
          <w:szCs w:val="22"/>
          <w:color w:val="auto"/>
        </w:rPr>
        <w:t>. Should Tenant comply with all of such terms, covenants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promptly pay all sums payable by Tenant to Landlord hereunder, the Security Deposit and/or Letter of Credit or the remaining proceeds therefrom, as applicable, shall (less any portion thereof which may have been utilized by Landlord to cure any default or applied to any actual damage suffered by Landlord) be returned to Tenant within sixty (60) days after the end of the Term.</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7.6Reduction in Letter of Credit Amount</w:t>
      </w:r>
      <w:r>
        <w:rPr>
          <w:rFonts w:ascii="Times New Roman" w:cs="Times New Roman" w:eastAsia="Times New Roman" w:hAnsi="Times New Roman"/>
          <w:sz w:val="22"/>
          <w:szCs w:val="22"/>
          <w:color w:val="auto"/>
        </w:rPr>
        <w:t>. If Tenant satisfies the Reduction Conditions, as hereinafter defined,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provisions of this Section 7.6, the Letter of Credit Amount shall be reduced to $2,784,704.67 (the "</w:t>
      </w:r>
      <w:r>
        <w:rPr>
          <w:rFonts w:ascii="Times New Roman" w:cs="Times New Roman" w:eastAsia="Times New Roman" w:hAnsi="Times New Roman"/>
          <w:sz w:val="22"/>
          <w:szCs w:val="22"/>
          <w:b w:val="1"/>
          <w:bCs w:val="1"/>
          <w:color w:val="auto"/>
        </w:rPr>
        <w:t>Reduced Letter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 Credit Amount</w:t>
      </w:r>
      <w:r>
        <w:rPr>
          <w:rFonts w:ascii="Times New Roman" w:cs="Times New Roman" w:eastAsia="Times New Roman" w:hAnsi="Times New Roman"/>
          <w:sz w:val="22"/>
          <w:szCs w:val="22"/>
          <w:color w:val="auto"/>
        </w:rPr>
        <w:t>") as of the Reduction Date, as hereinafter defined. For the purposes hereof, the "</w:t>
      </w:r>
      <w:r>
        <w:rPr>
          <w:rFonts w:ascii="Times New Roman" w:cs="Times New Roman" w:eastAsia="Times New Roman" w:hAnsi="Times New Roman"/>
          <w:sz w:val="22"/>
          <w:szCs w:val="22"/>
          <w:b w:val="1"/>
          <w:bCs w:val="1"/>
          <w:color w:val="auto"/>
        </w:rPr>
        <w:t>Reduction Conditions</w:t>
      </w:r>
      <w:r>
        <w:rPr>
          <w:rFonts w:ascii="Times New Roman" w:cs="Times New Roman" w:eastAsia="Times New Roman" w:hAnsi="Times New Roman"/>
          <w:sz w:val="22"/>
          <w:szCs w:val="22"/>
          <w:color w:val="auto"/>
        </w:rPr>
        <w: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be satisfied by Tenant, if all of the following occur: (x) Tenant is in full compliance with Tenant's obligations under the Lease as of the Reduction Date, (y) there has been no Event of Default by Tenant prior to the Reduction Date, and (z) Tenant has a market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capitalization of at least Five Billion and 00/100 Dollars ($5,000,000,000.00) for four (4) consecutive fiscal quarters immediately preceding and as of the Reduction Date, as evidenced by supporting documentation reasonably acceptable to Landlord. The "</w:t>
      </w:r>
      <w:r>
        <w:rPr>
          <w:rFonts w:ascii="Times New Roman" w:cs="Times New Roman" w:eastAsia="Times New Roman" w:hAnsi="Times New Roman"/>
          <w:sz w:val="21"/>
          <w:szCs w:val="21"/>
          <w:b w:val="1"/>
          <w:bCs w:val="1"/>
          <w:color w:val="auto"/>
        </w:rPr>
        <w:t>Reduction Date</w:t>
      </w:r>
      <w:r>
        <w:rPr>
          <w:rFonts w:ascii="Times New Roman" w:cs="Times New Roman" w:eastAsia="Times New Roman" w:hAnsi="Times New Roman"/>
          <w:sz w:val="21"/>
          <w:szCs w:val="21"/>
          <w:color w:val="auto"/>
        </w:rPr>
        <w:t>" means the date that Tenant first satisfies all of the Reduction Conditions, provided, however, that such date shall in no event be earlier than the last day of Rent Year 3. Any such reduction in the Letter of Credit Amount shall be effected within ten (10) business days of Tenant's written request made after the Reduction Date. The reduction in the Letter of Credit Amount may be effected by either, at Tenant's election, Tenant's delivering to Landlord: (i) a new Letter of Credit complying with the provisions of this Section 7, in the Reduced Letter of Credit Amount in exchange for the Letter of Credit which is then being held by Landlord; or (ii) an amendment to the Letter of Credit then being held by Landlord, in a form reasonably satisfactory to Landlord, from the bank issuing such Letter of Credit, reflecting the Reduced Letter of Credit Amount.</w:t>
      </w:r>
    </w:p>
    <w:p>
      <w:pPr>
        <w:spacing w:after="0" w:line="171" w:lineRule="exact"/>
        <w:rPr>
          <w:sz w:val="20"/>
          <w:szCs w:val="20"/>
          <w:color w:val="auto"/>
        </w:rPr>
      </w:pPr>
    </w:p>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INTENTIONALLY OMITTED.</w:t>
      </w:r>
    </w:p>
    <w:p>
      <w:pPr>
        <w:spacing w:after="0" w:line="206" w:lineRule="exact"/>
        <w:rPr>
          <w:rFonts w:ascii="Times New Roman" w:cs="Times New Roman" w:eastAsia="Times New Roman" w:hAnsi="Times New Roman"/>
          <w:sz w:val="22"/>
          <w:szCs w:val="22"/>
          <w:b w:val="1"/>
          <w:bCs w:val="1"/>
          <w:color w:val="auto"/>
        </w:rPr>
      </w:pPr>
    </w:p>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UTILITIES, 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SERVICES</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9.1Electricity</w:t>
      </w:r>
      <w:r>
        <w:rPr>
          <w:rFonts w:ascii="Times New Roman" w:cs="Times New Roman" w:eastAsia="Times New Roman" w:hAnsi="Times New Roman"/>
          <w:sz w:val="22"/>
          <w:szCs w:val="22"/>
          <w:color w:val="auto"/>
        </w:rPr>
        <w:t>. Landlord shall contract with the utility provider for electric service to the Property, including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Commencing on the Term Commencement Date, Tenant shall pay all charges for electricity furnished to the Premises and any equipment exclusively serving the Premises, as Additional Rent, as measured by a submeter, with such metering equipment to be installed as part of the Tenant Improvement Work. At Tenant's request, Landlord shall provide Tenant with reasonable back-up documentation regarding the total charges and the method of allocating the charges to Tenant. Tenant shall, at Tenant's sole cost and expense, maintain and keep in good order, condition and repair the metering equipment used to measure electricity furnished to the Premises and any equipment exclusively serving the same.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9.2Water</w:t>
      </w:r>
      <w:r>
        <w:rPr>
          <w:rFonts w:ascii="Times New Roman" w:cs="Times New Roman" w:eastAsia="Times New Roman" w:hAnsi="Times New Roman"/>
          <w:sz w:val="22"/>
          <w:szCs w:val="22"/>
          <w:color w:val="auto"/>
        </w:rPr>
        <w:t>. Landlord shall contract with the utility provider for water service to the Property, including the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otherwise provided below, the cost of providing water service to the Premises and all other portions of the Building (including, without limitation, the premises of other tenants or occupants of the Building) shall be included in Operating Costs. Notwithstanding the foregoing, if Landlord determines that Tenant is using water in excess of its proportionate share (by floor area) of the total water usage in the Building, Landlord may elect, at Tenant's expense, to furnish and install in a location in or near the Premises metering equipment to measure water furnished to the Premises and any equipment exclusively serving the same. In such event, Tenant shall, within thirty (30) days after Landlord's written demand therefor from time to time, pay to Landlord, as Additional Rent, the full amount of any water service charges attributable to such meter.</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9.3Gas</w:t>
      </w:r>
      <w:r>
        <w:rPr>
          <w:rFonts w:ascii="Times New Roman" w:cs="Times New Roman" w:eastAsia="Times New Roman" w:hAnsi="Times New Roman"/>
          <w:sz w:val="22"/>
          <w:szCs w:val="22"/>
          <w:color w:val="auto"/>
        </w:rPr>
        <w:t>. Landlord shall contract with the utility provider for gas service to the Property, including the Premises. The cost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gas used to serve base building plumbing, mechanical and electrical systems shall be included in the costs reimbursed by Tenant pursuant to Section 9.6 below. If Tenant requires gas service for the operation of Tenant's laboratory equipment in the Premises, Tenant shall pay all charges for gas furnished to the Premises and/or any equipment exclusively serving the Premises as Additional Rent, based, at Landlord's election, (i) on Landlord's reasonable estimate of such gas usage or (ii) on metering or submetering equipment installed by Landlord at Tenant's expense.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9.4Other Utilities</w:t>
      </w:r>
      <w:r>
        <w:rPr>
          <w:rFonts w:ascii="Times New Roman" w:cs="Times New Roman" w:eastAsia="Times New Roman" w:hAnsi="Times New Roman"/>
          <w:sz w:val="22"/>
          <w:szCs w:val="22"/>
          <w:color w:val="auto"/>
        </w:rPr>
        <w:t>. Subject to Landlord's reasonable rules and regulations governing the same, Tenant shall obtain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as and when due, for all other utilities and services consumed in and/or furnished to the Premises, together with all taxes, penalties, surcharges and maintenance charges pertaining thereto.</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9.5Interruption or Curtailment of Utilities</w:t>
      </w:r>
      <w:r>
        <w:rPr>
          <w:rFonts w:ascii="Times New Roman" w:cs="Times New Roman" w:eastAsia="Times New Roman" w:hAnsi="Times New Roman"/>
          <w:sz w:val="22"/>
          <w:szCs w:val="22"/>
          <w:color w:val="auto"/>
        </w:rPr>
        <w:t>. When necessary by reason of accident or emergency, or for repairs,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alterations, replacements or improvements which in the reasonable judgment of Landlord are desirable or necessary to be made, Landlord reserves the right, upon as much prior notice to Tenant as is practicable under the circumstances and no less than twenty-four</w:t>
      </w:r>
    </w:p>
    <w:p>
      <w:pPr>
        <w:spacing w:after="0" w:line="176" w:lineRule="exact"/>
        <w:rPr>
          <w:sz w:val="20"/>
          <w:szCs w:val="20"/>
          <w:color w:val="auto"/>
        </w:rPr>
      </w:pPr>
    </w:p>
    <w:p>
      <w:pPr>
        <w:jc w:val="both"/>
        <w:ind w:firstLine="8"/>
        <w:spacing w:after="0" w:line="236" w:lineRule="auto"/>
        <w:tabs>
          <w:tab w:leader="none" w:pos="417"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hours' notice except in the event of an emergency, to interrupt, curtail, or stop (i) the furnishing of hot and/or cold water, and (ii) the operation of the plumbing and electric systems. Landlord shall exercise reasonable diligence to eliminate the cause of any such interruption, curtailment, stoppage or suspension, but, except as set forth in Section 10.7,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9.6Landlord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Services</w:t>
      </w:r>
      <w:r>
        <w:rPr>
          <w:rFonts w:ascii="Times New Roman" w:cs="Times New Roman" w:eastAsia="Times New Roman" w:hAnsi="Times New Roman"/>
          <w:sz w:val="22"/>
          <w:szCs w:val="22"/>
          <w:color w:val="auto"/>
        </w:rPr>
        <w:t>. Subject to reimbursement pursuant to Section 5.2 above, Landlord shall provide the services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in </w:t>
      </w:r>
      <w:r>
        <w:rPr>
          <w:rFonts w:ascii="Times New Roman" w:cs="Times New Roman" w:eastAsia="Times New Roman" w:hAnsi="Times New Roman"/>
          <w:sz w:val="22"/>
          <w:szCs w:val="22"/>
          <w:u w:val="single" w:color="auto"/>
          <w:color w:val="auto"/>
        </w:rPr>
        <w:t>Exhibit 6</w:t>
      </w:r>
      <w:r>
        <w:rPr>
          <w:rFonts w:ascii="Times New Roman" w:cs="Times New Roman" w:eastAsia="Times New Roman" w:hAnsi="Times New Roman"/>
          <w:sz w:val="22"/>
          <w:szCs w:val="22"/>
          <w:color w:val="auto"/>
        </w:rPr>
        <w:t xml:space="preserve"> attached hereto and made a part hereof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Services</w:t>
      </w:r>
      <w:r>
        <w:rPr>
          <w:rFonts w:ascii="Times New Roman" w:cs="Times New Roman" w:eastAsia="Times New Roman" w:hAnsi="Times New Roman"/>
          <w:sz w:val="22"/>
          <w:szCs w:val="22"/>
          <w:color w:val="auto"/>
        </w:rPr>
        <w:t>"). Except for the cost of providing and maintaining supplemental HVAC equipment exclusively serving the Premises (which shall be Tenant's responsibility), all costs incurred in connection with the provision of Landlord's Services shall be included in Operating Costs pursuant to Section 5.2.</w:t>
      </w:r>
    </w:p>
    <w:p>
      <w:pPr>
        <w:spacing w:after="0" w:line="172" w:lineRule="exact"/>
        <w:rPr>
          <w:sz w:val="20"/>
          <w:szCs w:val="20"/>
          <w:color w:val="auto"/>
        </w:rPr>
      </w:pPr>
    </w:p>
    <w:p>
      <w:pPr>
        <w:ind w:left="760" w:hanging="752"/>
        <w:spacing w:after="0"/>
        <w:tabs>
          <w:tab w:leader="none" w:pos="7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MAINTENANCE AND REPAIRS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10.1Maintenance and Repairs by Tenant</w:t>
      </w:r>
      <w:r>
        <w:rPr>
          <w:rFonts w:ascii="Times New Roman" w:cs="Times New Roman" w:eastAsia="Times New Roman" w:hAnsi="Times New Roman"/>
          <w:sz w:val="22"/>
          <w:szCs w:val="22"/>
          <w:color w:val="auto"/>
        </w:rPr>
        <w:t>. Tenant shall keep neat and clean and free of insects, rodents, vermin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pests and in good repair, order and condition (reasonable wear and tear and damage by Casualty excepted): the Premises, including without limitation the entire interior of the Premises, all electronic, phone and data cabling and related equipment (other than building service equipment) that is installed by or for the exclusive benefit of the Tenant (whether located in the Premises or other portions of the Building), all fixtures, equipment and specialty lighting therein, any supplemental HVAC and humidification equipment exclusively serving the Premises, electrical equipment wiring, doors, non-structural walls, windows and floor coverings, and all laboratory specific systems and equipment that exclusively serve the Premises, including, without limitation, equipment critical to laboratory operations. Without limiting the foregoing, Tenant agrees that it shall maintain in the same repair, order, and condition as on the Term Commencement Date (reasonable wear and tear and damage by Casualty excepted) any equipment installed is the Premises or Building by or on behalf of Tenant (including as part of the Tenant Improvement Work).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10.2Maintenance and Repairs by Landlord</w:t>
      </w:r>
      <w:r>
        <w:rPr>
          <w:rFonts w:ascii="Times New Roman" w:cs="Times New Roman" w:eastAsia="Times New Roman" w:hAnsi="Times New Roman"/>
          <w:sz w:val="22"/>
          <w:szCs w:val="22"/>
          <w:color w:val="auto"/>
        </w:rPr>
        <w:t>. Except as otherwise provided in Section 15, and subject to Tenant's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in Section 10.1 above, Landlord shall maintain and keep in reasonable condition (1) the Building foundation, the roof, Building structure, the common mechanical systems serving the Building, the structural floor slabs and columns, and (2) the facilities of the Building, including the base building mechanical, electrical, plumbing, sprinkler, fire/life safety, and access control systems and the base building heating, ventilating, and air conditioning systems serving the Building and other common Building systems equipment serving the Premises, as may be necessary to keep them in good order, repair, and condition. In addition, Landlord shall operate and maintain the Common Areas in substantially the same manner as comparable combination office and laboratory facilities in the vicinity of the Premises. All costs incurred by Landlord under this Section 10.2 shall be included in Operating Costs, subject to, and in accordance with Section 5.2.</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10.3Accidents to Sanitary and Other Systems</w:t>
      </w:r>
      <w:r>
        <w:rPr>
          <w:rFonts w:ascii="Times New Roman" w:cs="Times New Roman" w:eastAsia="Times New Roman" w:hAnsi="Times New Roman"/>
          <w:sz w:val="22"/>
          <w:szCs w:val="22"/>
          <w:color w:val="auto"/>
        </w:rPr>
        <w:t>. Tenant shall give to Landlord prompt notice of any fire or accident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Premises or in the Building and of any damage to, or defective condition in, any part or appurtenance of the Building including, without limitation, sanitary, electrical, ventilation, heating and air conditioning or other systems located in, or passing through, the Premises. Except as otherwise provided in Section 15, and subject to Tenant's obligations in Section 10.1 above, such damage or defective condition shall be remedied by Landlord with reasonable diligence, but, subject to Section 14.5 below, if such damage or defective condition was caused by any of the Tenant Parties, the cost to remedy the same shall be paid by Tenant.</w:t>
      </w:r>
    </w:p>
    <w:p>
      <w:pPr>
        <w:spacing w:after="0" w:line="17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10.4Floor Load--Heavy Equipment</w:t>
      </w:r>
      <w:r>
        <w:rPr>
          <w:rFonts w:ascii="Times New Roman" w:cs="Times New Roman" w:eastAsia="Times New Roman" w:hAnsi="Times New Roman"/>
          <w:sz w:val="22"/>
          <w:szCs w:val="22"/>
          <w:color w:val="auto"/>
        </w:rPr>
        <w:t>. Tenant shall not place a load upon any floor of the Premises exceeding the floor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load per square foot of area which such floor was designed to carry and which is allowed by Legal Requirements. Landlord reserves the right to prescribe the weight and position of all safes, heavy machinery, heavy equipment, freight, bulky matter or fixtures (collectively, "</w:t>
      </w:r>
      <w:r>
        <w:rPr>
          <w:rFonts w:ascii="Times New Roman" w:cs="Times New Roman" w:eastAsia="Times New Roman" w:hAnsi="Times New Roman"/>
          <w:sz w:val="22"/>
          <w:szCs w:val="22"/>
          <w:b w:val="1"/>
          <w:bCs w:val="1"/>
          <w:color w:val="auto"/>
        </w:rPr>
        <w:t>Heavy Equipment</w:t>
      </w:r>
      <w:r>
        <w:rPr>
          <w:rFonts w:ascii="Times New Roman" w:cs="Times New Roman" w:eastAsia="Times New Roman" w:hAnsi="Times New Roman"/>
          <w:sz w:val="22"/>
          <w:szCs w:val="22"/>
          <w:color w:val="auto"/>
        </w:rPr>
        <w:t>"), which shall be placed so as to distribute the weight. Heavy Equipment shall be placed and maintained by Tenant at Tenant's expense in settings 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Legal Requirements. Any such moving shall be at the sole risk and hazard of Tenant and Tenant will defend, indemnify and save Landlord and Landlord's agents (including without limitation its property manager), contractors and employees (collectively with Landlord, the "</w:t>
      </w:r>
      <w:r>
        <w:rPr>
          <w:rFonts w:ascii="Times New Roman" w:cs="Times New Roman" w:eastAsia="Times New Roman" w:hAnsi="Times New Roman"/>
          <w:sz w:val="22"/>
          <w:szCs w:val="22"/>
          <w:b w:val="1"/>
          <w:bCs w:val="1"/>
          <w:color w:val="auto"/>
        </w:rPr>
        <w:t>Landlord Parties</w:t>
      </w:r>
      <w:r>
        <w:rPr>
          <w:rFonts w:ascii="Times New Roman" w:cs="Times New Roman" w:eastAsia="Times New Roman" w:hAnsi="Times New Roman"/>
          <w:sz w:val="22"/>
          <w:szCs w:val="22"/>
          <w:color w:val="auto"/>
        </w:rPr>
        <w:t>") harmless from and against any and all claims, damages, losses, penalties, costs, expenses and fees (including without limitation reasonable legal fees) (collectively,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resulting directly or indirectly from such moving. Proper placement of all Heavy Equipment in the Premises shall be Tenant's responsibility.</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10.5Premises Cleaning</w:t>
      </w:r>
      <w:r>
        <w:rPr>
          <w:rFonts w:ascii="Times New Roman" w:cs="Times New Roman" w:eastAsia="Times New Roman" w:hAnsi="Times New Roman"/>
          <w:sz w:val="22"/>
          <w:szCs w:val="22"/>
          <w:color w:val="auto"/>
        </w:rPr>
        <w:t>. Tenant shall be responsible, at its sole cost and expense, for janitorial and trash removal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and other biohazard disposal services for the Premises, including the laboratory areas thereof. Such services shall be performed by licensed (where required by law or governmental regulation), insured and qualified contractors approved in advance, in writing, by Landlord (which approval shall not be unreasonably withheld, delayed or conditioned) and on a sufficient basis to ensure that the Premises are at all times kept neat and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clean. Landlord shall provide a dumpster and/or compactor at the Building loading dock for Tenant's disposal of non-hazardous and non-controlled substances. All costs incurred by Landlord in connection with such dumpster and/or compactor shall be included in Operating Costs as provided in Section 5.2.</w:t>
      </w:r>
    </w:p>
    <w:p>
      <w:pPr>
        <w:spacing w:after="0" w:line="16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10.6Pest Control</w:t>
      </w:r>
      <w:r>
        <w:rPr>
          <w:rFonts w:ascii="Times New Roman" w:cs="Times New Roman" w:eastAsia="Times New Roman" w:hAnsi="Times New Roman"/>
          <w:sz w:val="22"/>
          <w:szCs w:val="22"/>
          <w:color w:val="auto"/>
        </w:rPr>
        <w:t>. Tenant, at Tenant's sole cost and expense, shall cause the Premises to be exterminated on a monthly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 Tenant shall not permit any person to enter the Premises for the purpose of providing such extermination services, unless such persons have been approved by Landlord. If requested by Landlord, Tenant shall, at Tenant's sole cost and expense, store any refuse generated in the Premises by the consumption of food or beverages in a cold box or similar facility.</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1"/>
          <w:szCs w:val="21"/>
          <w:b w:val="1"/>
          <w:bCs w:val="1"/>
          <w:color w:val="auto"/>
        </w:rPr>
        <w:t>Service Interruptions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5" w:lineRule="auto"/>
        <w:tabs>
          <w:tab w:leader="none" w:pos="2036"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Abatement of Rent</w:t>
      </w:r>
      <w:r>
        <w:rPr>
          <w:rFonts w:ascii="Times New Roman" w:cs="Times New Roman" w:eastAsia="Times New Roman" w:hAnsi="Times New Roman"/>
          <w:sz w:val="21"/>
          <w:szCs w:val="21"/>
          <w:color w:val="auto"/>
        </w:rPr>
        <w:t>. In the event that: (i) there shall be an interruption, curtailment or suspension of any service or failure to perform any obligation required to be provided or performed by Landlord pursuant to Sections 9 and/or 10 (and no reasonably equivalent alternative service or supply is provided by Landlord) that shall materially interfere with Tenant's use and enjoyment of the Premises, or any portion thereof (any such event, a "</w:t>
      </w:r>
      <w:r>
        <w:rPr>
          <w:rFonts w:ascii="Times New Roman" w:cs="Times New Roman" w:eastAsia="Times New Roman" w:hAnsi="Times New Roman"/>
          <w:sz w:val="21"/>
          <w:szCs w:val="21"/>
          <w:b w:val="1"/>
          <w:bCs w:val="1"/>
          <w:color w:val="auto"/>
        </w:rPr>
        <w:t>Service Interruption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(ii) such Service Interruption shall continue for five (5) consecutive business days following receipt by Landlord of written notice (the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Interruption Notice</w:t>
      </w:r>
      <w:r>
        <w:rPr>
          <w:rFonts w:ascii="Times New Roman" w:cs="Times New Roman" w:eastAsia="Times New Roman" w:hAnsi="Times New Roman"/>
          <w:sz w:val="21"/>
          <w:szCs w:val="21"/>
          <w:color w:val="auto"/>
        </w:rPr>
        <w:t>") from Tenant describing such Service Interruption ("</w:t>
      </w:r>
      <w:r>
        <w:rPr>
          <w:rFonts w:ascii="Times New Roman" w:cs="Times New Roman" w:eastAsia="Times New Roman" w:hAnsi="Times New Roman"/>
          <w:sz w:val="21"/>
          <w:szCs w:val="21"/>
          <w:b w:val="1"/>
          <w:bCs w:val="1"/>
          <w:color w:val="auto"/>
        </w:rPr>
        <w:t>Abatement Service Interruption Cure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and</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42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Service Interruption shall not have been caused by an act or omission of Tenant or Tenant's agents, employees, contractors or invitees (an event that satisfies the foregoing conditions (i)-(iii) being referred to hereinafter as a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Service Interruption</w:t>
      </w:r>
      <w:r>
        <w:rPr>
          <w:rFonts w:ascii="Times New Roman" w:cs="Times New Roman" w:eastAsia="Times New Roman" w:hAnsi="Times New Roman"/>
          <w:sz w:val="22"/>
          <w:szCs w:val="22"/>
          <w:color w:val="auto"/>
        </w:rPr>
        <w:t>") then, Tenant, subject to the next following sentence, shall be entitled to an equitable abatement of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Rent, Operating Costs and Taxes based on the nature and duration of the Material Service Interruption and the area of the Premises affected, for any and all days following the Material Service Interruption Cure Period that </w:t>
      </w:r>
      <w:r>
        <w:rPr>
          <w:rFonts w:ascii="Times New Roman" w:cs="Times New Roman" w:eastAsia="Times New Roman" w:hAnsi="Times New Roman"/>
          <w:sz w:val="22"/>
          <w:szCs w:val="22"/>
          <w:u w:val="single" w:color="auto"/>
          <w:color w:val="auto"/>
        </w:rPr>
        <w:t>both</w:t>
      </w:r>
      <w:r>
        <w:rPr>
          <w:rFonts w:ascii="Times New Roman" w:cs="Times New Roman" w:eastAsia="Times New Roman" w:hAnsi="Times New Roman"/>
          <w:sz w:val="22"/>
          <w:szCs w:val="22"/>
          <w:color w:val="auto"/>
        </w:rPr>
        <w:t xml:space="preserve"> (x) the Material Service Interruption is continuing and (y) Tenant does not use such affected areas of the Premises for a bona fide business purpose. Any efforts by Tenant to respond or react to any Material Service Interruption, including, without limitation, any activities by Tenant to remove its personal property from the affected areas of the Premises, shall not constitute a use that precludes abatement pursuant to this Section 10.7(a). The Abatement Service Interruption Cure Period shall be extended by reason of any delays in Landlord's ability to cure the Service Interruption in question caused by Force Majeure.</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10.7 shall not apply in the event of a Service Interruption caused by Casualty or Taking (see Section 15 below).</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10.7 set forth Tenant's sole rights and remedies, both in law and in equity, in the event of any Service Interruption.</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81" w:lineRule="exact"/>
        <w:rPr>
          <w:sz w:val="20"/>
          <w:szCs w:val="20"/>
          <w:color w:val="auto"/>
        </w:rPr>
      </w:pPr>
    </w:p>
    <w:p>
      <w:pPr>
        <w:ind w:left="760" w:right="5260" w:hanging="752"/>
        <w:spacing w:after="0" w:line="437" w:lineRule="auto"/>
        <w:tabs>
          <w:tab w:leader="none" w:pos="7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ALTERATIONS AND IMPROVEMENTS BY TENANT 11.1Landlord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Consent Required</w:t>
      </w:r>
      <w:r>
        <w:rPr>
          <w:rFonts w:ascii="Times New Roman" w:cs="Times New Roman" w:eastAsia="Times New Roman" w:hAnsi="Times New Roman"/>
          <w:sz w:val="22"/>
          <w:szCs w:val="22"/>
          <w:color w:val="auto"/>
        </w:rPr>
        <w:t>.</w:t>
      </w:r>
    </w:p>
    <w:p>
      <w:pPr>
        <w:jc w:val="both"/>
        <w:ind w:firstLine="1505"/>
        <w:spacing w:after="0" w:line="242" w:lineRule="auto"/>
        <w:tabs>
          <w:tab w:leader="none" w:pos="203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make any alterations, decorations, installations, removals, additions or improvements (collectively with Tenant's Work, "</w:t>
      </w:r>
      <w:r>
        <w:rPr>
          <w:rFonts w:ascii="Times New Roman" w:cs="Times New Roman" w:eastAsia="Times New Roman" w:hAnsi="Times New Roman"/>
          <w:sz w:val="21"/>
          <w:szCs w:val="21"/>
          <w:b w:val="1"/>
          <w:bCs w:val="1"/>
          <w:color w:val="auto"/>
        </w:rPr>
        <w:t>Alterations</w:t>
      </w:r>
      <w:r>
        <w:rPr>
          <w:rFonts w:ascii="Times New Roman" w:cs="Times New Roman" w:eastAsia="Times New Roman" w:hAnsi="Times New Roman"/>
          <w:sz w:val="21"/>
          <w:szCs w:val="21"/>
          <w:color w:val="auto"/>
        </w:rPr>
        <w:t>") in or to the Premises without Landlord's prior written approval of the contractor(s), written plans and specifications and a time schedule therefor. Landlord reserves the right to require that Tenant use Landlord's preferred vendor(s) for any Alterations that involve roof penetrations, alarm tie-ins, sprinklers, fire alarm and other life safety equipment. Tenant shall not make any amendments or additions to plans and specifications approved by Landlord without Landlord's prior written consent. Landlord's approval of non-structural Alterations shall not be unreasonably withheld, conditioned or delayed. Notwithstanding the foregoing, Landlord may withhold its consent in its sole discretion (a) to any Alteration to or affecting the fixed lab benches, fume hoods, roof and/or building systems, (b) with respect to matters of aesthetics relating to Alterations to or affecting the exterior of the Building, and (c) to any Alteration affecting the Building structure. Tenant shall be responsible for all elements of the design of Tenant's plans (including, without limitation, compliance with Legal Requirements, functionality of design, the structural integrity of the design, the configuration of the Premises and the placement of Tenant's furniture, appliances and equipment), and Landlord's approval of Tenant's plans shall in no event relieve Tenant of the responsibility for such design. In seeking Landlord's approval, Tenant shall provide Landlord, at least fourteen (14) business days in advance of any proposed construction, with plans, specifications, bid proposals, certified stamped engineering drawings and calculations by Tenant's engineer of record or architect of record (including connections to the Building's structural system, the Building's mechanical, electrical and plumbing systems,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Landlord shall have no liability or responsibility for any claim, injury or damage alleged to have been caused by the particular materials (whether building standard or non-building standard), appliances or equipment selected by Tenant in connection with any work performed by or on behalf of Tenant. Except as otherwise expressly set forth herein, all Alterations shall be done at Tenant's sole cost and expense and at such times and in such manner as Landlord may from time to time reasonably designate. If Tenant shall make any Alterations, then, if Landlord, in Landlord's reasonable judgment, determines that the Alterations (i) adversely affect the general utility of the Building for use by prospective tenants thereof, or (ii) require unusual expense to restore and/or redapt the Premises to usual use as a biotechnology office and research and development facility, Landlord may elect to require Tenant at the expiration or sooner termination of the Term to restore the Premises to substantially the same condition as existed immediately prior to the Alterations. Landlord agrees that it will make such election with respect to any Alteration at the time that Landlord approves Tenant's plans and specifications for an Alteration, if Tenant gives written notice to Landlord requesting Landlord to make such election at the time of such approval; provided, however, that in all events, at Landlord's election, Tenant shall be required to remove the Alterations associated with Tenant's vivarium operations in the Premises. Tenant shall provide Landlord with reproducible record drawings (in CAD format) of all Alterations within sixty (60) days after completion thereof.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81" w:lineRule="exact"/>
        <w:rPr>
          <w:sz w:val="20"/>
          <w:szCs w:val="20"/>
          <w:color w:val="auto"/>
        </w:rPr>
      </w:pPr>
    </w:p>
    <w:p>
      <w:pPr>
        <w:jc w:val="both"/>
        <w:ind w:firstLine="1505"/>
        <w:spacing w:after="0" w:line="246" w:lineRule="auto"/>
        <w:tabs>
          <w:tab w:leader="none" w:pos="203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Alterations Permitted without Landlord'</w:t>
      </w:r>
      <w:r>
        <w:rPr>
          <w:rFonts w:ascii="Times New Roman" w:cs="Times New Roman" w:eastAsia="Times New Roman" w:hAnsi="Times New Roman"/>
          <w:sz w:val="21"/>
          <w:szCs w:val="21"/>
          <w:b w:val="1"/>
          <w:bCs w:val="1"/>
          <w:color w:val="auto"/>
        </w:rPr>
        <w:t>s Consent</w:t>
      </w:r>
      <w:r>
        <w:rPr>
          <w:rFonts w:ascii="Times New Roman" w:cs="Times New Roman" w:eastAsia="Times New Roman" w:hAnsi="Times New Roman"/>
          <w:sz w:val="21"/>
          <w:szCs w:val="21"/>
          <w:color w:val="auto"/>
        </w:rPr>
        <w:t>. Notwithstanding anything to the contrary herein contained, Tenant shall have the right without obtaining the prior consent of Landlord, but upon prior notice to Landlord as provided below, to make Alterations to the Premises where: (i) the same are within the interior of the Premises, and do not affect and are not visible from the exterior of the Building, and do not affect any of the Building's systems or the ceiling of the Premises; (ii) the same do not affect the roof or any structural element of the Building, or the fire protection systems of the Building; (iii) the same do not create a nuisance and do not interfere with the rights of other tenants located in the Building; (iv) the cost of any such Alterations shall not exceed $100,000.00 in cost per year; (v) Tenant shall comply with the provisions of this Lease, and if such work increases the cost of insurance or taxes, Tenant shall pay for any such increase in cost; and (vi) Tenant gives Landlord at least ten (10) business days' prior notice describing such work in reasonable detail, accompanied by copies of plans and specifications therefor (to the extent plans and specifications are typically prepared in accordance with such work).</w:t>
      </w:r>
    </w:p>
    <w:p>
      <w:pPr>
        <w:spacing w:after="0" w:line="17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11.2After-Hours</w:t>
      </w:r>
      <w:r>
        <w:rPr>
          <w:rFonts w:ascii="Times New Roman" w:cs="Times New Roman" w:eastAsia="Times New Roman" w:hAnsi="Times New Roman"/>
          <w:sz w:val="21"/>
          <w:szCs w:val="21"/>
          <w:color w:val="auto"/>
        </w:rPr>
        <w:t>. Landlord and Tenant recognize that to the extent Tenant elects to perform some or all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Alterations during times other than normal construction hours (i.e., Monday-Friday, 7:00 a.m. to 3:00 p.m., excluding holidays), Landlord may need to make arrangements to have supervisory personnel on site. Accordingly, Landlord and Tenant agree as follows: Tenant shall give Landlord at least two (2) business days' prior written notice of any time outside of normal construction hours when Tenant intends to perform any Alterations (the "</w:t>
      </w:r>
      <w:r>
        <w:rPr>
          <w:rFonts w:ascii="Times New Roman" w:cs="Times New Roman" w:eastAsia="Times New Roman" w:hAnsi="Times New Roman"/>
          <w:sz w:val="21"/>
          <w:szCs w:val="21"/>
          <w:b w:val="1"/>
          <w:bCs w:val="1"/>
          <w:color w:val="auto"/>
        </w:rPr>
        <w:t>After- Hours Work</w:t>
      </w:r>
      <w:r>
        <w:rPr>
          <w:rFonts w:ascii="Times New Roman" w:cs="Times New Roman" w:eastAsia="Times New Roman" w:hAnsi="Times New Roman"/>
          <w:sz w:val="21"/>
          <w:szCs w:val="21"/>
          <w:color w:val="auto"/>
        </w:rPr>
        <w:t>"). Tenant shall reimburse Landlord, within ten</w:t>
      </w:r>
    </w:p>
    <w:p>
      <w:pPr>
        <w:jc w:val="both"/>
        <w:ind w:firstLine="8"/>
        <w:spacing w:after="0" w:line="234" w:lineRule="auto"/>
        <w:tabs>
          <w:tab w:leader="none" w:pos="4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demand therefor, for the cost of Landlord's supervisory personnel overseeing the After-Hours Work. In addition, if construction during normal construction hours unreasonably disturbs other tenants of the Building, in Landlord's sole discretion, Landlord may require Tenant to stop the performance of Alterations during normal construction hours and to perform the same after hours, subject to the foregoing requirement to pay for the cost of Landlord's supervisory personnel.</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11.3Harmonious Relations</w:t>
      </w:r>
      <w:r>
        <w:rPr>
          <w:rFonts w:ascii="Times New Roman" w:cs="Times New Roman" w:eastAsia="Times New Roman" w:hAnsi="Times New Roman"/>
          <w:sz w:val="22"/>
          <w:szCs w:val="22"/>
          <w:color w:val="auto"/>
        </w:rPr>
        <w:t>. Tenant agrees that it will not, either directly or indirectly, use any contractors and/or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materials if their use will create any difficulty, whether in the nature of a labor dispute or otherwise, with other contractors and/or labor engaged by Tenant or Landlord or others in the construction, maintenance and/or operation of the Building, the Property or any part thereof. In the event of any such difficulty, upon Landlord's request, Tenant shall cause all contractors, mechanics or laborers causing such difficulty to leave the Property immediately.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11.4Liens</w:t>
      </w:r>
      <w:r>
        <w:rPr>
          <w:rFonts w:ascii="Times New Roman" w:cs="Times New Roman" w:eastAsia="Times New Roman" w:hAnsi="Times New Roman"/>
          <w:sz w:val="22"/>
          <w:szCs w:val="22"/>
          <w:color w:val="auto"/>
        </w:rPr>
        <w:t>. No Alterations shall be undertaken by Tenant until (i) Tenant has made provision for written waiver of liens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all contractors for such Alteration and taken other appropriate protective measures approved and/or required by Landlord; and (ii) Tenant has procured appropriate surety payment and performance bonds which shall name Landlord as an additional obligee and has filed lien bond(s) (in jurisdictions where available) on behalf of such contractors. Any mechanic's lien filed against the Premises or the Building for work claimed to have been done for, or materials claimed to have been furnished to, Tenant shall be discharged by Tenant within ten (10) days thereafter, at Tenant's expense by filing the bond required by law or otherwise.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11.5General Requirements</w:t>
      </w:r>
      <w:r>
        <w:rPr>
          <w:rFonts w:ascii="Times New Roman" w:cs="Times New Roman" w:eastAsia="Times New Roman" w:hAnsi="Times New Roman"/>
          <w:sz w:val="22"/>
          <w:szCs w:val="22"/>
          <w:color w:val="auto"/>
        </w:rPr>
        <w:t>. Unless Landlord and Tenant otherwise agree in writing, Tenant shall (a) procure or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others to procure on its behalf all necessary permits before undertaking any Alterations in the Premises (and provide copies thereof to Landlord); (b) perform all of such Alterations in a good and workmanlike manner, employing materials of good quality and in compliance with Landlord's construction rules and regulations, all insurance requirements of this Lease, and Legal Requirements; and (c) defend, indemnify and hold the Landlord Parties harmless from and against any and all Claims occasioned by or growing out of such Alterations.</w:t>
      </w:r>
    </w:p>
    <w:p>
      <w:pPr>
        <w:spacing w:after="0" w:line="175" w:lineRule="exact"/>
        <w:rPr>
          <w:sz w:val="20"/>
          <w:szCs w:val="20"/>
          <w:color w:val="auto"/>
        </w:rPr>
      </w:pPr>
    </w:p>
    <w:p>
      <w:pPr>
        <w:ind w:left="760" w:hanging="752"/>
        <w:spacing w:after="0"/>
        <w:tabs>
          <w:tab w:leader="none" w:pos="7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SIGNAGE</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12.1Restrictions</w:t>
      </w:r>
      <w:r>
        <w:rPr>
          <w:rFonts w:ascii="Times New Roman" w:cs="Times New Roman" w:eastAsia="Times New Roman" w:hAnsi="Times New Roman"/>
          <w:sz w:val="22"/>
          <w:szCs w:val="22"/>
          <w:color w:val="auto"/>
        </w:rPr>
        <w:t>. Tenant shall have the right, at Tenant's expense, to install Building standard signage identifying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Tenant's business at the entrance to the Premises, which signage shall be subject to Landlord's prior written consent (which consent shall not be unreasonably withheld, conditioned or delayed). Subject to the foregoing, and subject to Section 12.2 below, Tenant shall not place or suffer to be placed or maintained on the exterior of the Premises, or any part of the interior visible from the exterior thereof, any sign, banner, advertising matter or any other thing of any kind (including, without limitation, any hand-lettered advertising), and shall not place or maintain any decoration, letter or advertising matter on the glass of any window or door of the Premises without first obtaining Landlord's written approval. No signs may be put on or in any window or elsewhere if visible from the exterior of the Building.</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12.2Exterior Signage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45" w:lineRule="auto"/>
        <w:tabs>
          <w:tab w:leader="none" w:pos="2036"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Section 12.2(a), for so long as: (x) there is no Event of Default of Tenant, and (y) the Lease is in full force and effect (collectively, the "</w:t>
      </w:r>
      <w:r>
        <w:rPr>
          <w:rFonts w:ascii="Times New Roman" w:cs="Times New Roman" w:eastAsia="Times New Roman" w:hAnsi="Times New Roman"/>
          <w:sz w:val="21"/>
          <w:szCs w:val="21"/>
          <w:b w:val="1"/>
          <w:bCs w:val="1"/>
          <w:color w:val="auto"/>
        </w:rPr>
        <w:t>Monument Signage Condition</w:t>
      </w:r>
      <w:r>
        <w:rPr>
          <w:rFonts w:ascii="Times New Roman" w:cs="Times New Roman" w:eastAsia="Times New Roman" w:hAnsi="Times New Roman"/>
          <w:sz w:val="21"/>
          <w:szCs w:val="21"/>
          <w:color w:val="auto"/>
        </w:rPr>
        <w:t>"), then Tenant shall have the right to require Landlord to list, at Landlord's initial cost and expense, Tenant's name ("Tenant's Monument Signage") on the exterior monument sign to be constructed by Landlord (as a part of the Base Building Work) on the Property. Such monument sign shall be a common monument (i.e. other tenant(s) in the Building may have identification signage installed on such monument). The right to the Tenant's Monument Signage granted pursuant to this Section 12.2(a) is personal to Tenant, and may not be exercised by any occupant, subtenant, or other assignee of Tenant, other than an Affiliated Entity or Successor (the parties hereby agreeing that Tenant shall be responsible for the cost of any change in Tenant's Monument Signage). The parties hereby agree that the maintenance and removal of such Tenant's Monument Signage (including, without limitation, the repair and cleaning of the existing monument façade upon removal of Tenant's Monument Signage) shall be performed at Landlord's sole cost and expense, except that Tenant shall be responsible for the cost of any change in Tenant's Monument Signage during the Term of the lease.</w:t>
      </w:r>
    </w:p>
    <w:p>
      <w:pPr>
        <w:spacing w:after="0" w:line="177"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Term of this Lease, Landlord permits any other tenant of the Building to erect or install any exterior sign on the Building, then, (x) subject to the provisions of this Section 12.2(b) and (y) for so long as the Monument Signage Condition remains satisfied, Landlord shall permit Tenant, at Tenant's sole cost and expense, to erect or install an exterior sign on the Building ("Tenant's Exterior Sign"), provided all such signs, including without limitation, the design, specifications and location thereof, are subject to Landlord's prior written approval, which approval shall not be unreasonably withheld, conditioned or delayed, and are in keeping with the quality, design and style of the Building. Tenant's Exterior Sign shall be (i) subject to all</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Legal Requirements and Tenant's obtaining all required governmental approvals at Tenant's sole cost and expense, and (ii) maintained by Tenant at its sole cost and expense in a first-class and safe condition and appearance. Upon the expiration or earlier termination of this Lease, Tenant shall remove Tenant's Exterior Sign at Tenant's sole cost and expense. Tenant shall reimburse Landlord, within thirty (30) days after demand, from time to time, any costs incurred by Landlord to repair any damage to the Building resulting from the erection, maintenance and removal of Tenant's Exterior Sign.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12.3Building Directory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Landlord shall list Tenant within the directory in the Building lobby. The initial listing shall be at Landlord's cost and expense, and any changes to such directory listing shall be at Tenant's cost and expense. Tenant shall have the right, at Tenant's cost and expense, to install a Building standard Tenant identification sign at the entrance to the Premises.</w:t>
      </w:r>
    </w:p>
    <w:p>
      <w:pPr>
        <w:spacing w:after="0" w:line="169" w:lineRule="exact"/>
        <w:rPr>
          <w:sz w:val="20"/>
          <w:szCs w:val="20"/>
          <w:color w:val="auto"/>
        </w:rPr>
      </w:pPr>
    </w:p>
    <w:p>
      <w:pPr>
        <w:ind w:left="760" w:hanging="752"/>
        <w:spacing w:after="0"/>
        <w:tabs>
          <w:tab w:leader="none" w:pos="7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MORTGAGING AND SUBLETTING</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13.1Landlord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Consent Required</w:t>
      </w:r>
      <w:r>
        <w:rPr>
          <w:rFonts w:ascii="Times New Roman" w:cs="Times New Roman" w:eastAsia="Times New Roman" w:hAnsi="Times New Roman"/>
          <w:sz w:val="22"/>
          <w:szCs w:val="22"/>
          <w:color w:val="auto"/>
        </w:rPr>
        <w:t>. Tenant shall not mortgage or encumber this Lease or in whole or in part whether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 time or at intervals, operation of law or otherwise. Except as expressly otherwise set forth herein, Tenant shall not, without Landlord's prior written consent, assign, sublet, license or transfer this Lease or the Premises in whole or in part whether by changes in the ownership or control of Tenant, or any direct or indirect owner of Tenant, whether at one time or at intervals, by sale or transfer of stock, partnership or beneficial interests, operation of law or otherwise, or permit the occupancy of all or any portion of the Premises by any person or entity other than Tenant's employees (each of the foregoing, a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Any purported Transfer made without Landlord's consent, if required hereunder, shall be void and confer no rights upon any third person, provided that if there is a Transfer, Landlord may collect rent from the transferee without waiving the prohibition against Transfers, accepting the transferee, or releasing Tenant from full performance under this Lease. In the event of any Transfer in violation of this Section 13, Landlord shall have the right to terminate this Lease upon thirty (30) days' written notice to Tenant given within sixty (60) days after receipt of written notice from Tenant to Landlord of any Transfer, or within one (1) year after Landlord first learns of the Transfer if no notice is given. No Transfer shall relieve Tenant of its primary obligation as party Tenant hereunder, nor shall it reduce or increase Landlord's obligations under this Lease.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13.2Landlord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Recapture Right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Subject to Section 13.7 below, Tenant shall, prior to offering or advertising the Premises or any portion thereof for a Transfer, give a written notice (the "</w:t>
      </w:r>
      <w:r>
        <w:rPr>
          <w:rFonts w:ascii="Times New Roman" w:cs="Times New Roman" w:eastAsia="Times New Roman" w:hAnsi="Times New Roman"/>
          <w:sz w:val="22"/>
          <w:szCs w:val="22"/>
          <w:b w:val="1"/>
          <w:bCs w:val="1"/>
          <w:color w:val="auto"/>
        </w:rPr>
        <w:t>Recapture Notice</w:t>
      </w:r>
      <w:r>
        <w:rPr>
          <w:rFonts w:ascii="Times New Roman" w:cs="Times New Roman" w:eastAsia="Times New Roman" w:hAnsi="Times New Roman"/>
          <w:sz w:val="22"/>
          <w:szCs w:val="22"/>
          <w:color w:val="auto"/>
        </w:rPr>
        <w:t>") to Landlord which: (i) states that Tenant desires to make a Transfer, (ii) identifies the affected portion of the Premises (the "</w:t>
      </w:r>
      <w:r>
        <w:rPr>
          <w:rFonts w:ascii="Times New Roman" w:cs="Times New Roman" w:eastAsia="Times New Roman" w:hAnsi="Times New Roman"/>
          <w:sz w:val="22"/>
          <w:szCs w:val="22"/>
          <w:b w:val="1"/>
          <w:bCs w:val="1"/>
          <w:color w:val="auto"/>
        </w:rPr>
        <w:t>Recapture Premises</w:t>
      </w:r>
      <w:r>
        <w:rPr>
          <w:rFonts w:ascii="Times New Roman" w:cs="Times New Roman" w:eastAsia="Times New Roman" w:hAnsi="Times New Roman"/>
          <w:sz w:val="22"/>
          <w:szCs w:val="22"/>
          <w:color w:val="auto"/>
        </w:rPr>
        <w:t>"), (iii) identifies the period of time (the "</w:t>
      </w:r>
      <w:r>
        <w:rPr>
          <w:rFonts w:ascii="Times New Roman" w:cs="Times New Roman" w:eastAsia="Times New Roman" w:hAnsi="Times New Roman"/>
          <w:sz w:val="22"/>
          <w:szCs w:val="22"/>
          <w:b w:val="1"/>
          <w:bCs w:val="1"/>
          <w:color w:val="auto"/>
        </w:rPr>
        <w:t>Recapture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during which Tenant proposes to sublet the Recapture Premises, or indicates that Tenant proposes to assign its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Lease, and (iv) offers to Landlord to (x) terminate this Lease with respect to the Recapture Premises (in the case of a proposed assignment of Tenant's interest in this Lease or a subletting for the remainder of the Term of this Lease) or (y) in the event that Tenant shall only propose to sublease all or a portion of the Premises for less than all of the remainder of the Term of this Lease, Landlord shall only have the right to terminate this Lease with respect to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Recapture Premises during the Recapture Period (i.e., the Term with respect to the Recapture Premises shall be terminated during the Recapture Period and Tenant's rental obligations shall be proportionately reduced), after which this Lease shall be reinstated with respect to the Recapture Premises. Landlord shall have fifteen (15) business days within which to respond to the Recapture Notice.</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13.3Standard of Consent to Transfer</w:t>
      </w:r>
      <w:r>
        <w:rPr>
          <w:rFonts w:ascii="Times New Roman" w:cs="Times New Roman" w:eastAsia="Times New Roman" w:hAnsi="Times New Roman"/>
          <w:sz w:val="22"/>
          <w:szCs w:val="22"/>
          <w:color w:val="auto"/>
        </w:rPr>
        <w:t>. If Landlord does not timely give written notice to Tenant accepting a Recapture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Offer or declines to accept the same, then Landlord agrees that, subject to the provisions of this Section 13 and provided that Tenant has not previously assigned or subleased more than twenty-five percent (25%) of the Premises, Landlord shall not unreasonably withhold, condition or delay its consent to a Transfer at fair market rent and otherwise on the terms contained in the Recapture Notice to an entity which will use the Premises for the Permitted Uses and, in Landlord's reasonable opinion: (a) has a tangible net worth and other financial indicators sufficient to meet the Transferee's obligations under the Transfer instrument in question; (b) has a business reputation compatible with the operation of a first-class combination laboratory, research, development and office building; and (c) the intended use of such entity does not violate any restrictive use provisions then in effect with respect to space in the Building.</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13.4Listing Confers no Rights</w:t>
      </w:r>
      <w:r>
        <w:rPr>
          <w:rFonts w:ascii="Times New Roman" w:cs="Times New Roman" w:eastAsia="Times New Roman" w:hAnsi="Times New Roman"/>
          <w:sz w:val="22"/>
          <w:szCs w:val="22"/>
          <w:color w:val="auto"/>
        </w:rPr>
        <w:t>. The listing of any name other than that of Tenant, whether on the doors of the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on the Building directory, or otherwise, shall not operate to vest in any such other person, firm or corporation any right or interest in this Lease or in the Premises or be deemed to effect or evidence any consent of Landlord, it being expressly understood that any such listing is a privilege extended by Landlord revocable at will by written notice to Tenant.</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13.5Profits In Connection with Transfers</w:t>
      </w:r>
      <w:r>
        <w:rPr>
          <w:rFonts w:ascii="Times New Roman" w:cs="Times New Roman" w:eastAsia="Times New Roman" w:hAnsi="Times New Roman"/>
          <w:sz w:val="22"/>
          <w:szCs w:val="22"/>
          <w:color w:val="auto"/>
        </w:rPr>
        <w:t>. Except as for Permitted Transfers, Tenant shall, within thirty (30) days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thereof, pay to Landlord fifty percent (50%) of any rent, sum or other consideration to be paid or given in connection with any Transfer, either initially or over time, after deducting reasonable actual out-of-pocket legal, and brokerage expenses incurred by Tenant and unamortized improvements paid for by Tenant in connection therewith, in excess of Rent hereunder as if such amount were originally called for by the terms of this Lease as Additional Rent.</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13.6Prohibited Transfers</w:t>
      </w:r>
      <w:r>
        <w:rPr>
          <w:rFonts w:ascii="Times New Roman" w:cs="Times New Roman" w:eastAsia="Times New Roman" w:hAnsi="Times New Roman"/>
          <w:sz w:val="22"/>
          <w:szCs w:val="22"/>
          <w:color w:val="auto"/>
        </w:rPr>
        <w:t>. Notwithstanding any contrary provision of this Lease, Tenant shall have no right to make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unless on both (i) the date on which Tenant notifies Landlord of its intention to enter into a Transfer and (ii) the date on which such Transfer is to take effect, Tenant is not in default of any of its obligations under this Lease. Notwithstanding anything to the contrary contained herein, Tenant agrees that in no event shall Tenant make a Transfer to (a) any government agency; (b) any tenant, subtenant or occupant of other space in the Building if Landlord has or expects to have any space in the Building available in the following six (6) months; or (c) any entity with whom Landlord is currently negotiating, or shall have negotiated in the six (6) months immediately preceding such proposed Transfer, for space in the Property.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13.7Exceptions to Requirement for Consent</w:t>
      </w:r>
      <w:r>
        <w:rPr>
          <w:rFonts w:ascii="Times New Roman" w:cs="Times New Roman" w:eastAsia="Times New Roman" w:hAnsi="Times New Roman"/>
          <w:sz w:val="21"/>
          <w:szCs w:val="21"/>
          <w:color w:val="auto"/>
        </w:rPr>
        <w:t>. Notwithstanding anything to the contrary herein contained, Tenant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right, without obtaining Landlord's consent and without giving Landlord a Recapture Notice, to (a) make a Transfer to an Affiliated Entity (hereinafter defined) so long as the transfer to such Affiliated Entity is for legitimate business purposes (and not for the purpose of avoiding the provisions of this Section 13), and (b) assign all of Tenant's interest in and to the Lease to a Successor, provided that prior to or simultaneously with any assignment pursuant to this Section 13.7, such Affiliated Entity or Successor, as the case may be, and Tenant execute and deliver to Landlord an assignment and assumption agreement in form and substance reasonably acceptable to Landlord whereby such Affiliated Entity or Successor, as the case may be, shall agree to be independently bound by and upon all the covenants, agreements, terms, provisions and conditions set forth in the Lease on the part of Tenant to be performed, and whereby such Affiliated Entity or Successor, as the case may be, shall expressly agree that the provisions of this Article 13 shall, notwithstanding such Transfer, continue to be binding upon it with respect to all future Transfers. For the purposes hereof, an "</w:t>
      </w:r>
      <w:r>
        <w:rPr>
          <w:rFonts w:ascii="Times New Roman" w:cs="Times New Roman" w:eastAsia="Times New Roman" w:hAnsi="Times New Roman"/>
          <w:sz w:val="21"/>
          <w:szCs w:val="21"/>
          <w:b w:val="1"/>
          <w:bCs w:val="1"/>
          <w:color w:val="auto"/>
        </w:rPr>
        <w:t>Affiliated Entity</w:t>
      </w:r>
      <w:r>
        <w:rPr>
          <w:rFonts w:ascii="Times New Roman" w:cs="Times New Roman" w:eastAsia="Times New Roman" w:hAnsi="Times New Roman"/>
          <w:sz w:val="21"/>
          <w:szCs w:val="21"/>
          <w:color w:val="auto"/>
        </w:rPr>
        <w:t>" shall be defined as any entity which is controlled by, is under common control with, or which controls Tenant. For the purposes hereof, a "</w:t>
      </w:r>
      <w:r>
        <w:rPr>
          <w:rFonts w:ascii="Times New Roman" w:cs="Times New Roman" w:eastAsia="Times New Roman" w:hAnsi="Times New Roman"/>
          <w:sz w:val="21"/>
          <w:szCs w:val="21"/>
          <w:b w:val="1"/>
          <w:bCs w:val="1"/>
          <w:color w:val="auto"/>
        </w:rPr>
        <w:t>Successor</w:t>
      </w:r>
      <w:r>
        <w:rPr>
          <w:rFonts w:ascii="Times New Roman" w:cs="Times New Roman" w:eastAsia="Times New Roman" w:hAnsi="Times New Roman"/>
          <w:sz w:val="21"/>
          <w:szCs w:val="21"/>
          <w:color w:val="auto"/>
        </w:rPr>
        <w:t>" shall be defined as any entity into or with which Tenant is merged or with which Tenant is consolidated or which acquires all or substantially all of Tenant's stock or assets, provided that the surviving entity shall have a net worth and other financial indicators sufficient to meet Tenant's obligations hereunder. Tenant shall give Landlord at least ten (10) days' prior written notice of any Permitted Transfer, such notice to include evidence, reasonably satisfactory to Landlord, that the conditions to the Permitted Transfer in question have been satisfied. Transfers to Affiliated Entities and to Successor which are permitted pursuant to this Section 13.7, are referred to collectively herein as "</w:t>
      </w:r>
      <w:r>
        <w:rPr>
          <w:rFonts w:ascii="Times New Roman" w:cs="Times New Roman" w:eastAsia="Times New Roman" w:hAnsi="Times New Roman"/>
          <w:sz w:val="21"/>
          <w:szCs w:val="21"/>
          <w:b w:val="1"/>
          <w:bCs w:val="1"/>
          <w:color w:val="auto"/>
        </w:rPr>
        <w:t>Permitted Transfers</w:t>
      </w:r>
      <w:r>
        <w:rPr>
          <w:rFonts w:ascii="Times New Roman" w:cs="Times New Roman" w:eastAsia="Times New Roman" w:hAnsi="Times New Roman"/>
          <w:sz w:val="21"/>
          <w:szCs w:val="21"/>
          <w:color w:val="auto"/>
        </w:rPr>
        <w:t>", and such Affiliated Entities and Successors are referred to herein as "</w:t>
      </w:r>
      <w:r>
        <w:rPr>
          <w:rFonts w:ascii="Times New Roman" w:cs="Times New Roman" w:eastAsia="Times New Roman" w:hAnsi="Times New Roman"/>
          <w:sz w:val="21"/>
          <w:szCs w:val="21"/>
          <w:b w:val="1"/>
          <w:bCs w:val="1"/>
          <w:color w:val="auto"/>
        </w:rPr>
        <w:t>Permitted Transferees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13.8Flagship Subleases. </w:t>
      </w:r>
      <w:r>
        <w:rPr>
          <w:rFonts w:ascii="Times New Roman" w:cs="Times New Roman" w:eastAsia="Times New Roman" w:hAnsi="Times New Roman"/>
          <w:sz w:val="22"/>
          <w:szCs w:val="22"/>
          <w:color w:val="auto"/>
        </w:rPr>
        <w:t>Notwithstanding anything to the contrary herein contained, Tenant shall have the right, upon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least ten (10) days' prior written notice from Tenant to Landlord, without obtaining Landlord's consent, and without giving Landlord a Recapture Notice, to enter into Flagship Subleases, as hereinafter defined. A "</w:t>
      </w:r>
      <w:r>
        <w:rPr>
          <w:rFonts w:ascii="Times New Roman" w:cs="Times New Roman" w:eastAsia="Times New Roman" w:hAnsi="Times New Roman"/>
          <w:sz w:val="22"/>
          <w:szCs w:val="22"/>
          <w:b w:val="1"/>
          <w:bCs w:val="1"/>
          <w:color w:val="auto"/>
        </w:rPr>
        <w:t>Flagship Sublease</w:t>
      </w:r>
      <w:r>
        <w:rPr>
          <w:rFonts w:ascii="Times New Roman" w:cs="Times New Roman" w:eastAsia="Times New Roman" w:hAnsi="Times New Roman"/>
          <w:sz w:val="22"/>
          <w:szCs w:val="22"/>
          <w:color w:val="auto"/>
        </w:rPr>
        <w:t>" shall be defined as a sublease or license of Internal Sublet Space, as hereinafter defined, to Flagship Entities, as hereinafter defined, provided however, that: (i) at no time shall more than 18,500 rentable square feet of the Premises, in the aggregate, be subject to Flagship Subleases, and (ii) no sublease or license shall be considered to be a Flagship Sublease if it is entered into for the purposes of avoiding the operation of the provisions of this Article 13 (e.g., without limitation, the requirement of obtaining Landlord's consent to such sublease, Landlord's recapture rights, etc.). A "</w:t>
      </w:r>
      <w:r>
        <w:rPr>
          <w:rFonts w:ascii="Times New Roman" w:cs="Times New Roman" w:eastAsia="Times New Roman" w:hAnsi="Times New Roman"/>
          <w:sz w:val="22"/>
          <w:szCs w:val="22"/>
          <w:b w:val="1"/>
          <w:bCs w:val="1"/>
          <w:color w:val="auto"/>
        </w:rPr>
        <w:t>Flagship Entity</w:t>
      </w:r>
      <w:r>
        <w:rPr>
          <w:rFonts w:ascii="Times New Roman" w:cs="Times New Roman" w:eastAsia="Times New Roman" w:hAnsi="Times New Roman"/>
          <w:sz w:val="22"/>
          <w:szCs w:val="22"/>
          <w:color w:val="auto"/>
        </w:rPr>
        <w:t>" shall be defined as any person or entity operating a business which, as of the date that such person or entity first occupies any portion of the Premises pursuant to its Flagship Sublease, has been provided funding from Flagship Pioneering, wholly or in part, but not less than fifty (50%) percent of the total funding received by such person or entity. An "</w:t>
      </w:r>
      <w:r>
        <w:rPr>
          <w:rFonts w:ascii="Times New Roman" w:cs="Times New Roman" w:eastAsia="Times New Roman" w:hAnsi="Times New Roman"/>
          <w:sz w:val="22"/>
          <w:szCs w:val="22"/>
          <w:b w:val="1"/>
          <w:bCs w:val="1"/>
          <w:color w:val="auto"/>
        </w:rPr>
        <w:t>Internal Sublet Space</w:t>
      </w:r>
      <w:r>
        <w:rPr>
          <w:rFonts w:ascii="Times New Roman" w:cs="Times New Roman" w:eastAsia="Times New Roman" w:hAnsi="Times New Roman"/>
          <w:sz w:val="22"/>
          <w:szCs w:val="22"/>
          <w:color w:val="auto"/>
        </w:rPr>
        <w:t>" shall consist of an area located in the Premises which has access to the common areas of the Building only through Tenant's reception area on the floor on which the Flagship Entity is located.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1" w:lineRule="exact"/>
        <w:rPr>
          <w:sz w:val="20"/>
          <w:szCs w:val="20"/>
          <w:color w:val="auto"/>
        </w:rPr>
      </w:pPr>
    </w:p>
    <w:p>
      <w:pPr>
        <w:ind w:left="760" w:right="5340" w:hanging="752"/>
        <w:spacing w:after="0" w:line="437" w:lineRule="auto"/>
        <w:tabs>
          <w:tab w:leader="none" w:pos="7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INSURANCE; INDEMNIFICATION; EXCULPATION 14.1 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Insurance</w:t>
      </w:r>
      <w:r>
        <w:rPr>
          <w:rFonts w:ascii="Times New Roman" w:cs="Times New Roman" w:eastAsia="Times New Roman" w:hAnsi="Times New Roman"/>
          <w:sz w:val="22"/>
          <w:szCs w:val="22"/>
          <w:color w:val="auto"/>
        </w:rPr>
        <w:t>.</w:t>
      </w:r>
    </w:p>
    <w:p>
      <w:pPr>
        <w:jc w:val="both"/>
        <w:ind w:firstLine="1505"/>
        <w:spacing w:after="0" w:line="246" w:lineRule="auto"/>
        <w:tabs>
          <w:tab w:leader="none" w:pos="203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procure, pay for and keep in force throughout the Term (and for so long 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One Million Dollars ($1,000,000) per occurrence and Two Million Dollars ($2,000,000) in the aggregate annually, and from time to time thereafter shall be not less than such higher amounts, if procurable, as may be reasonably required by Landlord. Tenant shall also carry umbrella liability coverage in an amount of no less than Ten Million Dollars ($10,000,000). Such policy shall also include contractual liability coverage covering Tenant's liability assumed under this Lease, including without limitation Tenant's indemnification obligations. Such insurance policy(ies) shall name Landlord, Landlord's managing agent and persons claiming by, through or under them, if any, as additional insureds.</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take out and maintain throughout the Term a policy of fire, vandalism, malicious mischief, extended coverage and so-called "all risk" coverage insurance in an amount equal to one hundred percent (100%) of the replacement cost insuring (i) all items or components of Alterations (collectively, the "</w:t>
      </w:r>
      <w:r>
        <w:rPr>
          <w:rFonts w:ascii="Times New Roman" w:cs="Times New Roman" w:eastAsia="Times New Roman" w:hAnsi="Times New Roman"/>
          <w:sz w:val="22"/>
          <w:szCs w:val="22"/>
          <w:b w:val="1"/>
          <w:bCs w:val="1"/>
          <w:color w:val="auto"/>
        </w:rPr>
        <w:t>Tenant-Insured Improvements</w:t>
      </w:r>
      <w:r>
        <w:rPr>
          <w:rFonts w:ascii="Times New Roman" w:cs="Times New Roman" w:eastAsia="Times New Roman" w:hAnsi="Times New Roman"/>
          <w:sz w:val="22"/>
          <w:szCs w:val="22"/>
          <w:color w:val="auto"/>
        </w:rPr>
        <w:t>"), and (ii) all of Tenant's furniture, equipment, fixtures and property of every kind, nature and description related or arising out of Tenant's leasehold estate hereunder, which may be in or upon the Premises or the Building, including without limitation Tenant's Penthouse Equipment (collectively,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Property</w:t>
      </w:r>
      <w:r>
        <w:rPr>
          <w:rFonts w:ascii="Times New Roman" w:cs="Times New Roman" w:eastAsia="Times New Roman" w:hAnsi="Times New Roman"/>
          <w:sz w:val="22"/>
          <w:szCs w:val="22"/>
          <w:color w:val="auto"/>
        </w:rPr>
        <w:t>"). The insurance required to be maintained by Tenant pursuant to this Section 14.1(b) (referred to herein as "</w:t>
      </w:r>
      <w:r>
        <w:rPr>
          <w:rFonts w:ascii="Times New Roman" w:cs="Times New Roman" w:eastAsia="Times New Roman" w:hAnsi="Times New Roman"/>
          <w:sz w:val="22"/>
          <w:szCs w:val="22"/>
          <w:b w:val="1"/>
          <w:bCs w:val="1"/>
          <w:color w:val="auto"/>
        </w:rPr>
        <w:t>Tenant Property Insurance</w:t>
      </w:r>
      <w:r>
        <w:rPr>
          <w:rFonts w:ascii="Times New Roman" w:cs="Times New Roman" w:eastAsia="Times New Roman" w:hAnsi="Times New Roman"/>
          <w:sz w:val="22"/>
          <w:szCs w:val="22"/>
          <w:color w:val="auto"/>
        </w:rPr>
        <w:t>") shall insure the interests of both Landlord and Tenant as their respective interests may appear from time to time.</w:t>
      </w:r>
    </w:p>
    <w:p>
      <w:pPr>
        <w:spacing w:after="0" w:line="178" w:lineRule="exact"/>
        <w:rPr>
          <w:rFonts w:ascii="Times New Roman" w:cs="Times New Roman" w:eastAsia="Times New Roman" w:hAnsi="Times New Roman"/>
          <w:sz w:val="22"/>
          <w:szCs w:val="22"/>
          <w:color w:val="auto"/>
        </w:rPr>
      </w:pPr>
    </w:p>
    <w:p>
      <w:pPr>
        <w:ind w:firstLine="1505"/>
        <w:spacing w:after="0" w:line="282" w:lineRule="auto"/>
        <w:tabs>
          <w:tab w:leader="none" w:pos="2036"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take out and maintain a policy of business interruption insurance throughout the Term sufficient to cover at least twelve (12) months of Rent due hereunder and Tenant's business losses during such 12-month period.</w:t>
      </w:r>
    </w:p>
    <w:p>
      <w:pPr>
        <w:spacing w:after="0" w:line="134"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periods when any Tenant's Work or Alterations are being performed, Tenant shall maintain, or cause to be maintained, so-called all risk or special cause of loss property insurance or its equivalent and/or builders risk insurance on 100% replacement cost coverage basis, including hard and soft costs coverages. Such insurance shall protect and insure Landlord, Landlord's agents, Tenant and Tenant's contractors, as their interests may appear, against loss or damage by fire, water damage, vandalism and malicious mischief, and such other risks as are customarily covered by so-called all risk or special cause of loss property / builders risk coverage or its equivalent.</w:t>
      </w:r>
    </w:p>
    <w:p>
      <w:pPr>
        <w:spacing w:after="0" w:line="181"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procure and maintain at its sole expense such additional insurance as may be necessary to comply with any Legal Requirements.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cause all contractors and subcontractors to maintain during the performance of any Alterations the insurance described in </w:t>
      </w:r>
      <w:r>
        <w:rPr>
          <w:rFonts w:ascii="Times New Roman" w:cs="Times New Roman" w:eastAsia="Times New Roman" w:hAnsi="Times New Roman"/>
          <w:sz w:val="22"/>
          <w:szCs w:val="22"/>
          <w:u w:val="single" w:color="auto"/>
          <w:color w:val="auto"/>
        </w:rPr>
        <w:t>Exhibit 9</w:t>
      </w:r>
      <w:r>
        <w:rPr>
          <w:rFonts w:ascii="Times New Roman" w:cs="Times New Roman" w:eastAsia="Times New Roman" w:hAnsi="Times New Roman"/>
          <w:sz w:val="22"/>
          <w:szCs w:val="22"/>
          <w:color w:val="auto"/>
        </w:rPr>
        <w:t xml:space="preserve"> attached hereto.</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1" w:lineRule="exact"/>
        <w:rPr>
          <w:sz w:val="20"/>
          <w:szCs w:val="20"/>
          <w:color w:val="auto"/>
        </w:rPr>
      </w:pPr>
    </w:p>
    <w:p>
      <w:pPr>
        <w:jc w:val="both"/>
        <w:ind w:firstLine="1505"/>
        <w:spacing w:after="0" w:line="234" w:lineRule="auto"/>
        <w:tabs>
          <w:tab w:leader="none" w:pos="20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insurance required pursuant to Sections 14.1(a), (b), (c), (d) and (e) (collectively,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Insurance Policies</w:t>
      </w:r>
      <w:r>
        <w:rPr>
          <w:rFonts w:ascii="Times New Roman" w:cs="Times New Roman" w:eastAsia="Times New Roman" w:hAnsi="Times New Roman"/>
          <w:sz w:val="22"/>
          <w:szCs w:val="22"/>
          <w:color w:val="auto"/>
        </w:rPr>
        <w:t>") shall be effected with insurers approved by Landlord, with a rating of not less than "A-XI" in the current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Best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 Insurance Reports</w:t>
      </w:r>
      <w:r>
        <w:rPr>
          <w:rFonts w:ascii="Times New Roman" w:cs="Times New Roman" w:eastAsia="Times New Roman" w:hAnsi="Times New Roman"/>
          <w:sz w:val="22"/>
          <w:szCs w:val="22"/>
          <w:color w:val="auto"/>
        </w:rPr>
        <w:t>, and authorized to do business in the Commonwealth of Massachusetts under valid and enforceable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policies. Tenant's Insurance Policies shall each provide that it shall not be canceled or modified without at least thirty (30) days' prior written notice to each insured named therein. Tenant's Insurance Policies may include deductibles in an amount no greater than the greater of $25,000 or commercially reasonable amounts. On or before the date on which any of the Tenant Parties shall first enter the Premises and thereafter not less than fifteen (15) days prior to the expiration date of each expiring policy, Tenant shall deliver to Landlord binders of Tenant's Insurance Policies issued by the respective insurers setting forth in full the provisions thereof together with evidence satisfactory to Landlord of the payment of all premiums for such policies. In the event of any claim, and upon Landlord's request, Tenant shall deliver to Landlord complete copies of Tenant's Insurance Policies. Upon request of Landlord, Tenant shall deliver to any Mortgagee copies of the foregoing documents.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14.2Indemnification</w:t>
      </w:r>
      <w:r>
        <w:rPr>
          <w:rFonts w:ascii="Times New Roman" w:cs="Times New Roman" w:eastAsia="Times New Roman" w:hAnsi="Times New Roman"/>
          <w:sz w:val="22"/>
          <w:szCs w:val="22"/>
          <w:color w:val="auto"/>
        </w:rPr>
        <w:t>. Except to the extent caused by the negligence or willful misconduct of any of the Landlord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Tenant shall defend, indemnify and save the Landlord Parties harmless from and against any and all Claims asserted by or on behalf of any person, firm, corporation or public authority arising from:</w:t>
      </w:r>
    </w:p>
    <w:p>
      <w:pPr>
        <w:spacing w:after="0" w:line="171" w:lineRule="exact"/>
        <w:rPr>
          <w:sz w:val="20"/>
          <w:szCs w:val="20"/>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breach of any covenant or obligation under this Lease;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injury to or death of any person, or loss of or damage to property, sustained or occurring in, upon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Premises;</w:t>
      </w:r>
    </w:p>
    <w:p>
      <w:pPr>
        <w:spacing w:after="0" w:line="182" w:lineRule="exact"/>
        <w:rPr>
          <w:sz w:val="20"/>
          <w:szCs w:val="20"/>
          <w:color w:val="auto"/>
        </w:rPr>
      </w:pPr>
    </w:p>
    <w:p>
      <w:pPr>
        <w:ind w:firstLine="1505"/>
        <w:spacing w:after="0" w:line="258"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injury to or death of any person, or loss of or damage to property arising out of the use or occupancy of the Premises by or the negligence or willful misconduct of any of the Tenant Parties; and</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account of or based upon any work or thing whatsoever done (other than by Landlord or any of the Landlord Parties) at the Premises during the Term and during the period of time, if any, prior to the Term Commencement Date that any of the Tenant Parties may have been given access to the Premises.</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14.3Property of Tenant</w:t>
      </w:r>
      <w:r>
        <w:rPr>
          <w:rFonts w:ascii="Times New Roman" w:cs="Times New Roman" w:eastAsia="Times New Roman" w:hAnsi="Times New Roman"/>
          <w:sz w:val="22"/>
          <w:szCs w:val="22"/>
          <w:color w:val="auto"/>
        </w:rPr>
        <w:t>. Tenant covenants and agrees that, to the maximum extent permitted by Legal Requirements,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Tenant's Property at the Premises shall be at the sole risk and hazard of Tenant, and that if the whole or any part thereof shall be damaged, destroyed, stolen or removed from any cause or reason whatsoever, no part of said damage or loss shall be charged to, or borne by, Landlord, except, subject to Section 14.5 hereof, to the extent such damage or loss is due to the negligence or willful misconduct of any of the Landlord Parties.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14.4Limitation of 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Liability for Damage or Injury</w:t>
      </w:r>
      <w:r>
        <w:rPr>
          <w:rFonts w:ascii="Times New Roman" w:cs="Times New Roman" w:eastAsia="Times New Roman" w:hAnsi="Times New Roman"/>
          <w:sz w:val="22"/>
          <w:szCs w:val="22"/>
          <w:color w:val="auto"/>
        </w:rPr>
        <w:t>. Landlord shall not be liable for any injury or damage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or property resulting from fire, explosion, 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except, subject to Section 14.5, to the extent caused by or due to the negligence or willful misconduct of any of the Landlord Parties, and then, where notice and an opportunity to cure are appropriate (i.e., where Tenant has an opportunity to know or should have known of such condition sufficiently in advance of the occurrence of any such injury or damage resulting therefrom as would have enabled Landlord to prevent such damage or loss had Tenant notified Landlord of such condition) only after (i) notice to Landlord of the condition claimed to constitute negligence or willful misconduct, and (ii) the expiration of a reasonable time after such notice has been received by Landlord without Landlord having commenced to take all reasonable and practicable means to cure or correct such condition; and pending such cure or correction by Landlord, Tenant shall take all reasonably prudent temporary measures and safeguards to prevent any injury, loss or damage to persons or property. Notwithstanding the foregoing, in no event shall any of the Landlord Parties be liable for any loss which is covered by insurance policies actually carried or required to be so carried by this Lease; nor shall any of the Landlord Parties be liable for any such damage caused by other tenants or persons in the Building or caused by operations in construction of any private, public, or quasi-public work; nor shall any of the Landlord Parties be liable for any latent defect in the Premises or in the Building.</w:t>
      </w:r>
    </w:p>
    <w:p>
      <w:pPr>
        <w:spacing w:after="0" w:line="19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14.5Waiver of Subrogation; Mutual Release</w:t>
      </w:r>
      <w:r>
        <w:rPr>
          <w:rFonts w:ascii="Times New Roman" w:cs="Times New Roman" w:eastAsia="Times New Roman" w:hAnsi="Times New Roman"/>
          <w:sz w:val="22"/>
          <w:szCs w:val="22"/>
          <w:color w:val="auto"/>
        </w:rPr>
        <w:t>. Landlord and Tenant each hereby waives on behalf of itself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insurers (none of which shall ever be assigned any such claim or be entitled thereto due to subrogation or otherwise) any and all rights of recovery, claim, action, or cause of action against the other and its agents, officers, servants, partners, shareholders, or employees (collectively, the "</w:t>
      </w:r>
      <w:r>
        <w:rPr>
          <w:rFonts w:ascii="Times New Roman" w:cs="Times New Roman" w:eastAsia="Times New Roman" w:hAnsi="Times New Roman"/>
          <w:sz w:val="22"/>
          <w:szCs w:val="22"/>
          <w:b w:val="1"/>
          <w:bCs w:val="1"/>
          <w:color w:val="auto"/>
        </w:rPr>
        <w:t>Related Parties</w:t>
      </w:r>
      <w:r>
        <w:rPr>
          <w:rFonts w:ascii="Times New Roman" w:cs="Times New Roman" w:eastAsia="Times New Roman" w:hAnsi="Times New Roman"/>
          <w:sz w:val="22"/>
          <w:szCs w:val="22"/>
          <w:color w:val="auto"/>
        </w:rPr>
        <w:t>") for any loss or damage that may occur to or within the Premises or the Building or any improvements thereto, or any personal property of such party therein which is insured against under any Property Insurance (as defined in Section 14.7) policy actually being maintained by the waiving party from time to time, even if not required hereunder, or which would be insured against under the terms of any Property Insurance policy required to be carried or maintained by the waiving party hereunder, whether or not such insurance coverage is actually being maintained, including, in every instance, such loss or damage that may be caused by the negligence of the other party hereto and/or its Related Parties. Landlord and Tenant each agrees to cause appropriate clauses to be included in its Property Insurance policies necessary to implement the foregoing provisions.</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14.6Tenant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Acts--Effect on Insurance</w:t>
      </w:r>
      <w:r>
        <w:rPr>
          <w:rFonts w:ascii="Times New Roman" w:cs="Times New Roman" w:eastAsia="Times New Roman" w:hAnsi="Times New Roman"/>
          <w:sz w:val="22"/>
          <w:szCs w:val="22"/>
          <w:color w:val="auto"/>
        </w:rPr>
        <w:t>. Tenant shall not do or permit any Tenant Party to do any act or thing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or elsewhere in the Building which will invalidate or be in conflict with any insurance policies covering the Building and the fixtures and property therein; and shall not do, or permit to be done, any act or thing upon the Premises which shall subject Landlord to any liability or responsibility for injury to any person or persons or to property by reason of any business or operation being carried on upon said Premises or for any other reason. If by reason of the failure of Tenant to comply with the provisions hereof the insurance rate applicable to any policy of insurance shall at any time thereafter be higher than it otherwise would be, Tenant shall reimburse Landlord upon demand for that part of any insurance premiums which</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shall have been charged because of such failure by Tenant, together with interest at the Default Rate until paid in full, within ten</w:t>
      </w:r>
    </w:p>
    <w:p>
      <w:pPr>
        <w:spacing w:after="0" w:line="26" w:lineRule="exact"/>
        <w:rPr>
          <w:sz w:val="20"/>
          <w:szCs w:val="20"/>
          <w:color w:val="auto"/>
        </w:rPr>
      </w:pPr>
    </w:p>
    <w:p>
      <w:pPr>
        <w:ind w:firstLine="8"/>
        <w:spacing w:after="0" w:line="237" w:lineRule="auto"/>
        <w:tabs>
          <w:tab w:leader="none" w:pos="41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an invoice therefor. In addition, Tenant shall reimburse Landlord for any increase in insurance premium arising as a result of Tenant's use and/or storage of any Hazardous Materials in the Premises.</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14.7Landlord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Insurance</w:t>
      </w:r>
      <w:r>
        <w:rPr>
          <w:rFonts w:ascii="Times New Roman" w:cs="Times New Roman" w:eastAsia="Times New Roman" w:hAnsi="Times New Roman"/>
          <w:sz w:val="22"/>
          <w:szCs w:val="22"/>
          <w:color w:val="auto"/>
        </w:rPr>
        <w:t>. Landlord shall carry at all times during the Term of this Lease: (i) commercial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insurance with respect to the Building, the Land and the Common Areas thereof in an amount not less than Five Million Dollars ($5,000,000) combined single limit per occurrence, (ii) with respect to the Building, excluding Tenant-Insured Improvements and improvements made by other tenants or occupants, insurance against loss or damage caused by any peril covered under fire, extended coverage and all risk insurance with coverage against vandalism, malicious mischief and such other insurable hazards and contingencies as are from time to time normally insured against by owners of similar first class offices/research/laboratory buildings/campuses in the Market Area or which are required by Landlord's mortgagee, in an amount equal to one hundred percent (100%) of the full replacement cost thereof above foundation walls ("</w:t>
      </w:r>
      <w:r>
        <w:rPr>
          <w:rFonts w:ascii="Times New Roman" w:cs="Times New Roman" w:eastAsia="Times New Roman" w:hAnsi="Times New Roman"/>
          <w:sz w:val="22"/>
          <w:szCs w:val="22"/>
          <w:b w:val="1"/>
          <w:bCs w:val="1"/>
          <w:color w:val="auto"/>
        </w:rPr>
        <w:t>Landlord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 and (iii) rent interruption insurance covering at least eighteen (18) months. Any and all such insurance: (x)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maintained under a blanket policy affecting other properties of Landlord and/or its affiliated business organizations, and (y) may be written with commercially reasonable deductibles as determined by Landlord. The costs incurred by Landlord related to such insurance shall be included in Operating Costs. Tenant Property Insurance and Landlord Property Insurance are referred to collectively herein as "</w:t>
      </w:r>
      <w:r>
        <w:rPr>
          <w:rFonts w:ascii="Times New Roman" w:cs="Times New Roman" w:eastAsia="Times New Roman" w:hAnsi="Times New Roman"/>
          <w:sz w:val="22"/>
          <w:szCs w:val="22"/>
          <w:b w:val="1"/>
          <w:bCs w:val="1"/>
          <w:color w:val="auto"/>
        </w:rPr>
        <w:t>Property Insurance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CASUALTY; TAKING</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15.1Damage</w:t>
      </w:r>
      <w:r>
        <w:rPr>
          <w:rFonts w:ascii="Times New Roman" w:cs="Times New Roman" w:eastAsia="Times New Roman" w:hAnsi="Times New Roman"/>
          <w:sz w:val="21"/>
          <w:szCs w:val="21"/>
          <w:color w:val="auto"/>
        </w:rPr>
        <w:t>. If the Premises are damaged in whole or part because of fire or other insured casualty ("</w:t>
      </w:r>
      <w:r>
        <w:rPr>
          <w:rFonts w:ascii="Times New Roman" w:cs="Times New Roman" w:eastAsia="Times New Roman" w:hAnsi="Times New Roman"/>
          <w:sz w:val="21"/>
          <w:szCs w:val="21"/>
          <w:b w:val="1"/>
          <w:bCs w:val="1"/>
          <w:color w:val="auto"/>
        </w:rPr>
        <w:t>Casualty</w:t>
      </w:r>
      <w:r>
        <w:rPr>
          <w:rFonts w:ascii="Times New Roman" w:cs="Times New Roman" w:eastAsia="Times New Roman" w:hAnsi="Times New Roman"/>
          <w:sz w:val="21"/>
          <w:szCs w:val="21"/>
          <w:color w:val="auto"/>
        </w:rPr>
        <w:t>"), or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Premises are subject to a taking in connection with the exercise of any power of eminent domain, condemnation, or purchase under threat or in lieu thereof (any of the foregoing, a " </w:t>
      </w:r>
      <w:r>
        <w:rPr>
          <w:rFonts w:ascii="Times New Roman" w:cs="Times New Roman" w:eastAsia="Times New Roman" w:hAnsi="Times New Roman"/>
          <w:sz w:val="21"/>
          <w:szCs w:val="21"/>
          <w:b w:val="1"/>
          <w:bCs w:val="1"/>
          <w:color w:val="auto"/>
        </w:rPr>
        <w:t>Taking</w:t>
      </w:r>
      <w:r>
        <w:rPr>
          <w:rFonts w:ascii="Times New Roman" w:cs="Times New Roman" w:eastAsia="Times New Roman" w:hAnsi="Times New Roman"/>
          <w:sz w:val="21"/>
          <w:szCs w:val="21"/>
          <w:color w:val="auto"/>
        </w:rPr>
        <w:t>"), then unless this Lease is terminated in accordance with Section 15.2 below, Landlord shall restore the Building and/or the Premises to substantially the same condition as existed immediately following completion of Landlord's Work, or in the event of a partial Taking which affects the Building and the Premises, restore the remainder of the Building and the Premises not so Taken to substantially the same condition as is reasonably feasible.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rights of Mortgagees, Tenant Delays, Legal Requirements then in existence and to delays for adjustment of insurance proceeds or Taking awards, as the case may be, and instances of Force Majeure, Landlord shall substantially complete such restoration within one (1) year after Landlord's receipt of all required permits therefor with respect to substantial reconstruction of at least 50% of the Building, or, within one hundred eighty (180) days after Landlord's receipt of all required permits therefor in the case of restoration of less than 50% of the Building. Upon substantial completion of such restoration by Landlord, Tenant shall use diligent efforts to complete restoration of the Premises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Premises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or the Building. In no event shall Landlord be required to expend more than the Net (hereinafter defined) insurance proceeds Landlord receives for damage to the Premises and/or the Building or the Net Taking award attributable to the Premises and/or the Building. "</w:t>
      </w:r>
      <w:r>
        <w:rPr>
          <w:rFonts w:ascii="Times New Roman" w:cs="Times New Roman" w:eastAsia="Times New Roman" w:hAnsi="Times New Roman"/>
          <w:sz w:val="22"/>
          <w:szCs w:val="22"/>
          <w:b w:val="1"/>
          <w:bCs w:val="1"/>
          <w:color w:val="auto"/>
        </w:rPr>
        <w:t>Net</w:t>
      </w:r>
      <w:r>
        <w:rPr>
          <w:rFonts w:ascii="Times New Roman" w:cs="Times New Roman" w:eastAsia="Times New Roman" w:hAnsi="Times New Roman"/>
          <w:sz w:val="22"/>
          <w:szCs w:val="22"/>
          <w:color w:val="auto"/>
        </w:rPr>
        <w:t>" means the insurance proceeds or Taking award actually paid to Landlord (and not paid over to a Mortgagee) less all costs and expenses, including adjusters and attorney's fees, of obtaining the same. In the Operating Year in which a Casualty occurs, there shall be included in Operating Costs Landlord's deductible under its property insurance policy. Except as Landlord may elect pursuant to this Section 15.1, under no circumstances shall Landlord be required to repair any damage to, or make any repairs to or replacements of, any Tenant-Insured Improvements.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15.2Termination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40" w:hanging="535"/>
        <w:spacing w:after="0"/>
        <w:tabs>
          <w:tab w:leader="none" w:pos="20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Termination Rights. Landlord may terminate this Lease upon thirty (30) days' prior written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to Tenant if:</w:t>
      </w:r>
    </w:p>
    <w:p>
      <w:pPr>
        <w:spacing w:after="0" w:line="18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portion of the Building or any material means of access thereto is taken;</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thirty-five percent (35%) of the Building is damaged by Casualty; or</w:t>
      </w:r>
    </w:p>
    <w:p>
      <w:pPr>
        <w:spacing w:after="0" w:line="206" w:lineRule="exact"/>
        <w:rPr>
          <w:sz w:val="20"/>
          <w:szCs w:val="20"/>
          <w:color w:val="auto"/>
        </w:rPr>
      </w:pPr>
    </w:p>
    <w:p>
      <w:pPr>
        <w:ind w:right="3020" w:firstLine="2246"/>
        <w:spacing w:after="0" w:line="435" w:lineRule="auto"/>
        <w:rPr>
          <w:sz w:val="20"/>
          <w:szCs w:val="20"/>
          <w:color w:val="auto"/>
        </w:rPr>
      </w:pPr>
      <w:r>
        <w:rPr>
          <w:rFonts w:ascii="Times New Roman" w:cs="Times New Roman" w:eastAsia="Times New Roman" w:hAnsi="Times New Roman"/>
          <w:sz w:val="22"/>
          <w:szCs w:val="22"/>
          <w:color w:val="auto"/>
        </w:rPr>
        <w:t>(iii)if the estimated time to complete restoration exceeds one (1) year from the date on which Landlord receives all required permits for such restoration.</w:t>
      </w:r>
    </w:p>
    <w:p>
      <w:pPr>
        <w:spacing w:after="0" w:line="1" w:lineRule="exact"/>
        <w:rPr>
          <w:sz w:val="20"/>
          <w:szCs w:val="20"/>
          <w:color w:val="auto"/>
        </w:rPr>
      </w:pPr>
    </w:p>
    <w:p>
      <w:pPr>
        <w:jc w:val="both"/>
        <w:ind w:firstLine="1505"/>
        <w:spacing w:after="0" w:line="235"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Termination Right</w:t>
      </w:r>
      <w:r>
        <w:rPr>
          <w:rFonts w:ascii="Times New Roman" w:cs="Times New Roman" w:eastAsia="Times New Roman" w:hAnsi="Times New Roman"/>
          <w:sz w:val="22"/>
          <w:szCs w:val="22"/>
          <w:color w:val="auto"/>
        </w:rPr>
        <w:t>. If Landlord is so required but fails to complete restoration of the Premises within the time frames and subject to the conditions set forth in Section 15.1 above, then Tenant may terminate this Lease upon thirty (30) days' written notice to Landlord; provided, however, that if Landlord completes such restoration within thirty (30) days after receipt of any such termination notice, such termination notice shall be null and void and this Lease shall continue in full force and effect. The remedies set forth in this Section 15.2(b) and in Section 15.2(c) below are Tenant's sole and exclusive rights and remedies based upon Landlord's failure to complete the restoration of the Premises as set forth herein. Notwithstanding anything to the contrary contained herein, Tenant shall not have the right to terminate this Lease pursuant to this Section 15 if the Casualty was caused by the negligence or intentional misconduct of any Tenant Party.</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Either Party May Terminate</w:t>
      </w:r>
      <w:r>
        <w:rPr>
          <w:rFonts w:ascii="Times New Roman" w:cs="Times New Roman" w:eastAsia="Times New Roman" w:hAnsi="Times New Roman"/>
          <w:sz w:val="22"/>
          <w:szCs w:val="22"/>
          <w:color w:val="auto"/>
        </w:rPr>
        <w:t>. In the case of any Casualty or Taking affecting the Premises and occurring during the last twelve (12) months of the Term, then (i) if such Casualty or Taking results in more than twenty-five percent (25%) of the floor area of the Premises being unsuitable for the Permitted Uses, or (ii) the damage to the Premises costs more than $250,000 to restore, then either Landlord or Tenant shall have the option to terminate this Lease upon thirty (30) days' written notice to the other. In addition, if Landlord's Mortgagee does not release sufficient insurance proceeds to cover the cost of Landlord's restoration obligations, then Landlord shall (i) notify Tenant thereof, and (ii) have the right to terminate this Lease. If Landlord does not terminate this Lease pursuant to the previous sentence and such notice by Landlord does not include an agreement by Landlord to pay for the difference between the cost of such restoration and such released insurance proceeds, then Tenant may terminate this Lease by written notice to</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Landlord on or before the date that is thirty (30) days after such notice. Notwithstanding anything to the contrary contained in this Section 15, in no event may Tenant elect to terminate this Lease hereunder if the Casualty that would otherwise give rise to such right results from the gross negligence or willful misconduct of Tenant, its agents, contractors, or employees.</w:t>
      </w:r>
    </w:p>
    <w:p>
      <w:pPr>
        <w:spacing w:after="0" w:line="173" w:lineRule="exact"/>
        <w:rPr>
          <w:sz w:val="20"/>
          <w:szCs w:val="20"/>
          <w:color w:val="auto"/>
        </w:rPr>
      </w:pPr>
    </w:p>
    <w:p>
      <w:pPr>
        <w:ind w:firstLine="1505"/>
        <w:spacing w:after="0" w:line="258" w:lineRule="auto"/>
        <w:tabs>
          <w:tab w:leader="none" w:pos="203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Termination</w:t>
      </w:r>
      <w:r>
        <w:rPr>
          <w:rFonts w:ascii="Times New Roman" w:cs="Times New Roman" w:eastAsia="Times New Roman" w:hAnsi="Times New Roman"/>
          <w:sz w:val="22"/>
          <w:szCs w:val="22"/>
          <w:color w:val="auto"/>
        </w:rPr>
        <w:t>. In the case of a Taking of the entire Premises, then this Lease shall automatically terminate as of the date of possession by the Taking authority.</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15.3Rent Abatement</w:t>
      </w:r>
      <w:r>
        <w:rPr>
          <w:rFonts w:ascii="Times New Roman" w:cs="Times New Roman" w:eastAsia="Times New Roman" w:hAnsi="Times New Roman"/>
          <w:sz w:val="22"/>
          <w:szCs w:val="22"/>
          <w:color w:val="auto"/>
        </w:rPr>
        <w:t>. In the event of a Casualty affecting the Premises, there shall be an equitable adjustment of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Rent, Operating Costs and Taxes based upon the degree to which Tenant's ability to conduct its business in the Premises is impaired by reason of such Casualty from and after the date of a Casualty, and continuing until the following portions of the repair and restoration work to be performed by Landlord, as set forth above, are substantially completed: (i) any repair and restoration work to be performed by Landlord within the Premises, and (ii) repair and restoration work with respect to the Common Areas to the extent that damage to the Common Areas caused by such Casualty materially adversely affects Tenant's use of, or access to, the Premises.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15.4Taking for Temporary Use</w:t>
      </w:r>
      <w:r>
        <w:rPr>
          <w:rFonts w:ascii="Times New Roman" w:cs="Times New Roman" w:eastAsia="Times New Roman" w:hAnsi="Times New Roman"/>
          <w:sz w:val="22"/>
          <w:szCs w:val="22"/>
          <w:color w:val="auto"/>
        </w:rPr>
        <w:t>. If the Premises are Taken for temporary use, this Lease and Tenant's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without limitation the payment of Rent, shall continue. For purposes hereof, a "</w:t>
      </w:r>
      <w:r>
        <w:rPr>
          <w:rFonts w:ascii="Times New Roman" w:cs="Times New Roman" w:eastAsia="Times New Roman" w:hAnsi="Times New Roman"/>
          <w:sz w:val="22"/>
          <w:szCs w:val="22"/>
          <w:b w:val="1"/>
          <w:bCs w:val="1"/>
          <w:color w:val="auto"/>
        </w:rPr>
        <w:t>Taking for temporary use</w:t>
      </w:r>
      <w:r>
        <w:rPr>
          <w:rFonts w:ascii="Times New Roman" w:cs="Times New Roman" w:eastAsia="Times New Roman" w:hAnsi="Times New Roman"/>
          <w:sz w:val="22"/>
          <w:szCs w:val="22"/>
          <w:color w:val="auto"/>
        </w:rPr>
        <w:t>" shall mean a Taking of ninety (90) days or less.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15.5Disposition of Awards</w:t>
      </w:r>
      <w:r>
        <w:rPr>
          <w:rFonts w:ascii="Times New Roman" w:cs="Times New Roman" w:eastAsia="Times New Roman" w:hAnsi="Times New Roman"/>
          <w:sz w:val="22"/>
          <w:szCs w:val="22"/>
          <w:color w:val="auto"/>
        </w:rPr>
        <w:t>. Except for any separate award for Tenant's movable trade fixtures, relocation expenses,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unamortized leasehold improvements paid for by Tenant (provided that the same may not reduce Landlord's award), all Taking awards to Landlord or Tenant shall be Landlord's property without Tenant's participation, and Tenant hereby assigns to Landlord Tenant's interest, if any, in such award. Tenant may pursue its own claim against the Taking authority.</w:t>
      </w:r>
    </w:p>
    <w:p>
      <w:pPr>
        <w:spacing w:after="0" w:line="172" w:lineRule="exact"/>
        <w:rPr>
          <w:sz w:val="20"/>
          <w:szCs w:val="20"/>
          <w:color w:val="auto"/>
        </w:rPr>
      </w:pPr>
    </w:p>
    <w:p>
      <w:pPr>
        <w:ind w:left="760" w:hanging="752"/>
        <w:spacing w:after="0"/>
        <w:tabs>
          <w:tab w:leader="none" w:pos="76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ESTOPPEL CERTIFICATE.</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Tenant shall at any time and from time to time upon not less than ten (10) business days' prior notice from Landlord, execute, acknowledge and deliver to Landlord a statement in writing certifying that this Lease is unmodified and in full force and effect (or if there have been modifications, that the same is in full force and effect as modified and stating the modifications), and the dates to which Rent has been paid in advance, if any, stating whether or not Landlord is in default in performance of any covenant, agreement, term, provision or condition contained in this Lease and, if so, specifying each such default, and such other facts as Landlord may reasonably request, it being intended that any such statement delivered pursuant hereto may be relied upon by Landlord, any prospective purchaser of the Building or of any interest of Landlord therein, any Mortgagee or prospective Mortgagee thereof, any lessor or prospective lessor thereof, any lessee or prospective lessee thereof, or any prospective assignee of any mortgage thereof. </w:t>
      </w:r>
      <w:r>
        <w:rPr>
          <w:rFonts w:ascii="Times New Roman" w:cs="Times New Roman" w:eastAsia="Times New Roman" w:hAnsi="Times New Roman"/>
          <w:sz w:val="22"/>
          <w:szCs w:val="22"/>
          <w:i w:val="1"/>
          <w:iCs w:val="1"/>
          <w:color w:val="auto"/>
        </w:rPr>
        <w:t>Time is of the essence with respect to any such requested certificate</w:t>
      </w:r>
      <w:r>
        <w:rPr>
          <w:rFonts w:ascii="Times New Roman" w:cs="Times New Roman" w:eastAsia="Times New Roman" w:hAnsi="Times New Roman"/>
          <w:sz w:val="22"/>
          <w:szCs w:val="22"/>
          <w:color w:val="auto"/>
        </w:rPr>
        <w:t>, Tenant hereby acknowledging the importance of such certificates in mortgage financing arrangements, prospective sales and the like. If Tenant shall fail to execute and deliver to Landlord any such statement within such ten-day</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period, Tenant hereby appoints Landlord as Tenant's attorney-in-fact in its name and behalf to execute such statement, such appointment being coupled with an interest.</w:t>
      </w:r>
    </w:p>
    <w:p>
      <w:pPr>
        <w:spacing w:after="0" w:line="154" w:lineRule="exact"/>
        <w:rPr>
          <w:sz w:val="20"/>
          <w:szCs w:val="20"/>
          <w:color w:val="auto"/>
        </w:rPr>
      </w:pPr>
    </w:p>
    <w:p>
      <w:pPr>
        <w:ind w:left="760" w:right="7760" w:hanging="752"/>
        <w:spacing w:after="0" w:line="458" w:lineRule="auto"/>
        <w:tabs>
          <w:tab w:leader="none" w:pos="760"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HAZARDOUS MATERIALS 17.1 Prohibition</w:t>
      </w:r>
      <w:r>
        <w:rPr>
          <w:rFonts w:ascii="Times New Roman" w:cs="Times New Roman" w:eastAsia="Times New Roman" w:hAnsi="Times New Roman"/>
          <w:sz w:val="21"/>
          <w:szCs w:val="21"/>
          <w:color w:val="auto"/>
        </w:rPr>
        <w:t>.</w:t>
      </w:r>
    </w:p>
    <w:p>
      <w:pPr>
        <w:jc w:val="both"/>
        <w:ind w:firstLine="1505"/>
        <w:spacing w:after="0" w:line="234" w:lineRule="auto"/>
        <w:tabs>
          <w:tab w:leader="none" w:pos="203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not, without the prior written consent of Landlord, bring or permit to be brought or kept in or on the Premises or elsewhere in the Building or the Property (i) any inflammable, combustible or explosive fluid, material, chemical or substance (except for standard office supplies stored in proper containers); and (ii) any Hazardous Material (hereinafter defined), other than the types and quantities of Hazardous Materials which are listed on </w:t>
      </w:r>
      <w:r>
        <w:rPr>
          <w:rFonts w:ascii="Times New Roman" w:cs="Times New Roman" w:eastAsia="Times New Roman" w:hAnsi="Times New Roman"/>
          <w:sz w:val="22"/>
          <w:szCs w:val="22"/>
          <w:u w:val="single" w:color="auto"/>
          <w:color w:val="auto"/>
        </w:rPr>
        <w:t>Exhibit 7</w:t>
      </w:r>
      <w:r>
        <w:rPr>
          <w:rFonts w:ascii="Times New Roman" w:cs="Times New Roman" w:eastAsia="Times New Roman" w:hAnsi="Times New Roman"/>
          <w:sz w:val="22"/>
          <w:szCs w:val="22"/>
          <w:color w:val="auto"/>
        </w:rPr>
        <w:t xml:space="preserve"> attached hereto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Hazardous Materials</w:t>
      </w:r>
      <w:r>
        <w:rPr>
          <w:rFonts w:ascii="Times New Roman" w:cs="Times New Roman" w:eastAsia="Times New Roman" w:hAnsi="Times New Roman"/>
          <w:sz w:val="22"/>
          <w:szCs w:val="22"/>
          <w:color w:val="auto"/>
        </w:rPr>
        <w:t xml:space="preserve">"), provided that the same shall at all times be brought upon, kept or used in so-called 'control areas' and in accordance with all applicable Legal Requirements, including, without limitation, all applicable Environmental Laws (hereinafter defined); and in accordance with prudent environmental practice and (with respect to medical waste and so-called "biohazard" materials) good scientific and medical practice. Tenant's control areas shall be located in the areas shown on </w:t>
      </w:r>
      <w:r>
        <w:rPr>
          <w:rFonts w:ascii="Times New Roman" w:cs="Times New Roman" w:eastAsia="Times New Roman" w:hAnsi="Times New Roman"/>
          <w:sz w:val="22"/>
          <w:szCs w:val="22"/>
          <w:u w:val="single" w:color="auto"/>
          <w:color w:val="auto"/>
        </w:rPr>
        <w:t>Exhibit 7-1</w:t>
      </w:r>
      <w:r>
        <w:rPr>
          <w:rFonts w:ascii="Times New Roman" w:cs="Times New Roman" w:eastAsia="Times New Roman" w:hAnsi="Times New Roman"/>
          <w:sz w:val="22"/>
          <w:szCs w:val="22"/>
          <w:color w:val="auto"/>
        </w:rPr>
        <w:t xml:space="preserve"> attached hereto.</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responsible for assuring that all laboratory uses are adequately and properly vented. On or before each anniversary of the Term Commencement Date, and on any earlier date during the twelve (12) month period on which Tenant intends to add a new Hazardous Material or materially increase the quantity of any Hazardous Material to the list of Tenant's Hazardous Materials, Tenant shall submit to Landlord an updated list of Tenant's Hazardous Materials for Landlord's review and approval, which approval shall not be unreasonably withheld, conditioned or delayed. Landlord shall have the right, from time to time, to inspect the Premises for compliance with the terms of this Section 17.1. Notwithstanding the foregoing, with respect to any of Tenant's Hazardous Materials which Tenant 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whatsoever.</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17.2Environmental Laws </w:t>
      </w:r>
      <w:r>
        <w:rPr>
          <w:rFonts w:ascii="Times New Roman" w:cs="Times New Roman" w:eastAsia="Times New Roman" w:hAnsi="Times New Roman"/>
          <w:sz w:val="22"/>
          <w:szCs w:val="22"/>
          <w:color w:val="auto"/>
        </w:rPr>
        <w:t>. For purposes hereof,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shall mean all laws, statutes, ordinances,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regulations of any local, state or federal governmental authority having jurisdiction concerning environmental, health and safety matters, including but not limited to any discharge 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6901 et seq., (c) the Comprehensive Environmental Response, Compensation and Liability Act, 42 U.S.C. Section 9601 et seq.,</w:t>
      </w:r>
    </w:p>
    <w:p>
      <w:pPr>
        <w:spacing w:after="0" w:line="14" w:lineRule="exact"/>
        <w:rPr>
          <w:sz w:val="20"/>
          <w:szCs w:val="20"/>
          <w:color w:val="auto"/>
        </w:rPr>
      </w:pPr>
    </w:p>
    <w:p>
      <w:pPr>
        <w:jc w:val="both"/>
        <w:ind w:firstLine="8"/>
        <w:spacing w:after="0" w:line="234" w:lineRule="auto"/>
        <w:tabs>
          <w:tab w:leader="none" w:pos="33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Toxic Substances Control Act of 1976, 15 U.S.C. Section 2601 et seq., and (e) Chapter 21E of the General Laws of Massachusetts. Tenant, at its sole cost and expense, shall comply with (i) Environmental Laws, and (ii) any rules, requirements and safety procedures of the Massachusetts Department of Environmental Protection, the City of Cambridge and any insurer of the Building or the Premises with respect to Tenant's use, storage and disposal of any Hazardous Materials.</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17.3Hazardous Material Defined</w:t>
      </w:r>
      <w:r>
        <w:rPr>
          <w:rFonts w:ascii="Times New Roman" w:cs="Times New Roman" w:eastAsia="Times New Roman" w:hAnsi="Times New Roman"/>
          <w:sz w:val="22"/>
          <w:szCs w:val="22"/>
          <w:color w:val="auto"/>
        </w:rPr>
        <w:t>. As used herein, the term "</w:t>
      </w:r>
      <w:r>
        <w:rPr>
          <w:rFonts w:ascii="Times New Roman" w:cs="Times New Roman" w:eastAsia="Times New Roman" w:hAnsi="Times New Roman"/>
          <w:sz w:val="22"/>
          <w:szCs w:val="22"/>
          <w:b w:val="1"/>
          <w:bCs w:val="1"/>
          <w:color w:val="auto"/>
        </w:rPr>
        <w:t>Hazardous Material</w:t>
      </w:r>
      <w:r>
        <w:rPr>
          <w:rFonts w:ascii="Times New Roman" w:cs="Times New Roman" w:eastAsia="Times New Roman" w:hAnsi="Times New Roman"/>
          <w:sz w:val="22"/>
          <w:szCs w:val="22"/>
          <w:color w:val="auto"/>
        </w:rPr>
        <w:t>" means asbestos, oil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hazardous, radioactive or toxic substance, material or waste or petroleum derivative which is or becomes regulated by any Environmental Law, including without limitation live organisms, viruses and fungi, medical waste and any so-called "biohazard" materials. The term "</w:t>
      </w:r>
      <w:r>
        <w:rPr>
          <w:rFonts w:ascii="Times New Roman" w:cs="Times New Roman" w:eastAsia="Times New Roman" w:hAnsi="Times New Roman"/>
          <w:sz w:val="22"/>
          <w:szCs w:val="22"/>
          <w:b w:val="1"/>
          <w:bCs w:val="1"/>
          <w:color w:val="auto"/>
        </w:rPr>
        <w:t>Hazardous Material</w:t>
      </w:r>
      <w:r>
        <w:rPr>
          <w:rFonts w:ascii="Times New Roman" w:cs="Times New Roman" w:eastAsia="Times New Roman" w:hAnsi="Times New Roman"/>
          <w:sz w:val="22"/>
          <w:szCs w:val="22"/>
          <w:color w:val="auto"/>
        </w:rPr>
        <w:t>" includes, without limitation, oil and/or any material or substance which is (i) designated as a "hazardous substance," "hazardous material," "oil," "hazardous waste" or toxic substance under any Environmental Law.</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17.4Chemical Safety Program</w:t>
      </w:r>
      <w:r>
        <w:rPr>
          <w:rFonts w:ascii="Times New Roman" w:cs="Times New Roman" w:eastAsia="Times New Roman" w:hAnsi="Times New Roman"/>
          <w:sz w:val="22"/>
          <w:szCs w:val="22"/>
          <w:color w:val="auto"/>
        </w:rPr>
        <w:t>. Tenant shall establish and maintain a chemical safety program administered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licensed, qualified individual in accordance with the requirements of any applicable governmental authority. Tenant shall be solely responsible for all costs incurred in connection with such chemical safety program, and Tenant shall provide Landlord with such documentation as Landlord may reasonably require evidencing Tenant's compliance with the requirements of (a) any applicable governmental authority with respect to such chemical safety program and (b) this Section. Tenant shall obtain and maintain during the Term any permit required by any such applicable governmental authority.</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17.5Testing</w:t>
      </w:r>
      <w:r>
        <w:rPr>
          <w:rFonts w:ascii="Times New Roman" w:cs="Times New Roman" w:eastAsia="Times New Roman" w:hAnsi="Times New Roman"/>
          <w:sz w:val="22"/>
          <w:szCs w:val="22"/>
          <w:color w:val="auto"/>
        </w:rPr>
        <w:t>. If any Mortgagee or governmental authority requires testing to determine whether there has been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of Hazardous Materials and such testing is required as a result of the acts or omissions of any of the Tenant Parties, then Tenant shall reimburse Landlord upon demand, as Additional Rent, for the reasonable costs thereof, together with interest at the Default Rate until paid in full. Tenant shall execute affidavits, certifications and the like, as may be reasonably requested by Landlord from time to time concerning Tenant's best knowledge and belief concerning the presence of Hazardous Materials in or on the Premises, the Building or the Property. In addition to the foregoing, if Landlord reasonably believes that any Hazardous Materials have been released on the Premises in violation of this Lease or any Legal Requirement, Landlord shall have the right to conduct appropriate tests of the Premises or any portion thereof to demonstrate that Hazardous Materials are present or that contamination has occurred due to the acts or omissions of any of the Tenant Parties.</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At least five (5) Business Days prior to conducting any tests or taking action within the Premises, Landlord shall notify Tenant in writing with the details and basis of Landlord's belief that any Hazardous Materials have been released on the Premises in violation of this Lease or any Legal Requirement ("</w:t>
      </w:r>
      <w:r>
        <w:rPr>
          <w:rFonts w:ascii="Times New Roman" w:cs="Times New Roman" w:eastAsia="Times New Roman" w:hAnsi="Times New Roman"/>
          <w:sz w:val="22"/>
          <w:szCs w:val="22"/>
          <w:b w:val="1"/>
          <w:bCs w:val="1"/>
          <w:color w:val="auto"/>
        </w:rPr>
        <w:t>Notice of Concern</w:t>
      </w:r>
      <w:r>
        <w:rPr>
          <w:rFonts w:ascii="Times New Roman" w:cs="Times New Roman" w:eastAsia="Times New Roman" w:hAnsi="Times New Roman"/>
          <w:sz w:val="22"/>
          <w:szCs w:val="22"/>
          <w:color w:val="auto"/>
        </w:rPr>
        <w:t>"). If Tenant reasonably disagrees with Landlord that the information contained in the Notice of Concern supports the belief that any Hazardous Materials have been released on the Premises in violation of this Lease or any Legal Requirement, then Tenant and Landlord agree to discuss in good faith an appropriate course of action; provided, however, in the event the Notice of Concern is a result of any notice of a possible violation from a governmental authority, then Tenant shall have no right to disagree with Landlord's election to</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conduct tests or take action within the Premises. If Landlord nevertheless conducts appropriate tests of the Premises or any potion thereof, then Tenant shall pay all reasonable costs of such tests if such tests reveal that Hazardous Materials exist at the Premises in violation of this Lease or any Legal Requirement. Further, Landlord shall have the right to cause a third party consultant retained by Landlord, at Landlord's expense (provided, however, that such costs shall be included in Operating Costs), to review, but not more than once in any calendar year, Tenant's lab operations, procedures and permits to ascertain whether or not Tenant is complying with law and adhering to standard industry practices. Tenant agrees to cooperate in good faith with any such review and to provide to such consultant any information requested by such consultant and reasonably required in order for such consultant to perform such review, but nothing contained herein shall require Tenant to provide proprietary or confidential information to such consultant.</w:t>
      </w:r>
    </w:p>
    <w:p>
      <w:pPr>
        <w:spacing w:after="0" w:line="179"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17.6</w:t>
      </w:r>
      <w:r>
        <w:rPr>
          <w:sz w:val="20"/>
          <w:szCs w:val="20"/>
          <w:color w:val="auto"/>
        </w:rPr>
        <w:tab/>
      </w:r>
      <w:r>
        <w:rPr>
          <w:rFonts w:ascii="Times New Roman" w:cs="Times New Roman" w:eastAsia="Times New Roman" w:hAnsi="Times New Roman"/>
          <w:sz w:val="21"/>
          <w:szCs w:val="21"/>
          <w:b w:val="1"/>
          <w:bCs w:val="1"/>
          <w:color w:val="auto"/>
        </w:rPr>
        <w:t>Indemnity; Remediation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32" w:lineRule="auto"/>
        <w:tabs>
          <w:tab w:leader="none" w:pos="203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covenants and agrees to indemnify, defend and hold the Landlord Parties harmless from and against any and all Claims against any of the Landlord Parties arising out of contamination of any part of the Property or other adjacent property, which contamination arises as a result of: (i) the presence of Hazardous Material in the Premises, the presence of which is caused by any act or omission of any of the Tenant Parties, or (ii) from a breach by Tenant of its obligations under this Section 17. This indemnification of the Landlord Parties by Tenant includes, without limitation, reasonable costs incurred in connection with any investigation of site conditions or any cleanup, remedial, removal or restoration work or any other response actions required by any federal, state or local governmental agency or political subdivision because of Hazardous Material present in the soil, soil vapor or ground water on or under or any indoor air in the Building based upon the circumstances identified in the first sentence of this Section 17.6. The indemnification and hold harmless obligations of Tenant under this Section 17.6 shall survive the expiration or any earlier termination of this Lease. Without limiting the foregoing, if the presence of any Hazardous Material in the Building or otherwise in the Property is caused or permitted by any of the Tenant Parties and results in any contamination of any part of the Property or any adjacent property, Tenant shall promptly take all actions at Tenant's sole cost and expense as are necessary to return the Property and/or the Building or any adjacent property to their condition as of the date of this Lease, provided that Tenant shall first obtain Landlord's written approval of such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 applicable Environmental Laws. The provisions of this Section 17.6 shall survive the expiration or earlier termination of the Lease.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5" w:lineRule="exact"/>
        <w:rPr>
          <w:sz w:val="20"/>
          <w:szCs w:val="20"/>
          <w:color w:val="auto"/>
        </w:rPr>
      </w:pPr>
    </w:p>
    <w:p>
      <w:pPr>
        <w:jc w:val="both"/>
        <w:ind w:firstLine="1505"/>
        <w:spacing w:after="0" w:line="233" w:lineRule="auto"/>
        <w:tabs>
          <w:tab w:leader="none" w:pos="203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obligations set forth in Section 17.6(a) above, if any Hazardous Material is in, on, under, at or about the Building or the Property as a result of the acts or omissions of any of the Tenant Parties and results in any contamination of any part of the Property or any adjacent property that is in violation of any applicable Environmental Law or that requires the performance of any response action pursuant to any Environmental Law, Tenant shall promptly take all actions at Tenant's sole cost and expense as are necessary to reduce such Hazardous Material to amounts below any applicable Reportable Quantity, any applicable Reportable Concentration and any other applicable standard set forth in any Environmental Law such that no further response actions are required; provided that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Remediation</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Tenant fails to complete Tenant's Remediation prior to the end of the Term, then:</w:t>
      </w:r>
    </w:p>
    <w:p>
      <w:pPr>
        <w:spacing w:after="0" w:line="206"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completion of Tenant's Remediation (as evidenced by the certification of Tenant's Licensed Site Professional (as such term is defined by applicable Environmental Laws), who shall be reasonably acceptable to Landlord) (the "</w:t>
      </w:r>
      <w:r>
        <w:rPr>
          <w:rFonts w:ascii="Times New Roman" w:cs="Times New Roman" w:eastAsia="Times New Roman" w:hAnsi="Times New Roman"/>
          <w:sz w:val="22"/>
          <w:szCs w:val="22"/>
          <w:b w:val="1"/>
          <w:bCs w:val="1"/>
          <w:color w:val="auto"/>
        </w:rPr>
        <w:t>Remediation Completion Date</w:t>
      </w:r>
      <w:r>
        <w:rPr>
          <w:rFonts w:ascii="Times New Roman" w:cs="Times New Roman" w:eastAsia="Times New Roman" w:hAnsi="Times New Roman"/>
          <w:sz w:val="22"/>
          <w:szCs w:val="22"/>
          <w:color w:val="auto"/>
        </w:rPr>
        <w:t>"), Tenant shall pay to Landlord, with respect to the portion of the Premises which reasonably cannot be occupied by a new tenant until completion of Tenant's Remediation, (A) Additional Rent on account of Operating Costs and Taxes and (B) Base Rent in an amount equal to the greater of (1) the fair market rental value of such portion of the Premises (determined in substantial accordance with the process described in Section 1.2 above), and (2) Base Rent attributable to such portion of the Premises in effect immediately prior to the end of the Term; and</w:t>
      </w:r>
    </w:p>
    <w:p>
      <w:pPr>
        <w:spacing w:after="0" w:line="183" w:lineRule="exact"/>
        <w:rPr>
          <w:rFonts w:ascii="Times New Roman" w:cs="Times New Roman" w:eastAsia="Times New Roman" w:hAnsi="Times New Roman"/>
          <w:sz w:val="22"/>
          <w:szCs w:val="22"/>
          <w:color w:val="auto"/>
        </w:rPr>
      </w:pPr>
    </w:p>
    <w:p>
      <w:pPr>
        <w:jc w:val="both"/>
        <w:ind w:firstLine="2254"/>
        <w:spacing w:after="0" w:line="245" w:lineRule="auto"/>
        <w:tabs>
          <w:tab w:leader="none" w:pos="2546"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maintain responsibility for Tenant's Remediation and Tenant shall complete Tenant's Remediation as soon as reasonably practicable in accordance with Environmental Laws. If Tenant does not diligently pursue completion of Tenant's Remediation, Landlord shall have the right to either (A) assume control for overseeing Tenant's Remediation, in which event Tenant shall pay all reasonable costs and expenses of Tenant's Remediation (it being understood and agreed that all costs and expenses of Tenant's Remediation incurred pursuant to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 (B) require Tenant to maintain responsibility for Tenant's Remediation, in which event Tenant shall complete Tenant's Remediation as soon as reasonably practicable in accordance with Environmental Laws, it being understood that Tenant's Remediation shall not contain any requirement that Tenant remediate any contamination to levels or standards more stringent than those associated with the Property's current office, research and development, and laboratory uses.</w:t>
      </w:r>
    </w:p>
    <w:p>
      <w:pPr>
        <w:spacing w:after="0" w:line="177"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17.6 shall survive the expiration or earlier termination of this Lease.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17.7Disclosures</w:t>
      </w:r>
      <w:r>
        <w:rPr>
          <w:rFonts w:ascii="Times New Roman" w:cs="Times New Roman" w:eastAsia="Times New Roman" w:hAnsi="Times New Roman"/>
          <w:sz w:val="21"/>
          <w:szCs w:val="21"/>
          <w:color w:val="auto"/>
        </w:rPr>
        <w:t>. Prior to bringing any Hazardous Material into any part of the Property, Tenant shall deliver to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information with respect thereto: (a) a description of handling, storage, use and disposal procedures; (b) all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reasonably requested by Landlord.</w:t>
      </w:r>
    </w:p>
    <w:p>
      <w:pPr>
        <w:spacing w:after="0" w:line="16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17.8Removal</w:t>
      </w:r>
      <w:r>
        <w:rPr>
          <w:rFonts w:ascii="Times New Roman" w:cs="Times New Roman" w:eastAsia="Times New Roman" w:hAnsi="Times New Roman"/>
          <w:sz w:val="22"/>
          <w:szCs w:val="22"/>
          <w:color w:val="auto"/>
        </w:rPr>
        <w:t>. Tenant shall be responsible, at its sole cost and expense, for Hazardous Material and other biohazard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disposal services for the Premises. Such services shall be performed by contractors reasonably acceptable to Landlord and on a sufficient basis to ensure that the Premises are at all times kept neat, clean and free of Hazardous Materials and biohazards except in appropriate, specially marked containers reasonably approved by Landlord.</w:t>
      </w:r>
    </w:p>
    <w:p>
      <w:pPr>
        <w:spacing w:after="0" w:line="172" w:lineRule="exact"/>
        <w:rPr>
          <w:sz w:val="20"/>
          <w:szCs w:val="20"/>
          <w:color w:val="auto"/>
        </w:rPr>
      </w:pPr>
    </w:p>
    <w:p>
      <w:pPr>
        <w:ind w:left="760" w:hanging="752"/>
        <w:spacing w:after="0"/>
        <w:tabs>
          <w:tab w:leader="none" w:pos="7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AND REGULATIONS.</w:t>
      </w:r>
    </w:p>
    <w:p>
      <w:pPr>
        <w:spacing w:after="0" w:line="20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18.1Rules and Regulations</w:t>
      </w:r>
      <w:r>
        <w:rPr>
          <w:rFonts w:ascii="Times New Roman" w:cs="Times New Roman" w:eastAsia="Times New Roman" w:hAnsi="Times New Roman"/>
          <w:sz w:val="21"/>
          <w:szCs w:val="21"/>
          <w:color w:val="auto"/>
        </w:rPr>
        <w:t>. Tenant will faithfully observe and comply with the Rules and Regulations attached hereto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w:t>
      </w:r>
      <w:r>
        <w:rPr>
          <w:rFonts w:ascii="Times New Roman" w:cs="Times New Roman" w:eastAsia="Times New Roman" w:hAnsi="Times New Roman"/>
          <w:sz w:val="21"/>
          <w:szCs w:val="21"/>
          <w:u w:val="single" w:color="auto"/>
          <w:color w:val="auto"/>
        </w:rPr>
        <w:t>Exhibit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Current Rules and Regulations</w:t>
      </w:r>
      <w:r>
        <w:rPr>
          <w:rFonts w:ascii="Times New Roman" w:cs="Times New Roman" w:eastAsia="Times New Roman" w:hAnsi="Times New Roman"/>
          <w:sz w:val="21"/>
          <w:szCs w:val="21"/>
          <w:color w:val="auto"/>
        </w:rPr>
        <w:t>") and reasonable rules and regulations as may be promulgated, from time to time, with respect to the Building, the Property and construction within the Property (collectively, the "</w:t>
      </w:r>
      <w:r>
        <w:rPr>
          <w:rFonts w:ascii="Times New Roman" w:cs="Times New Roman" w:eastAsia="Times New Roman" w:hAnsi="Times New Roman"/>
          <w:sz w:val="21"/>
          <w:szCs w:val="21"/>
          <w:b w:val="1"/>
          <w:bCs w:val="1"/>
          <w:color w:val="auto"/>
        </w:rPr>
        <w:t>Rules and Regulations</w:t>
      </w:r>
      <w:r>
        <w:rPr>
          <w:rFonts w:ascii="Times New Roman" w:cs="Times New Roman" w:eastAsia="Times New Roman" w:hAnsi="Times New Roman"/>
          <w:sz w:val="21"/>
          <w:szCs w:val="21"/>
          <w:color w:val="auto"/>
        </w:rPr>
        <w:t xml:space="preserve">"). The Current Rules and Regulations consist of the Building Rules and Regulations attached hereto as </w:t>
      </w:r>
      <w:r>
        <w:rPr>
          <w:rFonts w:ascii="Times New Roman" w:cs="Times New Roman" w:eastAsia="Times New Roman" w:hAnsi="Times New Roman"/>
          <w:sz w:val="21"/>
          <w:szCs w:val="21"/>
          <w:u w:val="single" w:color="auto"/>
          <w:color w:val="auto"/>
        </w:rPr>
        <w:t>Exhibit 8-1</w:t>
      </w:r>
      <w:r>
        <w:rPr>
          <w:rFonts w:ascii="Times New Roman" w:cs="Times New Roman" w:eastAsia="Times New Roman" w:hAnsi="Times New Roman"/>
          <w:sz w:val="21"/>
          <w:szCs w:val="21"/>
          <w:color w:val="auto"/>
        </w:rPr>
        <w:t xml:space="preserve"> and the Construction Rules and Regulations attached hereto as </w:t>
      </w:r>
      <w:r>
        <w:rPr>
          <w:rFonts w:ascii="Times New Roman" w:cs="Times New Roman" w:eastAsia="Times New Roman" w:hAnsi="Times New Roman"/>
          <w:sz w:val="21"/>
          <w:szCs w:val="21"/>
          <w:u w:val="single" w:color="auto"/>
          <w:color w:val="auto"/>
        </w:rPr>
        <w:t>Exhibit 8-2</w:t>
      </w:r>
      <w:r>
        <w:rPr>
          <w:rFonts w:ascii="Times New Roman" w:cs="Times New Roman" w:eastAsia="Times New Roman" w:hAnsi="Times New Roman"/>
          <w:sz w:val="21"/>
          <w:szCs w:val="21"/>
          <w:color w:val="auto"/>
        </w:rPr>
        <w:t>. In the case of any conflict between the provisions of this Lease and the Rules and Regulations or any future rules and regulations, the provisions of this Lease shall control.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w:t>
      </w:r>
    </w:p>
    <w:p>
      <w:pPr>
        <w:spacing w:after="0" w:line="16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18.2Energy Conservation</w:t>
      </w:r>
      <w:r>
        <w:rPr>
          <w:rFonts w:ascii="Times New Roman" w:cs="Times New Roman" w:eastAsia="Times New Roman" w:hAnsi="Times New Roman"/>
          <w:sz w:val="22"/>
          <w:szCs w:val="22"/>
          <w:color w:val="auto"/>
        </w:rPr>
        <w:t>. Landlord may institute upon written notice to Tenant such policies, programs and measures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may be necessary, required, or expedient for the conservation and/or preservation of energy or energy services (collectively, the "</w:t>
      </w:r>
      <w:r>
        <w:rPr>
          <w:rFonts w:ascii="Times New Roman" w:cs="Times New Roman" w:eastAsia="Times New Roman" w:hAnsi="Times New Roman"/>
          <w:sz w:val="22"/>
          <w:szCs w:val="22"/>
          <w:b w:val="1"/>
          <w:bCs w:val="1"/>
          <w:color w:val="auto"/>
        </w:rPr>
        <w:t>Conservation Program</w:t>
      </w:r>
      <w:r>
        <w:rPr>
          <w:rFonts w:ascii="Times New Roman" w:cs="Times New Roman" w:eastAsia="Times New Roman" w:hAnsi="Times New Roman"/>
          <w:sz w:val="22"/>
          <w:szCs w:val="22"/>
          <w:color w:val="auto"/>
        </w:rPr>
        <w:t>"), provided however, that the Conservation Program does not, by reason of such policies, programs and measures, reduce the level of energy or energy services being provided to the Premises below the level of energy or energy services then being provided in comparable combination laboratory, research and development and office buildings in the vicinity of the Premises, or as may be necessary or required to comply with Legal Requirements or standards or the other provisions of this Lease. Upon receipt of such notice, Tenant shall comply with the Conservation Program.</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18.3Recycling</w:t>
      </w:r>
      <w:r>
        <w:rPr>
          <w:rFonts w:ascii="Times New Roman" w:cs="Times New Roman" w:eastAsia="Times New Roman" w:hAnsi="Times New Roman"/>
          <w:sz w:val="22"/>
          <w:szCs w:val="22"/>
          <w:color w:val="auto"/>
        </w:rPr>
        <w:t>. Upon written notice, Landlord may establish policies, programs and measures for the recycling of paper,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plastic, tin and other materials (a "</w:t>
      </w:r>
      <w:r>
        <w:rPr>
          <w:rFonts w:ascii="Times New Roman" w:cs="Times New Roman" w:eastAsia="Times New Roman" w:hAnsi="Times New Roman"/>
          <w:sz w:val="22"/>
          <w:szCs w:val="22"/>
          <w:b w:val="1"/>
          <w:bCs w:val="1"/>
          <w:color w:val="auto"/>
        </w:rPr>
        <w:t>Recycling Program</w:t>
      </w:r>
      <w:r>
        <w:rPr>
          <w:rFonts w:ascii="Times New Roman" w:cs="Times New Roman" w:eastAsia="Times New Roman" w:hAnsi="Times New Roman"/>
          <w:sz w:val="22"/>
          <w:szCs w:val="22"/>
          <w:color w:val="auto"/>
        </w:rPr>
        <w:t>"). Upon receipt of such notice, Tenant will comply with the Recycling Program at Tenant's sole cost and expense.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ind w:left="760" w:hanging="752"/>
        <w:spacing w:after="0"/>
        <w:tabs>
          <w:tab w:leader="none" w:pos="7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LAWS AND PERMITS.</w:t>
      </w:r>
    </w:p>
    <w:p>
      <w:pPr>
        <w:spacing w:after="0" w:line="20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b w:val="1"/>
          <w:bCs w:val="1"/>
          <w:color w:val="auto"/>
        </w:rPr>
        <w:t>19.1Legal Requirements</w:t>
      </w:r>
      <w:r>
        <w:rPr>
          <w:rFonts w:ascii="Times New Roman" w:cs="Times New Roman" w:eastAsia="Times New Roman" w:hAnsi="Times New Roman"/>
          <w:sz w:val="21"/>
          <w:szCs w:val="21"/>
          <w:color w:val="auto"/>
        </w:rPr>
        <w:t>. Tenant shall not cause or permit the Premises, or cause the Property or the Building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used in any way that violates any Legal Requirement, order, permit, approval, variance, covenant or restrictions of record or any provisions of this Lease, interferes with the rights of tenants of the Building, or constitutes a nuisance or waste. Tenant shall obtain, maintain and pay for all permits and approvals needed for the operation of Tenant's business and/or Tenant's Penthouse Equipment, as soon as reasonably possible, and in any event shall not undertake any operations or use of Tenant's Penthouse Equipment unless all applicable permits and approvals are in place and shall, promptly take all actions necessary to comply with all Legal Requirements, including, without limitation, the Occupational Safety and Health Act, applicable to Tenant's use of the Premises, the Property or the Building. Tenant shall maintain in full force and effect all certifications or permissions required by any authority having jurisdiction to authorize, franchise or regulate Tenant's use of the Premises. Tenant shall be solely responsible for procuring and complying at all times with any and all necessary permits and approvals directly or indirectly relating or incident to: the conduct of its activities on the Premises; its scientific experimentation, transportation, storage, handling, use and disposal of any chemical or radioactive or bacteriological or pathological substances or organisms or other hazardous wastes or environmentally dangerous substances or materials or medical waste or animals or laboratory specimens. Within ten (10) days of a request by Landlord, which request shall be made not more than once during each period of twelve (12) consecutive months during the Term hereof, unless otherwise requested by any mortgagee of Landlord or unless Landlord reasonably suspects that Tenant has violated the provisions of this Section 19.1, Tenant shall furnish Landlord with copies of all such permits and approvals that Tenant possesses or has obtained together with a certificate certifying that such permits are all of the permits that Tenant possesses or has obtained with respect to the Premises. Tenant shall promptly give written notice to Landlord of any warnings or violations relative to the above received from any federal, state or municipal agency or by any court of law and shall promptly cure the conditions causing any such violations. Tenant shall not be deemed to be in default of its obligations under the preceding sentence to promptly cure any condition causing any such violation in the event that, in lieu of such cure, Tenant shall contest the validity of such violation by appellate or other proceedings permitted under applicable law, provided that: (i) any such contest is made reasonably and in good faith, (ii) Tenant makes provisions, including, without limitation, posting bond(s) or giving other security, reasonably acceptable to Landlord to protect Landlord, the Building and the Property from any liability, costs, damages or expenses arising in connection with such alleged violation and failure to cure, (iii) Tenant shall agree to indemnify, defend (with counsel reasonably acceptable to Landlord) and hold Landlord harmless from and against any and all liability, costs, damages, or expenses arising in connection with such condition and/or violation, (iv) Tenant shall promptly cure any violation in the event that its appeal of such violation is overruled or rejected, and (v) Tenant's decision to delay such cure shall not, in Landlord's good faith determination, be likely to result in any actual or threatened bodily injury, property damage, or any civil or criminal liability to Landlord, any tenant or occupant of the Building or the Property, or any other person or entity. Nothing contained in this Section 19.1 shall be construed to expand the uses permitted hereunder beyond the Permitted Uses. Landlord shall comply with any Legal Requirements and with any direction of any public office or officer relating to the maintenance or operation of the structural elements of the Building and the Common Areas, and the costs so incurred by Landlord shall be included in Operating Costs in accordance with the provisions of Section 5.2.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7" w:name="page198"/>
    <w:bookmarkEnd w:id="197"/>
    <w:p>
      <w:pPr>
        <w:spacing w:after="0" w:line="181" w:lineRule="exact"/>
        <w:rPr>
          <w:sz w:val="20"/>
          <w:szCs w:val="20"/>
          <w:color w:val="auto"/>
        </w:rPr>
      </w:pPr>
    </w:p>
    <w:p>
      <w:pPr>
        <w:ind w:left="760" w:hanging="752"/>
        <w:spacing w:after="0"/>
        <w:tabs>
          <w:tab w:leader="none" w:pos="7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DEFAULT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20.1Events of Default</w:t>
      </w:r>
      <w:r>
        <w:rPr>
          <w:rFonts w:ascii="Times New Roman" w:cs="Times New Roman" w:eastAsia="Times New Roman" w:hAnsi="Times New Roman"/>
          <w:sz w:val="22"/>
          <w:szCs w:val="22"/>
          <w:color w:val="auto"/>
        </w:rPr>
        <w:t>. The occurrence of any one or more of the following events shall constitute an "</w:t>
      </w:r>
      <w:r>
        <w:rPr>
          <w:rFonts w:ascii="Times New Roman" w:cs="Times New Roman" w:eastAsia="Times New Roman" w:hAnsi="Times New Roman"/>
          <w:sz w:val="22"/>
          <w:szCs w:val="22"/>
          <w:b w:val="1"/>
          <w:bCs w:val="1"/>
          <w:color w:val="auto"/>
        </w:rPr>
        <w:t>Event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hereunder by Tenant:</w:t>
      </w:r>
    </w:p>
    <w:p>
      <w:pPr>
        <w:spacing w:after="0" w:line="182" w:lineRule="exact"/>
        <w:rPr>
          <w:sz w:val="20"/>
          <w:szCs w:val="20"/>
          <w:color w:val="auto"/>
        </w:rPr>
      </w:pPr>
    </w:p>
    <w:p>
      <w:pPr>
        <w:jc w:val="both"/>
        <w:ind w:firstLine="1505"/>
        <w:spacing w:after="0" w:line="236"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fails to make any payment of Rent or any other payment required hereunder, as and when due, and such failure shall continue for a period of three (3) business days after written notice thereof from Landlord to Tenant; provided, however, an Event of Default shall occur hereunder without any obligation of Landlord to give any notice if (i) Tenant fails to make any payment within three (3) business days after the due date therefor, and (ii) Landlord has given Tenant written notice under this Section 20.1(a) on more than one (1) occasion during the twelve (12) month interval preceding such failure by Tenant;</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abandon the Premises (whether or not the keys shall have been surrendered or the Rent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been paid);</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execute and deliver to Landlord an estoppel certificate pursuant to Section 16 above or a subordination and attornment agreement pursuant to Section 22 below, within the timeframes set forth therein, and such failure shall continue for a period of five (5) business days after written notice thereof from Landlord to Tenant;</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maintain any insurance required hereunder;</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restore the Security Deposit to its original amount or deliver a replacement Letter of Credit as required under Section 7 above;</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causes or suffers any release of Hazardous Materials in or near the Property;</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make a Transfer in violation of the provisions of Section 13 above, or if any event shall occur or any contingency shall arise whereby this Lease, or the term and estate thereby created, would (by operation of law or otherwise) devolve upon or pass to any person, firm or corporation other than Tenant, except as expressly permitted under Section 13 hereof;</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fail to perform its obligations under Section 3 hereof and such failure continues for more than thirty (30) days after notice thereof from Landlord;</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Tenant to observe or perform any of the covenants or provisions of this Lease to be observed or performed by Tenant, other than as specified above, and such failure continues for more than thirty (30) days after notice thereof from Landlord; provided, further,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 which completion shall occur not later than ninety (90) days from the date of such notice from Landlord;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85" w:lineRule="exact"/>
        <w:rPr>
          <w:sz w:val="20"/>
          <w:szCs w:val="20"/>
          <w:color w:val="auto"/>
        </w:rPr>
      </w:pPr>
    </w:p>
    <w:p>
      <w:pPr>
        <w:jc w:val="both"/>
        <w:ind w:firstLine="1505"/>
        <w:spacing w:after="0" w:line="244"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involved in financial difficulties as evidenced by an admission in writing by Tenant of Tenant's inability to pay its debts generally as they become due, or by the making or offering to make a composition of its debts with its creditors;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make an assignment or trust mortgage, or other conveyance or transfer of like nature, of all or a substantial part of its property for the benefit of its creditors,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attachment on mesne process, on execution or otherwise, or other legal process shall issue against Tenant or its property and a sale of any of its assets shall be held thereunder;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attachment or the like in excess of $100,000 shall be entered, recorded or filed against Tenant in any court, registry, etc. and Tenant shall fail to pay such judgment within thirty (30) days after the judgment shall have become final beyond appeal or to discharge or secure by surety bond such lien, attachment, etc. within thirty (30) days of such entry, recording or filing, as the case may be;</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leasehold hereby created shall be taken on execution or by other process of law and shall not be revested in Tenant within thirty (30) days thereafter;</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receiver, sequesterer, trustee or similar officer shall be appointed by a court of competent jurisdiction to take charge of all or any part of Tenant's Property and such appointment shall not be vacated within thirty (30) days; or</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thirty (30) days or if Tenant is adjudged bankrupt or insolvent as a result of any such proceeding;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Wherever "Tenant " is used in subsections (i), (j), (k), (l), (n) or (o) of this Section 20.1, it shall be deemed to include any parent entity of Tenant and any guarantor of any of Tenant's obligations under this Lease.</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20.2Remedies</w:t>
      </w:r>
      <w:r>
        <w:rPr>
          <w:rFonts w:ascii="Times New Roman" w:cs="Times New Roman" w:eastAsia="Times New Roman" w:hAnsi="Times New Roman"/>
          <w:sz w:val="22"/>
          <w:szCs w:val="22"/>
          <w:color w:val="auto"/>
        </w:rPr>
        <w:t>. Upon an Event of Default, Landlord may, by notice to Tenant, elect to terminate this Lease;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thereupon (and without prejudice to any remedies which might otherwise be available for arrears of Rent or preceding breach of covenant or agreement and without prejudice to Tenant's liability for damages as hereinafter stated), upon the giving of such notice, this Lease shall terminate as of the date specified therein as though that were the Expiration Date. Upon such termination, Landlord shall have the right to utilize the Security Deposit or draw down the entire Letter of Credit, as applicable, and apply the proceeds thereof to its damages hereunder. Without being taken or deemed to be guilty of any manner of trespass or conversion, and without being liable to indictment, prosecution or damages therefor, Landlord may, by lawful process, enter into and upon the Premises (or any part thereof in the name of the whole); repossess the same, as of its former estate; and expel Tenant and those claiming under Tenant. The words "re- entry" and "re-enter" as used in this Lease are not restricted to their technical legal meanings.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8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20.3</w:t>
      </w:r>
      <w:r>
        <w:rPr>
          <w:sz w:val="20"/>
          <w:szCs w:val="20"/>
          <w:color w:val="auto"/>
        </w:rPr>
        <w:tab/>
      </w:r>
      <w:r>
        <w:rPr>
          <w:rFonts w:ascii="Times New Roman" w:cs="Times New Roman" w:eastAsia="Times New Roman" w:hAnsi="Times New Roman"/>
          <w:sz w:val="21"/>
          <w:szCs w:val="21"/>
          <w:b w:val="1"/>
          <w:bCs w:val="1"/>
          <w:color w:val="auto"/>
        </w:rPr>
        <w:t>Damages - Termination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1505"/>
        <w:spacing w:after="0" w:line="244" w:lineRule="auto"/>
        <w:tabs>
          <w:tab w:leader="none" w:pos="20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this Lease under the provisions of this Section 20, Tenant shall pay to Landlord Rent up to the time of such termination, shall continue to be liable for any preceding breach of covenant, and in addition, shall pay to Landlord as damages, at the election of Landlord, either:</w:t>
      </w:r>
    </w:p>
    <w:p>
      <w:pPr>
        <w:spacing w:after="0" w:line="173"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(discounted to present value at the rate of five percent (5%) per annum) by which, at the time of the termination of this Lease (or at any time thereafter if Landlord shall have initially elected damages under Section 20.3(a)(ii) below), (x) the aggregate of Rent projected over the period commencing with such termination and ending on the Expiration Date, exceeds (y) the aggregate projected rental value of the Premises for such period, taking into account a reasonable time period during which the Premises shall be unoccupied, plus all Reletting Costs (hereinafter defined); or</w:t>
      </w:r>
    </w:p>
    <w:p>
      <w:pPr>
        <w:spacing w:after="0" w:line="176"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equal to Rent which would have been payable by Tenant had this Lease not been so terminated, payable upon the due dates therefor specified herein following such termination and until the Expiration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if Landlord shall re- let the Premises during such period, that Landlord shall credit Tenant with the net rents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and dissimilar expenses properly chargeable against the Premises and the rental therefrom (collectively, "</w:t>
      </w:r>
      <w:r>
        <w:rPr>
          <w:rFonts w:ascii="Times New Roman" w:cs="Times New Roman" w:eastAsia="Times New Roman" w:hAnsi="Times New Roman"/>
          <w:sz w:val="22"/>
          <w:szCs w:val="22"/>
          <w:b w:val="1"/>
          <w:bCs w:val="1"/>
          <w:color w:val="auto"/>
        </w:rPr>
        <w:t>Reletting Costs</w:t>
      </w:r>
      <w:r>
        <w:rPr>
          <w:rFonts w:ascii="Times New Roman" w:cs="Times New Roman" w:eastAsia="Times New Roman" w:hAnsi="Times New Roman"/>
          <w:sz w:val="22"/>
          <w:szCs w:val="22"/>
          <w:color w:val="auto"/>
        </w:rPr>
        <w:t xml:space="preserve">"), it being understood that any such re-letting may be for a period equal to or shorter or longer than the remaining Term;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(x) in no event shall Tenant be entitled to receive any excess of such net rents over the sums payable by Tenant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Landlord hereunder and (y) in no event shall Tenant be entitled in any suit for the collection of damages pursuant to this Section 20.3(a)(ii) to a credit in respect of any net rents from a re-letting except to the extent that such net rents are actually received by Landlord prior to the commencement of such suit. If the Premises or any part thereof should be re-let in combination with other space, then proper apportionment on a square foot area basis shall be made of the rent received from such re- letting and of the expenses of re-letting.</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calculating the amount due under Section 20.3(a)(i), above, there shall be included, in addition to the Base Rent, all other considerations agreed to be paid or performed by Tenant, including without limitation Tenant's Share of Operating Costs and Taxes, on the assumption that all such amounts and considerations would have increased at the rate of five percent (5%) per annum for the balance of the full term hereby granted.</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Suit or suits for the recovery of such damages, or any installments thereof, may be brought by Landlord from time to time at its election, and nothing contained herein shall be deemed to require Landlord to postpone suit until the date when the Term would have expired if it had not been terminated hereunder.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5" w:lineRule="exact"/>
        <w:rPr>
          <w:sz w:val="20"/>
          <w:szCs w:val="20"/>
          <w:color w:val="auto"/>
        </w:rPr>
      </w:pPr>
    </w:p>
    <w:p>
      <w:pPr>
        <w:jc w:val="both"/>
        <w:ind w:firstLine="1505"/>
        <w:spacing w:after="0" w:line="244"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contained shall be construed as limiting or precluding the recovery by Landlord against Tenant of any sums or damages to which, in addition to the damages particularly provided above, Landlord may lawfully be entitled by reason of any Event of Default hereunder.</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any other damages or indemnity and in lieu of full recovery by Landlord of all sums payable under all the foregoing provisions of this Section 20.3, Landlord may, by written notice to Tenant, at any time after this Lease is terminated under any of the provisions herein contained or is otherwise terminated for breach of any obligation of Tenant and before such full recovery, elect to recover, and Tenant shall thereupon pay, as liquidated damages, an amount equal to the aggregate of (x) an amount equal to the lesser of (1) Rent accrued under this Lease in the twelve (12) months immediately prior to such termination, or (2) Rent payable during the remaining months of the Term if this Lease had not been terminated, plus (y) the amount of Rent accrued and unpaid at the time of termination, less (z) the amount of any recovery by Landlord under the foregoing provisions of this Section 20.3 up to the time of payment of such liquidated damages.</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20.4Landlord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 Self-Help; Fees and Expenses</w:t>
      </w:r>
      <w:r>
        <w:rPr>
          <w:rFonts w:ascii="Times New Roman" w:cs="Times New Roman" w:eastAsia="Times New Roman" w:hAnsi="Times New Roman"/>
          <w:sz w:val="21"/>
          <w:szCs w:val="21"/>
          <w:color w:val="auto"/>
        </w:rPr>
        <w:t>. If Tenant shall default in the performance of any covenant on Tenant's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 to be performed in this Lease contained, including without limitation the obligation to maintain the Premises in the required condition pursuant to Section 10.1 above, Landlord may, upon reasonable advance notice, except that no notice shall be required in an emergency, immediately, or at any time thereafter, perform the same for the account of Tenant. Tenant shall pay to Landlord upon demand therefor any costs incurred by Landlord in connection therewith, together with interest at the Default Rate until paid in full. In addition, Tenant shall pay all of Landlord's costs and expenses, including without limitation reasonable attorneys' fees, incurred (i) in enforcing any obligation of Tenant under this Lease or (ii) as a result of Landlord or any of the Landlord Parties, without its fault, being made party to any litigation pending by or against any of the Tenant Parties.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20.5Waiver of Redemption, Statutory Notice and Grace Periods</w:t>
      </w:r>
      <w:r>
        <w:rPr>
          <w:rFonts w:ascii="Times New Roman" w:cs="Times New Roman" w:eastAsia="Times New Roman" w:hAnsi="Times New Roman"/>
          <w:sz w:val="22"/>
          <w:szCs w:val="22"/>
          <w:color w:val="auto"/>
        </w:rPr>
        <w:t>. Tenant does hereby waive and surrender all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privileges which it might have under or by reason of any present or future Legal Requirements to redeem the Premises or to have a continuance of this Lease for the Term hereby demised after being dispossessed or ejected therefrom by process of law or under the terms of this Lease or after the termination of this Lease as herein provided. Except to the extent prohibited by Legal Requirements, any statutory notice and grace periods provided to Tenant by law are hereby expressly waived by Tenant.</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20.6Landlord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Remedies Not Exclusive</w:t>
      </w:r>
      <w:r>
        <w:rPr>
          <w:rFonts w:ascii="Times New Roman" w:cs="Times New Roman" w:eastAsia="Times New Roman" w:hAnsi="Times New Roman"/>
          <w:sz w:val="22"/>
          <w:szCs w:val="22"/>
          <w:color w:val="auto"/>
        </w:rPr>
        <w:t>. The specified remedies to which Landlord may resort hereunder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cumulative and are not intended to be exclusive of any 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72"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20.7No Waiver</w:t>
      </w:r>
      <w:r>
        <w:rPr>
          <w:rFonts w:ascii="Times New Roman" w:cs="Times New Roman" w:eastAsia="Times New Roman" w:hAnsi="Times New Roman"/>
          <w:sz w:val="21"/>
          <w:szCs w:val="21"/>
          <w:color w:val="auto"/>
        </w:rPr>
        <w:t>. Landlord's failure to seek redress for violation, or to insist upon the strict performance, of any covenant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condition of this Lease, or any of the Rules and Regulations promulgated hereunder, shall not prevent a subsequent act, which would have originally constituted a violation, from having all the force and effect of an original violation. The receipt by</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Landlord of Rent with knowledge of the breach of any covenant of this Lease shall not be deemed a waiver of such breach. The failure of Landlord to enforce any of such Rules and Regulations against Tenant and/or any other tenant in the Building shall not be deemed a waiver of any such Rules and Regulations. No provisions of this Lease shall be deemed to have been waived by either party unless such waiver be in writing signed by such party. No payment by Tenant or receipt by Landlord of a lesser amount than the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20.8Restrictions on Tenant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Rights</w:t>
      </w:r>
      <w:r>
        <w:rPr>
          <w:rFonts w:ascii="Times New Roman" w:cs="Times New Roman" w:eastAsia="Times New Roman" w:hAnsi="Times New Roman"/>
          <w:sz w:val="22"/>
          <w:szCs w:val="22"/>
          <w:color w:val="auto"/>
        </w:rPr>
        <w:t>. During the continuation of any Event of Default, (a) Landlord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obligated to provide Tenant with any notice pursuant to Sections 2.3 and 2.4 above; and (b) Tenant shall not have the right to make, nor to request Landlord's consent or approval with respect to, any Alterations or Transfers.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20.9Landlord Default</w:t>
      </w:r>
      <w:r>
        <w:rPr>
          <w:rFonts w:ascii="Times New Roman" w:cs="Times New Roman" w:eastAsia="Times New Roman" w:hAnsi="Times New Roman"/>
          <w:sz w:val="21"/>
          <w:szCs w:val="21"/>
          <w:color w:val="auto"/>
        </w:rPr>
        <w:t>. Notwithstanding anything to the contrary contained in the Lease, Landlord shall in no event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default in the performance of any of Landlord's obligations under this Lease unless Landlord shall have failed to perform such obligations within thirty (30) days (or such additional time as is reasonably required to correct any such default, provided Landlord commences cure within 30 days) after notice by Tenant to Landlord properly specifying wherein Landlord has failed to perform any such obligation. Except as expressly set forth in this Lease, Tenant shall not have the right to terminate or cancel this Lease or to withhold rent or to set-off or deduct any claim or damages against rent as a result of any default by Landlord or breach by Landlord of its covenants or any warranties or promises hereunder, except in the case of a wrongful eviction of Tenant from the Premises (constructive or actual) by Landlord, and then only if the same continues after notice to Landlord thereof and an opportunity for Landlord to cure the same as set forth above. In addition, Tenant shall not assert any right to deduct the cost of repairs or any monetary claim against Landlord from rent thereafter due and payable under this Lease.</w:t>
      </w:r>
    </w:p>
    <w:p>
      <w:pPr>
        <w:spacing w:after="0" w:line="171" w:lineRule="exact"/>
        <w:rPr>
          <w:sz w:val="20"/>
          <w:szCs w:val="20"/>
          <w:color w:val="auto"/>
        </w:rPr>
      </w:pPr>
    </w:p>
    <w:p>
      <w:pPr>
        <w:ind w:left="760" w:right="4940" w:hanging="752"/>
        <w:spacing w:after="0" w:line="437" w:lineRule="auto"/>
        <w:tabs>
          <w:tab w:leader="none" w:pos="7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SURRENDER; ABANDONED PROPERTY; HOLD-OVER 21.1 Surrender</w:t>
      </w:r>
    </w:p>
    <w:p>
      <w:pPr>
        <w:jc w:val="both"/>
        <w:ind w:firstLine="1505"/>
        <w:spacing w:after="0" w:line="234" w:lineRule="auto"/>
        <w:tabs>
          <w:tab w:leader="none" w:pos="2036"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Landlord's Work, and all other furniture, fixtures, and equipment that was either provided by Landlord or paid for in whole or in part by any allowance provided to Tenant by Landlord under this Lease) broom clean, in good order, repair and condition excepting only ordinary wear and tear and damage by fire or other insured Casualty; (ii) remove all of Tenant's Property, all autoclaves and cage washers and, at Landlord's election, any Alterations made by Tenant (in accordance with Section 11.1); and (iii) repair any damages to the Premises or the Building caused by the installation or removal of Tenant's Property and/or such Alterations. Tenant's obligations under this Section 21.1(a) shall survive the expiration or earlier termination of this Lease.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85" w:lineRule="exact"/>
        <w:rPr>
          <w:sz w:val="20"/>
          <w:szCs w:val="20"/>
          <w:color w:val="auto"/>
        </w:rPr>
      </w:pPr>
    </w:p>
    <w:p>
      <w:pPr>
        <w:jc w:val="both"/>
        <w:ind w:firstLine="1505"/>
        <w:spacing w:after="0" w:line="242" w:lineRule="auto"/>
        <w:tabs>
          <w:tab w:leader="none" w:pos="2036"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expiration of this Lease (or within thirty (30) days after any earlier termination), Tenant shall clean and otherwise decommission all interior surfaces (including floors, walls, ceilings, and counters), 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 At least thirty (30) days prior to the expiration of the Term (or, if applicable, within five (5) business days after any earlier termination of this Lease), 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and otherwise released for unrestricted use and occupancy including without limitation causing the Premises to be decommissioned in accordance with the regulations of the U.S. Nuclear Regulatory Commission and/or the Massachusetts Department of Public health (the "</w:t>
      </w:r>
      <w:r>
        <w:rPr>
          <w:rFonts w:ascii="Times New Roman" w:cs="Times New Roman" w:eastAsia="Times New Roman" w:hAnsi="Times New Roman"/>
          <w:sz w:val="21"/>
          <w:szCs w:val="21"/>
          <w:b w:val="1"/>
          <w:bCs w:val="1"/>
          <w:color w:val="auto"/>
        </w:rPr>
        <w:t>MDPH</w:t>
      </w:r>
      <w:r>
        <w:rPr>
          <w:rFonts w:ascii="Times New Roman" w:cs="Times New Roman" w:eastAsia="Times New Roman" w:hAnsi="Times New Roman"/>
          <w:sz w:val="21"/>
          <w:szCs w:val="21"/>
          <w:color w:val="auto"/>
        </w:rPr>
        <w:t>") for the control of radiation, and cause the Premises to be released for unrestricted use by the Radiation Control Program of the MDPH (the "</w:t>
      </w:r>
      <w:r>
        <w:rPr>
          <w:rFonts w:ascii="Times New Roman" w:cs="Times New Roman" w:eastAsia="Times New Roman" w:hAnsi="Times New Roman"/>
          <w:sz w:val="21"/>
          <w:szCs w:val="21"/>
          <w:b w:val="1"/>
          <w:bCs w:val="1"/>
          <w:color w:val="auto"/>
        </w:rPr>
        <w:t>Surrender Plan</w:t>
      </w:r>
      <w:r>
        <w:rPr>
          <w:rFonts w:ascii="Times New Roman" w:cs="Times New Roman" w:eastAsia="Times New Roman" w:hAnsi="Times New Roman"/>
          <w:sz w:val="21"/>
          <w:szCs w:val="21"/>
          <w:color w:val="auto"/>
        </w:rPr>
        <w:t>"). The Surrender Plan (i) shall be accompanied by a current list of (A) all Required Permits held by or on behalf of any Tenant Party with respect to Hazardous Materials in, on, under, at or about the Premises, and (B) Tenant's Hazardous Materials, and (ii) shall be subject to the review and approval of Landlord's environmental consultant. In connection with review and approval of the Surrender Plan, upon request of Landlord, Tenant shall deliver to Landlord or its consultant such additional non- proprietary information concerning the use of and operations within the Premises as Landlord shall request. On or before the expiration of the Term (or within thirty (30) days after any earlier termination of this Lease, during which period Tenant's use and occupancy of the Premises shall be governed by Section 21.3 below), Tenant shall (i) perform or cause to be performed all actions described in the approved Surrender Plan, and</w:t>
      </w:r>
    </w:p>
    <w:p>
      <w:pPr>
        <w:spacing w:after="0" w:line="14" w:lineRule="exact"/>
        <w:rPr>
          <w:rFonts w:ascii="Times New Roman" w:cs="Times New Roman" w:eastAsia="Times New Roman" w:hAnsi="Times New Roman"/>
          <w:sz w:val="21"/>
          <w:szCs w:val="21"/>
          <w:color w:val="auto"/>
        </w:rPr>
      </w:pPr>
    </w:p>
    <w:p>
      <w:pPr>
        <w:jc w:val="both"/>
        <w:ind w:firstLine="8"/>
        <w:spacing w:after="0" w:line="231" w:lineRule="auto"/>
        <w:tabs>
          <w:tab w:leader="none" w:pos="3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Landlord a certification from a third party certified industrial hygienist reasonably acceptable to Landlord certifying that the Premises do not contain any Hazardous Materials and evidence that the approved Surrender Plan shall have been satisfactorily completed by a contractor acceptable to Landlord,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Landlord shall have the unrestricted right to deliver the Surrender Plan and any report by Landlord's environmental consultant with respect to the surrender of the Premises to third parties. Such third parties and the Landlord Parties shall be entitled to rely on the Surrender Report. If Tenant shall fail to prepare or submit a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Landlord shall have the right to take any such actions as Landlord may deem reasonable or appropriate to assure that the Premises and the Property are surrendered in the condition required hereunder, the cost of which actions shall be reimbursed by Tenant as Additional Rent upon demand. Tenant's obligations under this Section 21.1(b) shall survive the expiration or earlier termination of the Term.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5" w:lineRule="exact"/>
        <w:rPr>
          <w:sz w:val="20"/>
          <w:szCs w:val="20"/>
          <w:color w:val="auto"/>
        </w:rPr>
      </w:pPr>
    </w:p>
    <w:p>
      <w:pPr>
        <w:jc w:val="both"/>
        <w:ind w:firstLine="1505"/>
        <w:spacing w:after="0" w:line="238" w:lineRule="auto"/>
        <w:tabs>
          <w:tab w:leader="none" w:pos="203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 or thing done by Landlord during the Term shall be deemed an acceptance of a surrender of the Premises, and no agreement to accept such surrender shall be 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Tenant shall, at its sole cost and expense, remove from the Premises, prior to the end of the Term, any item installed by or for Tenant and which, pursuant to Legal Requirements, must be removed therefrom before the Premises may be used by a subsequent tenant.</w:t>
      </w:r>
    </w:p>
    <w:p>
      <w:pPr>
        <w:spacing w:after="0" w:line="16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21.2Abandoned Property</w:t>
      </w:r>
      <w:r>
        <w:rPr>
          <w:rFonts w:ascii="Times New Roman" w:cs="Times New Roman" w:eastAsia="Times New Roman" w:hAnsi="Times New Roman"/>
          <w:sz w:val="22"/>
          <w:szCs w:val="22"/>
          <w:color w:val="auto"/>
        </w:rPr>
        <w:t>. After the expiration or earlier termination hereof, if Tenant fails to remove any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the Building or the Premises which Tenant is obligated by the terms of this Lease to remove within five (5) business days after written notice from Landlord, such property (the "</w:t>
      </w:r>
      <w:r>
        <w:rPr>
          <w:rFonts w:ascii="Times New Roman" w:cs="Times New Roman" w:eastAsia="Times New Roman" w:hAnsi="Times New Roman"/>
          <w:sz w:val="22"/>
          <w:szCs w:val="22"/>
          <w:b w:val="1"/>
          <w:bCs w:val="1"/>
          <w:color w:val="auto"/>
        </w:rPr>
        <w:t>Abandoned Property</w:t>
      </w:r>
      <w:r>
        <w:rPr>
          <w:rFonts w:ascii="Times New Roman" w:cs="Times New Roman" w:eastAsia="Times New Roman" w:hAnsi="Times New Roman"/>
          <w:sz w:val="22"/>
          <w:szCs w:val="22"/>
          <w:color w:val="auto"/>
        </w:rPr>
        <w:t>") shall be conclusively deemed to have been abandoned, and may either be retained by Landlord as its property or sold or otherwise disposed of in such manner as Landlord may see fit. If any item of Abandoned Property shall be sold, Tenant hereby agrees that Landlord may receive and retain the proceeds of such sale and apply the same, at its option, to the expenses of the sale, the cost of moving and storage, any damages to which Landlord may be entitled under Section 20 hereof or pursuant to law, and to any arrears of Rent.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21.3Holdover</w:t>
      </w:r>
      <w:r>
        <w:rPr>
          <w:rFonts w:ascii="Times New Roman" w:cs="Times New Roman" w:eastAsia="Times New Roman" w:hAnsi="Times New Roman"/>
          <w:sz w:val="22"/>
          <w:szCs w:val="22"/>
          <w:color w:val="auto"/>
        </w:rPr>
        <w:t>. If any of the Tenant Parties holds over (which term shall include, without limitation, the failure of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Tenant Party to perform all of its obligations under Section 21.1 above) after the end of the Term, Tenant shall be deemed a tenant-at-sufferance subject to the provisions of this Lease. Whether or not Landlord has previously accepted payments of Rent from Tenant:</w:t>
      </w:r>
    </w:p>
    <w:p>
      <w:pPr>
        <w:spacing w:after="0" w:line="176" w:lineRule="exact"/>
        <w:rPr>
          <w:sz w:val="20"/>
          <w:szCs w:val="20"/>
          <w:color w:val="auto"/>
        </w:rPr>
      </w:pPr>
    </w:p>
    <w:p>
      <w:pPr>
        <w:ind w:left="3000" w:hanging="746"/>
        <w:spacing w:after="0" w:line="258" w:lineRule="auto"/>
        <w:tabs>
          <w:tab w:leader="none" w:pos="30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Base Rent at the Hold Over Percentage, as hereinafter defined, of the highest rate of Base Rent payable during the Term,</w:t>
      </w:r>
    </w:p>
    <w:p>
      <w:pPr>
        <w:spacing w:after="0" w:line="158"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continue to pay to Landlord all Additional Rent, and</w:t>
      </w:r>
    </w:p>
    <w:p>
      <w:pPr>
        <w:spacing w:after="0" w:line="206" w:lineRule="exact"/>
        <w:rPr>
          <w:sz w:val="20"/>
          <w:szCs w:val="20"/>
          <w:color w:val="auto"/>
        </w:rPr>
      </w:pPr>
    </w:p>
    <w:p>
      <w:pPr>
        <w:jc w:val="both"/>
        <w:ind w:left="760" w:firstLine="1497"/>
        <w:spacing w:after="0" w:line="235" w:lineRule="auto"/>
        <w:rPr>
          <w:sz w:val="20"/>
          <w:szCs w:val="20"/>
          <w:color w:val="auto"/>
        </w:rPr>
      </w:pPr>
      <w:r>
        <w:rPr>
          <w:rFonts w:ascii="Times New Roman" w:cs="Times New Roman" w:eastAsia="Times New Roman" w:hAnsi="Times New Roman"/>
          <w:sz w:val="22"/>
          <w:szCs w:val="22"/>
          <w:color w:val="auto"/>
        </w:rPr>
        <w:t>(iii)in the event such hold over extends beyond thirty (30) days after the end of the Term, Tenant shall be liable for all damages, including without limitation lost business and consequential damages, incurred by Landlord as a result of such holding over, Tenant hereby acknowledging that Landlord may need the Premises after the end of the Term for other tenants and that the damages which Landlord may suffer as the result of Tenant's holding over cannot be determined as of the Execution Date. Nothing contained herein shall grant Tenant the right to holdover after the expiration or earlier termination of the Term. The "</w:t>
      </w:r>
      <w:r>
        <w:rPr>
          <w:rFonts w:ascii="Times New Roman" w:cs="Times New Roman" w:eastAsia="Times New Roman" w:hAnsi="Times New Roman"/>
          <w:sz w:val="22"/>
          <w:szCs w:val="22"/>
          <w:u w:val="single" w:color="auto"/>
          <w:color w:val="auto"/>
        </w:rPr>
        <w:t>Hold Over Percentage</w:t>
      </w:r>
      <w:r>
        <w:rPr>
          <w:rFonts w:ascii="Times New Roman" w:cs="Times New Roman" w:eastAsia="Times New Roman" w:hAnsi="Times New Roman"/>
          <w:sz w:val="22"/>
          <w:szCs w:val="22"/>
          <w:color w:val="auto"/>
        </w:rPr>
        <w:t>" shall be 150% for the first thirty (30) days of such holdover, and 200% for any period of hold over after the first thirty (30) days. Nothing contained herein shall grant Tenant the right to holdover after the expiration or earlier termination of the Term.</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21.4Warranties</w:t>
      </w:r>
      <w:r>
        <w:rPr>
          <w:rFonts w:ascii="Times New Roman" w:cs="Times New Roman" w:eastAsia="Times New Roman" w:hAnsi="Times New Roman"/>
          <w:sz w:val="22"/>
          <w:szCs w:val="22"/>
          <w:color w:val="auto"/>
        </w:rPr>
        <w:t>. Tenant hereby assigns to Landlord any warranties in effect on the last day of the Term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fixtures and Alterations installed in the Premises. Tenant shall provide Landlord with copies of any such warranties prior to the expiration of the Term (or, if the Lease is earlier terminated, within five (5) days thereafter).</w:t>
      </w:r>
    </w:p>
    <w:p>
      <w:pPr>
        <w:spacing w:after="0" w:line="167" w:lineRule="exact"/>
        <w:rPr>
          <w:sz w:val="20"/>
          <w:szCs w:val="20"/>
          <w:color w:val="auto"/>
        </w:rPr>
      </w:pPr>
    </w:p>
    <w:p>
      <w:pPr>
        <w:ind w:left="760" w:hanging="752"/>
        <w:spacing w:after="0"/>
        <w:tabs>
          <w:tab w:leader="none" w:pos="76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MORTGAGEE RIGHTS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22.1Subordination</w:t>
      </w:r>
      <w:r>
        <w:rPr>
          <w:rFonts w:ascii="Times New Roman" w:cs="Times New Roman" w:eastAsia="Times New Roman" w:hAnsi="Times New Roman"/>
          <w:sz w:val="22"/>
          <w:szCs w:val="22"/>
          <w:color w:val="auto"/>
        </w:rPr>
        <w:t>. Tenant's rights and interests under this Lease shall be (i) subject and subordinate to any ground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overleases, mortgage, deed of trust, or similar instrument covering the Premises, the Building and/or the Land and to all advances, modifications, renewals, replacements, and extensions thereof (each of the foregoing, a "</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or (ii) if any Mortgagee elects, prior to the lien of any present or future Mortgage. Tenant further shall attorn to and recognize any successor landlord, whether through foreclosure or otherwise, as if the successor landlord were the originally named landlord. The provisions of this Section 22.1 shall be self-operative and no further instrument shall be required to effect such subordination or attornment; however, Tenant agrees to execute, acknowledge and deliver such instruments, confirming such subordination and attornment in such form as shall be requested by any such holder within fifteen (15) days of request therefor. Landlord agrees to use reasonable efforts to obtain a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on the standard form of SNDA then being used by the holder of the Mortgage in question, with such commercially reasonable modifications as may be requested by Tenant. Landlord represents to Tenant that, as of the Execution Date, there are no mortgages affecting the Building or the Land.</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22.2Notices</w:t>
      </w:r>
      <w:r>
        <w:rPr>
          <w:rFonts w:ascii="Times New Roman" w:cs="Times New Roman" w:eastAsia="Times New Roman" w:hAnsi="Times New Roman"/>
          <w:sz w:val="22"/>
          <w:szCs w:val="22"/>
          <w:color w:val="auto"/>
        </w:rPr>
        <w:t>. Tenant shall give each Mortgagee the same notices given to Landlord concurrently with the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each Mortgagee shall have a reasonable opportunity thereafter to cure a Landlord default, and Mortgagee's curing of any of Landlord's default shall be treated as performance by Landlord.</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22.3Mortgagee Consent</w:t>
      </w:r>
      <w:r>
        <w:rPr>
          <w:rFonts w:ascii="Times New Roman" w:cs="Times New Roman" w:eastAsia="Times New Roman" w:hAnsi="Times New Roman"/>
          <w:sz w:val="22"/>
          <w:szCs w:val="22"/>
          <w:color w:val="auto"/>
        </w:rPr>
        <w:t>. Tenant acknowledges that, where applicable, any consent or approval hereafter given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may be subject to the further consent or approval of a Mortgagee; and the failure or refusal of such Mortgagee to give such consent or approval shall, notwithstanding anything to the contrary in this Lease contained, constitute reasonable justification for Landlord's withholding its consent or approval.</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22.4Mortgagee Liability</w:t>
      </w:r>
      <w:r>
        <w:rPr>
          <w:rFonts w:ascii="Times New Roman" w:cs="Times New Roman" w:eastAsia="Times New Roman" w:hAnsi="Times New Roman"/>
          <w:sz w:val="22"/>
          <w:szCs w:val="22"/>
          <w:color w:val="auto"/>
        </w:rPr>
        <w:t>. Tenant acknowledges and agrees that if any Mortgage shall be foreclosed, (a) the liability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Mortgagee and its successors and assigns shall exist only so long as such Mortgagee or purchaser is the owner of the Premises, and such liability shall not continue or survive after further transfer of ownership; and (b) such Mortgagee and its successors or assigns shall not be (i) liable for any act or omission of any prior lessor under this Lease; (ii) liable for the performance of Landlord's covenants pursuant to the provisions of this Lease which arise and accrue prior to such entity succeeding to the interest of Landlord under this Lease or acquiring such right to possession; (iii) subject to any offsets or defense which Tenant may have at any time against Landlord; (iv) bound by any base rent or other sum which Tenant may have paid previously for more than one (1) month; or (v) liable for the performance of any covenant of Landlord under this Lease which is capable of performance only by the original Landlord.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81" w:lineRule="exact"/>
        <w:rPr>
          <w:sz w:val="20"/>
          <w:szCs w:val="20"/>
          <w:color w:val="auto"/>
        </w:rPr>
      </w:pPr>
    </w:p>
    <w:p>
      <w:pPr>
        <w:ind w:left="760" w:hanging="752"/>
        <w:spacing w:after="0"/>
        <w:tabs>
          <w:tab w:leader="none" w:pos="76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QUIET ENJOYMENT.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Landlord covenants that so long as Tenant keeps and performs each and every covenant, agreement, term, provision and condition herein contained on the part and on behalf of Tenant to be kept and performed, Tenant shall peaceably and quietly hold, occupy and enjoy the Premises during the Term from and against the claims of all persons lawfully claiming by, through or under Landlord subject, nevertheless, to the covenants, agreements, terms, provisions and conditions of this Lease, any matters of record or of which Tenant has knowledge and to any Mortgage to which this Lease is subject and subordinate, as hereinabove set forth.</w:t>
      </w:r>
    </w:p>
    <w:p>
      <w:pPr>
        <w:spacing w:after="0" w:line="177" w:lineRule="exact"/>
        <w:rPr>
          <w:sz w:val="20"/>
          <w:szCs w:val="20"/>
          <w:color w:val="auto"/>
        </w:rPr>
      </w:pPr>
    </w:p>
    <w:p>
      <w:pPr>
        <w:ind w:left="760" w:hanging="752"/>
        <w:spacing w:after="0"/>
        <w:tabs>
          <w:tab w:leader="none" w:pos="76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Any notice, consent, request, bill, demand or statement hereunder (each, a "</w:t>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by either party to the other party shall be in writing and shall be deemed to have been duly given when either delivered by hand or by nationally recognized overnight courier (in either case with evidence of delivery or refusal thereof) addressed as follows:</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If to Landlord:</w:t>
            </w: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HCP/King 101 CPD LLC</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c/o King Street Properties</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800 Boylston Street, Suite 1570</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Boston, MA 02199</w:t>
            </w:r>
          </w:p>
        </w:tc>
      </w:tr>
      <w:tr>
        <w:trPr>
          <w:trHeight w:val="282"/>
        </w:trPr>
        <w:tc>
          <w:tcPr>
            <w:tcW w:w="2260" w:type="dxa"/>
            <w:vAlign w:val="bottom"/>
          </w:tcPr>
          <w:p>
            <w:pPr>
              <w:spacing w:after="0"/>
              <w:rPr>
                <w:sz w:val="24"/>
                <w:szCs w:val="24"/>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Attn: Stephen D. Lynch</w:t>
            </w:r>
          </w:p>
        </w:tc>
      </w:tr>
      <w:tr>
        <w:trPr>
          <w:trHeight w:val="528"/>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Goulston &amp; Storrs PC</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400 Atlantic Avenue</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Boston, MA 02110</w:t>
            </w:r>
          </w:p>
        </w:tc>
      </w:tr>
      <w:tr>
        <w:trPr>
          <w:trHeight w:val="230"/>
        </w:trPr>
        <w:tc>
          <w:tcPr>
            <w:tcW w:w="2260" w:type="dxa"/>
            <w:vAlign w:val="bottom"/>
          </w:tcPr>
          <w:p>
            <w:pPr>
              <w:spacing w:after="0"/>
              <w:rPr>
                <w:sz w:val="19"/>
                <w:szCs w:val="19"/>
                <w:color w:val="auto"/>
              </w:rPr>
            </w:pPr>
          </w:p>
        </w:tc>
        <w:tc>
          <w:tcPr>
            <w:tcW w:w="3840" w:type="dxa"/>
            <w:vAlign w:val="bottom"/>
            <w:gridSpan w:val="3"/>
          </w:tcPr>
          <w:p>
            <w:pPr>
              <w:ind w:left="940"/>
              <w:spacing w:after="0" w:line="230" w:lineRule="exact"/>
              <w:rPr>
                <w:sz w:val="20"/>
                <w:szCs w:val="20"/>
                <w:color w:val="auto"/>
              </w:rPr>
            </w:pPr>
            <w:r>
              <w:rPr>
                <w:rFonts w:ascii="Times New Roman" w:cs="Times New Roman" w:eastAsia="Times New Roman" w:hAnsi="Times New Roman"/>
                <w:sz w:val="22"/>
                <w:szCs w:val="22"/>
                <w:color w:val="auto"/>
              </w:rPr>
              <w:t>Attention: King Street</w:t>
            </w:r>
          </w:p>
        </w:tc>
      </w:tr>
      <w:tr>
        <w:trPr>
          <w:trHeight w:val="20"/>
        </w:trPr>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37"/>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if to Tenant:</w:t>
            </w: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Seres Therapeutics, Inc.</w:t>
            </w:r>
          </w:p>
        </w:tc>
      </w:tr>
      <w:tr>
        <w:trPr>
          <w:trHeight w:val="293"/>
        </w:trPr>
        <w:tc>
          <w:tcPr>
            <w:tcW w:w="2260" w:type="dxa"/>
            <w:vAlign w:val="bottom"/>
          </w:tcPr>
          <w:p>
            <w:pPr>
              <w:spacing w:after="0"/>
              <w:rPr>
                <w:sz w:val="24"/>
                <w:szCs w:val="24"/>
                <w:color w:val="auto"/>
              </w:rPr>
            </w:pPr>
          </w:p>
        </w:tc>
        <w:tc>
          <w:tcPr>
            <w:tcW w:w="3840" w:type="dxa"/>
            <w:vAlign w:val="bottom"/>
            <w:gridSpan w:val="3"/>
          </w:tcPr>
          <w:p>
            <w:pPr>
              <w:ind w:left="940"/>
              <w:spacing w:after="0" w:line="293" w:lineRule="exact"/>
              <w:rPr>
                <w:sz w:val="20"/>
                <w:szCs w:val="20"/>
                <w:color w:val="auto"/>
              </w:rPr>
            </w:pPr>
            <w:r>
              <w:rPr>
                <w:rFonts w:ascii="Times New Roman" w:cs="Times New Roman" w:eastAsia="Times New Roman" w:hAnsi="Times New Roman"/>
                <w:sz w:val="22"/>
                <w:szCs w:val="22"/>
                <w:color w:val="auto"/>
              </w:rPr>
              <w:t>200 Sidney Street,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r>
      <w:tr>
        <w:trPr>
          <w:trHeight w:val="282"/>
        </w:trPr>
        <w:tc>
          <w:tcPr>
            <w:tcW w:w="2260" w:type="dxa"/>
            <w:vAlign w:val="bottom"/>
          </w:tcPr>
          <w:p>
            <w:pPr>
              <w:spacing w:after="0"/>
              <w:rPr>
                <w:sz w:val="24"/>
                <w:szCs w:val="24"/>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w w:val="97"/>
              </w:rPr>
              <w:t>Cambridge, Massachusetts 02139</w:t>
            </w:r>
          </w:p>
        </w:tc>
      </w:tr>
      <w:tr>
        <w:trPr>
          <w:trHeight w:val="505"/>
        </w:trPr>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rPr>
              <w:t>With a copy to:</w:t>
            </w: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Seres Therapeutics, Inc.</w:t>
            </w:r>
          </w:p>
        </w:tc>
      </w:tr>
      <w:tr>
        <w:trPr>
          <w:trHeight w:val="293"/>
        </w:trPr>
        <w:tc>
          <w:tcPr>
            <w:tcW w:w="2260" w:type="dxa"/>
            <w:vAlign w:val="bottom"/>
          </w:tcPr>
          <w:p>
            <w:pPr>
              <w:spacing w:after="0"/>
              <w:rPr>
                <w:sz w:val="24"/>
                <w:szCs w:val="24"/>
                <w:color w:val="auto"/>
              </w:rPr>
            </w:pPr>
          </w:p>
        </w:tc>
        <w:tc>
          <w:tcPr>
            <w:tcW w:w="3840" w:type="dxa"/>
            <w:vAlign w:val="bottom"/>
            <w:gridSpan w:val="3"/>
          </w:tcPr>
          <w:p>
            <w:pPr>
              <w:ind w:left="940"/>
              <w:spacing w:after="0" w:line="293" w:lineRule="exact"/>
              <w:rPr>
                <w:sz w:val="20"/>
                <w:szCs w:val="20"/>
                <w:color w:val="auto"/>
              </w:rPr>
            </w:pPr>
            <w:r>
              <w:rPr>
                <w:rFonts w:ascii="Times New Roman" w:cs="Times New Roman" w:eastAsia="Times New Roman" w:hAnsi="Times New Roman"/>
                <w:sz w:val="22"/>
                <w:szCs w:val="22"/>
                <w:color w:val="auto"/>
              </w:rPr>
              <w:t>200 Sidney Street,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r>
      <w:tr>
        <w:trPr>
          <w:trHeight w:val="270"/>
        </w:trPr>
        <w:tc>
          <w:tcPr>
            <w:tcW w:w="2260" w:type="dxa"/>
            <w:vAlign w:val="bottom"/>
          </w:tcPr>
          <w:p>
            <w:pPr>
              <w:spacing w:after="0"/>
              <w:rPr>
                <w:sz w:val="23"/>
                <w:szCs w:val="23"/>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w w:val="97"/>
              </w:rPr>
              <w:t>Cambridge, Massachusetts 02139</w:t>
            </w:r>
          </w:p>
        </w:tc>
      </w:tr>
      <w:tr>
        <w:trPr>
          <w:trHeight w:val="282"/>
        </w:trPr>
        <w:tc>
          <w:tcPr>
            <w:tcW w:w="2260" w:type="dxa"/>
            <w:vAlign w:val="bottom"/>
          </w:tcPr>
          <w:p>
            <w:pPr>
              <w:spacing w:after="0"/>
              <w:rPr>
                <w:sz w:val="24"/>
                <w:szCs w:val="24"/>
                <w:color w:val="auto"/>
              </w:rPr>
            </w:pPr>
          </w:p>
        </w:tc>
        <w:tc>
          <w:tcPr>
            <w:tcW w:w="38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Attn: Chief Financial Officer</w:t>
            </w:r>
          </w:p>
        </w:tc>
      </w:tr>
    </w:tbl>
    <w:p>
      <w:pPr>
        <w:spacing w:after="0" w:line="21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Notwithstanding the foregoing, any notice from Landlord to Tenant regarding ordinary business operations (e.g., exercise of a right of access to the Premises, maintenance activities, invoices, etc.) may also be given by written notice delivered by email to those parties listed in Section 2.4.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within the United States. Notices shall be effective upon the date of receipt or refusal thereof.</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81" w:lineRule="exact"/>
        <w:rPr>
          <w:sz w:val="20"/>
          <w:szCs w:val="20"/>
          <w:color w:val="auto"/>
        </w:rPr>
      </w:pPr>
    </w:p>
    <w:p>
      <w:pPr>
        <w:ind w:left="760" w:hanging="752"/>
        <w:spacing w:after="0"/>
        <w:tabs>
          <w:tab w:leader="none" w:pos="76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25.1Separability</w:t>
      </w:r>
      <w:r>
        <w:rPr>
          <w:rFonts w:ascii="Times New Roman" w:cs="Times New Roman" w:eastAsia="Times New Roman" w:hAnsi="Times New Roman"/>
          <w:sz w:val="22"/>
          <w:szCs w:val="22"/>
          <w:color w:val="auto"/>
        </w:rPr>
        <w:t>. If any provision of this Lease or portion of such provision or the application thereof to any person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 is for any reason held invalid or unenforceable, the remainder of this Lease (or the remainder of such provision) and the application thereof to other persons or circumstances shall not be affected thereby.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25.2Captions</w:t>
      </w:r>
      <w:r>
        <w:rPr>
          <w:rFonts w:ascii="Times New Roman" w:cs="Times New Roman" w:eastAsia="Times New Roman" w:hAnsi="Times New Roman"/>
          <w:sz w:val="22"/>
          <w:szCs w:val="22"/>
          <w:color w:val="auto"/>
        </w:rPr>
        <w:t>. The captions are inserted only as a matter of convenience and for reference, and in no way define, limit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 the scope of this Lease nor the intent of any provisions thereof.</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25.3Broker</w:t>
      </w:r>
      <w:r>
        <w:rPr>
          <w:rFonts w:ascii="Times New Roman" w:cs="Times New Roman" w:eastAsia="Times New Roman" w:hAnsi="Times New Roman"/>
          <w:sz w:val="22"/>
          <w:szCs w:val="22"/>
          <w:color w:val="auto"/>
        </w:rPr>
        <w:t>. Tenant and Landlord each warrants and represents that it has dealt with no broker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consummation of this Lease other than Newmark (the "</w:t>
      </w:r>
      <w:r>
        <w:rPr>
          <w:rFonts w:ascii="Times New Roman" w:cs="Times New Roman" w:eastAsia="Times New Roman" w:hAnsi="Times New Roman"/>
          <w:sz w:val="22"/>
          <w:szCs w:val="22"/>
          <w:b w:val="1"/>
          <w:bCs w:val="1"/>
          <w:color w:val="auto"/>
        </w:rPr>
        <w:t>Broker</w:t>
      </w:r>
      <w:r>
        <w:rPr>
          <w:rFonts w:ascii="Times New Roman" w:cs="Times New Roman" w:eastAsia="Times New Roman" w:hAnsi="Times New Roman"/>
          <w:sz w:val="22"/>
          <w:szCs w:val="22"/>
          <w:color w:val="auto"/>
        </w:rPr>
        <w:t>"). Tenant and Landlord each agrees to defend, indemnify and save the other harmless from and against any Claims arising in breach of the representation and warranty set forth in the immediately preceding sentence. Landlord shall be solely responsible for the payment of any brokerage commissions to the Broker pursuant to a separate agreement between Landlord and the Broker.</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25.4Entire Agreement</w:t>
      </w:r>
      <w:r>
        <w:rPr>
          <w:rFonts w:ascii="Times New Roman" w:cs="Times New Roman" w:eastAsia="Times New Roman" w:hAnsi="Times New Roman"/>
          <w:sz w:val="22"/>
          <w:szCs w:val="22"/>
          <w:color w:val="auto"/>
        </w:rPr>
        <w:t>. This Lease, Lease Summary Sheet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Exhibits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incorporated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This Lease may not be modified orally or in any manner other than by written agreement signed by the parties hereto.</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25.5Governing Law</w:t>
      </w:r>
      <w:r>
        <w:rPr>
          <w:rFonts w:ascii="Times New Roman" w:cs="Times New Roman" w:eastAsia="Times New Roman" w:hAnsi="Times New Roman"/>
          <w:sz w:val="22"/>
          <w:szCs w:val="22"/>
          <w:color w:val="auto"/>
        </w:rPr>
        <w:t>. This Lease is made pursuant to, and shall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Commonwealth of Massachusetts and any applicable local municipal rules, regulations, by-laws, ordinances and the like.</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25.6Representation of Authority</w:t>
      </w:r>
      <w:r>
        <w:rPr>
          <w:rFonts w:ascii="Times New Roman" w:cs="Times New Roman" w:eastAsia="Times New Roman" w:hAnsi="Times New Roman"/>
          <w:sz w:val="22"/>
          <w:szCs w:val="22"/>
          <w:color w:val="auto"/>
        </w:rPr>
        <w:t>. By his or her execution hereof, each of the signatories on behalf of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hereby warrants and represents to the other that he or she is duly authorized to execute this Lease on behalf of such party. Upon Landlord's request, Tenant shall provide Landlord with evidence that any requisite resolution, corporate authority and any other necessary consents have been duly adopted and obtained.</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25.7Expenses Incurred by Landlord Upon Tenant Requests</w:t>
      </w:r>
      <w:r>
        <w:rPr>
          <w:rFonts w:ascii="Times New Roman" w:cs="Times New Roman" w:eastAsia="Times New Roman" w:hAnsi="Times New Roman"/>
          <w:sz w:val="22"/>
          <w:szCs w:val="22"/>
          <w:color w:val="auto"/>
        </w:rPr>
        <w:t>. Tenant shall, upon demand, reimburse Landlord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expenses, including, without limitation,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proposed Alterations to be made by Tenant to the Premises or in connection with requests by Tenant for Landlord's consent to make a Transfer. Such costs shall be deemed to be Additional Rent under this Lease.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25.8Survival</w:t>
      </w:r>
      <w:r>
        <w:rPr>
          <w:rFonts w:ascii="Times New Roman" w:cs="Times New Roman" w:eastAsia="Times New Roman" w:hAnsi="Times New Roman"/>
          <w:sz w:val="22"/>
          <w:szCs w:val="22"/>
          <w:color w:val="auto"/>
        </w:rPr>
        <w:t>. Without limiting any other obligation of Tenant which may survive the expiration or prior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all obligations on the part of Tenant to indemnify, defend, or hold Landlord harmless, as set forth in this Lease shall survive the expiration or prior termination of the Term.</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25.9Limitation of Liability</w:t>
      </w:r>
      <w:r>
        <w:rPr>
          <w:rFonts w:ascii="Times New Roman" w:cs="Times New Roman" w:eastAsia="Times New Roman" w:hAnsi="Times New Roman"/>
          <w:sz w:val="22"/>
          <w:szCs w:val="22"/>
          <w:color w:val="auto"/>
        </w:rPr>
        <w:t>. Tenant shall neither assert nor seek to enforce any claim against Landlord or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Parties, or the assets of any of the Landlord Parties, for breach of this Lease or otherwise, other than against Landlord's interest in the Building and in the uncollected rents, issues and profits thereof, and Tenant agrees to look solely to such interest for the satisfaction of any liability of Landlord under this Lease. This Section 25.9 shall not limit any right that Tenant might otherwise have to obtain injunctive relief against Landlord. </w:t>
      </w:r>
      <w:r>
        <w:rPr>
          <w:rFonts w:ascii="Times New Roman" w:cs="Times New Roman" w:eastAsia="Times New Roman" w:hAnsi="Times New Roman"/>
          <w:sz w:val="22"/>
          <w:szCs w:val="22"/>
          <w:b w:val="1"/>
          <w:bCs w:val="1"/>
          <w:color w:val="auto"/>
        </w:rPr>
        <w:t>Landlord and Tenant specifically agree that in no event shall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officer, director, trustee, employee or representative of Landlord or any of the other Landlord Parties ever be personally liable for any obligation under this Lease, nor shall Landlord or any of the other Landlord Parties be liable for consequential or incidental damages or for lost profits whatsoever in connection with this Lease.</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25.10Binding Effect</w:t>
      </w:r>
      <w:r>
        <w:rPr>
          <w:rFonts w:ascii="Times New Roman" w:cs="Times New Roman" w:eastAsia="Times New Roman" w:hAnsi="Times New Roman"/>
          <w:sz w:val="22"/>
          <w:szCs w:val="22"/>
          <w:color w:val="auto"/>
        </w:rPr>
        <w:t>. The covenants, agreements, terms, provisions and conditions of this Lease shall bind and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successors and assigns of the parties hereto with the same effect as if mentioned in each instance where a party hereto is named or referred to, except that no violation of the provisions of Section 13 hereof shall operate to vest any rights in any successor or assignee of Tenant. This Lease may be signed in counterparts and a facsimile or electronic signature on this Lease shall be equivalent to, and have the same force and effect as, an original signature.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25.11Landlord Obligations upon Transfer</w:t>
      </w:r>
      <w:r>
        <w:rPr>
          <w:rFonts w:ascii="Times New Roman" w:cs="Times New Roman" w:eastAsia="Times New Roman" w:hAnsi="Times New Roman"/>
          <w:sz w:val="22"/>
          <w:szCs w:val="22"/>
          <w:color w:val="auto"/>
        </w:rPr>
        <w:t>. Upon any sale, transfer or other disposition of the Building, Landlord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entirely freed and relieved from the performance and observance thereafter of all covenants and obligations hereunder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 except as otherwise agreed in writing.</w:t>
      </w:r>
    </w:p>
    <w:p>
      <w:pPr>
        <w:spacing w:after="0" w:line="175"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25.12No Grant of Interest</w:t>
      </w:r>
      <w:r>
        <w:rPr>
          <w:rFonts w:ascii="Times New Roman" w:cs="Times New Roman" w:eastAsia="Times New Roman" w:hAnsi="Times New Roman"/>
          <w:sz w:val="22"/>
          <w:szCs w:val="22"/>
          <w:color w:val="auto"/>
        </w:rPr>
        <w:t>. Tenant shall not grant any interest whatsoever in any fixtures within the Premises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item paid in whole or in part by Landlord's Contribution or by Landlord.</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25.13Financial Information</w:t>
      </w:r>
      <w:r>
        <w:rPr>
          <w:rFonts w:ascii="Times New Roman" w:cs="Times New Roman" w:eastAsia="Times New Roman" w:hAnsi="Times New Roman"/>
          <w:sz w:val="22"/>
          <w:szCs w:val="22"/>
          <w:color w:val="auto"/>
        </w:rPr>
        <w:t>. Tenant shall deliver to Landlord, within thirty (30) days after Landlord's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request, Tenant's most recently completed balance sheet and related statements of income, shareholder's equity and cash flows statements (audited if available) reviewed by an independent certified public accountant and certified by an officer of Tenant as being true and correct in all material respects. Any such financial information may be relied upon by any actual or potential lessor, purchaser, or mortgagee of the Property or any portion thereof.</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25.14OFAC Certificate and Indemnity</w:t>
      </w:r>
      <w:r>
        <w:rPr>
          <w:rFonts w:ascii="Times New Roman" w:cs="Times New Roman" w:eastAsia="Times New Roman" w:hAnsi="Times New Roman"/>
          <w:sz w:val="21"/>
          <w:szCs w:val="21"/>
          <w:color w:val="auto"/>
        </w:rPr>
        <w:t>. Executive Order No. 13224 on Terrorist Financing, effective September 24,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2001 (the "</w:t>
      </w:r>
      <w:r>
        <w:rPr>
          <w:rFonts w:ascii="Times New Roman" w:cs="Times New Roman" w:eastAsia="Times New Roman" w:hAnsi="Times New Roman"/>
          <w:sz w:val="21"/>
          <w:szCs w:val="21"/>
          <w:b w:val="1"/>
          <w:bCs w:val="1"/>
          <w:color w:val="auto"/>
        </w:rPr>
        <w:t>Executive Order</w:t>
      </w:r>
      <w:r>
        <w:rPr>
          <w:rFonts w:ascii="Times New Roman" w:cs="Times New Roman" w:eastAsia="Times New Roman" w:hAnsi="Times New Roman"/>
          <w:sz w:val="21"/>
          <w:szCs w:val="21"/>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21"/>
          <w:szCs w:val="21"/>
          <w:b w:val="1"/>
          <w:bCs w:val="1"/>
          <w:color w:val="auto"/>
        </w:rPr>
        <w:t>Patriot Act</w:t>
      </w:r>
      <w:r>
        <w:rPr>
          <w:rFonts w:ascii="Times New Roman" w:cs="Times New Roman" w:eastAsia="Times New Roman" w:hAnsi="Times New Roman"/>
          <w:sz w:val="21"/>
          <w:szCs w:val="21"/>
          <w:color w:val="auto"/>
        </w:rPr>
        <w:t>") prohibit certain property transfers. Tenant hereby represents and warrants to Landlord (which representations and warranties shall be deemed to be continuing and re-made at all times during the Term) that neither Tenant nor any stockholder, manager, beneficiary, partner, or principal of Tenant is subject to the Executive Order, that none of them is listed on the United States Department of the Treasury Office of Foreign Assets Control ("OFAC") list of "Specially Designated Nationals and Blocked Persons" as modified from time to time, and that none of them is otherwise subject to the provisions of the Executive Order or the Patriot Act. The most current list of "</w:t>
      </w:r>
      <w:r>
        <w:rPr>
          <w:rFonts w:ascii="Times New Roman" w:cs="Times New Roman" w:eastAsia="Times New Roman" w:hAnsi="Times New Roman"/>
          <w:sz w:val="21"/>
          <w:szCs w:val="21"/>
          <w:b w:val="1"/>
          <w:bCs w:val="1"/>
          <w:color w:val="auto"/>
        </w:rPr>
        <w:t>Specially Designated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Nationals and Blocked Persons</w:t>
      </w:r>
      <w:r>
        <w:rPr>
          <w:rFonts w:ascii="Times New Roman" w:cs="Times New Roman" w:eastAsia="Times New Roman" w:hAnsi="Times New Roman"/>
          <w:sz w:val="21"/>
          <w:szCs w:val="21"/>
          <w:color w:val="auto"/>
        </w:rPr>
        <w:t>" can be found at http://www.treas.gov/offices/eotffc/ofac/sdn/index.html. Tenant shall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to time, within ten days after request by Landlord, deliver to Landlord any certification or other evidence requested from time to time by Landlord in its reasonable discretion, confirming Tenant's compliance with these provisions. No assignment or subletting shall be effective unless and until the assignee or subtenant thereunder delivers to Landlord written confirmation of such party's compliance with the provisions of this subsection, in form and content satisfactory to Landlord. If for any reason the representations and warranties set forth in this subsection, or any certificate or other evidence of compliance delivered to Landlord hereunder, is untrue in any respect when made or delivered, or thereafter becomes untrue in any respect, then an Event of Default hereunder shall be deemed to occur immediately, and there shall be no opportunity to cure. Tenant shall indemnify, defend with counsel reasonably acceptable to Landlord, and hold Landlord harmless from and against, any and all liabilities, losses claims, damages, penalties, fines, and costs (including attorneys' fees and costs) arising from or related to the breach of any of the foregoing representations, warranties, and duties of Tenant. The provisions of this subsection shall survive the expiration or earlier termination of this Lease for the longest period permitted by law.</w:t>
      </w:r>
    </w:p>
    <w:p>
      <w:pPr>
        <w:spacing w:after="0" w:line="18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25.15Confidentiality</w:t>
      </w:r>
      <w:r>
        <w:rPr>
          <w:rFonts w:ascii="Times New Roman" w:cs="Times New Roman" w:eastAsia="Times New Roman" w:hAnsi="Times New Roman"/>
          <w:sz w:val="21"/>
          <w:szCs w:val="21"/>
          <w:color w:val="auto"/>
        </w:rPr>
        <w:t>. Tenant acknowledges and agrees that the terms of this Lease are confidential. Disclosure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hereof could adversely affect the ability of Landlord to negotiate other leases with respect to the Building and may impair Landlord's relationship with other tenants of the Building. Tenant agrees that it and its partners, officers, directors, employees, brokers, and attorneys, if any, shall not disclose the terms and conditions of this Lease to any other person or entity without the prior written consent of Landlord which may be given or withheld by Landlord, in Landlord's sole discretion, except as required for financial disclosures or securities filings, as required by the order of any court or public body with authority over Tenant, or in connection with any litigation between Landlord and Tenant with respect to this Lease.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6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25.16Force Majeure</w:t>
      </w:r>
      <w:r>
        <w:rPr>
          <w:rFonts w:ascii="Times New Roman" w:cs="Times New Roman" w:eastAsia="Times New Roman" w:hAnsi="Times New Roman"/>
          <w:sz w:val="22"/>
          <w:szCs w:val="22"/>
          <w:color w:val="auto"/>
        </w:rPr>
        <w:t>. Other than for Tenant's obligations under this Lease that can be performed by the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money (e.g.,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national or regional</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emergency, or a pandemic, epidemic or other public health emergency or exigency, or any other causes of any kind whatsoever which are beyond the control of such party (collectively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In no event shall financial inability of a party be deemed to be Force Majeure.</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25.17Jury Trial Waiver</w:t>
      </w:r>
      <w:r>
        <w:rPr>
          <w:rFonts w:ascii="Times New Roman" w:cs="Times New Roman" w:eastAsia="Times New Roman" w:hAnsi="Times New Roman"/>
          <w:sz w:val="22"/>
          <w:szCs w:val="22"/>
          <w:color w:val="auto"/>
        </w:rPr>
        <w:t>. Landlord and Tenant hereby waive trial by jury in any action, proceeding or counterclaim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brought by either party against the other on any matters in any way arising out of or connected with this Lease, the relationship of Landlord and Tenant, Tenant's use or occupancy of the premises, or the enforcement of any remedy under any statute, emergency or otherwise</w:t>
      </w:r>
      <w:r>
        <w:rPr>
          <w:rFonts w:ascii="Times New Roman" w:cs="Times New Roman" w:eastAsia="Times New Roman" w:hAnsi="Times New Roman"/>
          <w:sz w:val="22"/>
          <w:szCs w:val="22"/>
          <w:b w:val="1"/>
          <w:bCs w:val="1"/>
          <w:color w:val="auto"/>
        </w:rPr>
        <w:t>.</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25.18LEED Guidelines</w:t>
      </w:r>
      <w:r>
        <w:rPr>
          <w:rFonts w:ascii="Times New Roman" w:cs="Times New Roman" w:eastAsia="Times New Roman" w:hAnsi="Times New Roman"/>
          <w:sz w:val="22"/>
          <w:szCs w:val="22"/>
          <w:color w:val="auto"/>
        </w:rPr>
        <w:t>. Tenant acknowledges and agrees the Building shall be LEED Certified, and Landlord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provided Tenant with a copy of the LEED Guidelines attached hereto as </w:t>
      </w:r>
      <w:r>
        <w:rPr>
          <w:rFonts w:ascii="Times New Roman" w:cs="Times New Roman" w:eastAsia="Times New Roman" w:hAnsi="Times New Roman"/>
          <w:sz w:val="22"/>
          <w:szCs w:val="22"/>
          <w:u w:val="single" w:color="auto"/>
          <w:color w:val="auto"/>
        </w:rPr>
        <w:t>Exhibit 10,</w:t>
      </w:r>
      <w:r>
        <w:rPr>
          <w:rFonts w:ascii="Times New Roman" w:cs="Times New Roman" w:eastAsia="Times New Roman" w:hAnsi="Times New Roman"/>
          <w:sz w:val="22"/>
          <w:szCs w:val="22"/>
          <w:color w:val="auto"/>
        </w:rPr>
        <w:t xml:space="preserve"> and Tenant shall comply with such reasonable rules and regulations as Landlord may require in order to maintain such status.</w:t>
      </w:r>
    </w:p>
    <w:p>
      <w:pPr>
        <w:spacing w:after="0" w:line="167" w:lineRule="exact"/>
        <w:rPr>
          <w:sz w:val="20"/>
          <w:szCs w:val="20"/>
          <w:color w:val="auto"/>
        </w:rPr>
      </w:pPr>
    </w:p>
    <w:p>
      <w:pPr>
        <w:ind w:left="760" w:hanging="752"/>
        <w:spacing w:after="0"/>
        <w:tabs>
          <w:tab w:leader="none" w:pos="76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 OF FIRST OFFER.</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26.1Grant of Option</w:t>
      </w:r>
      <w:r>
        <w:rPr>
          <w:rFonts w:ascii="Times New Roman" w:cs="Times New Roman" w:eastAsia="Times New Roman" w:hAnsi="Times New Roman"/>
          <w:sz w:val="22"/>
          <w:szCs w:val="22"/>
          <w:color w:val="auto"/>
        </w:rPr>
        <w:t>. Subject to the provisions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from and after the initial leasing by Landlord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ROFO Premises to one or more tenants, Tenant shall have a one- time right of first offer (the "</w:t>
      </w:r>
      <w:r>
        <w:rPr>
          <w:rFonts w:ascii="Times New Roman" w:cs="Times New Roman" w:eastAsia="Times New Roman" w:hAnsi="Times New Roman"/>
          <w:sz w:val="22"/>
          <w:szCs w:val="22"/>
          <w:b w:val="1"/>
          <w:bCs w:val="1"/>
          <w:color w:val="auto"/>
        </w:rPr>
        <w:t>ROFO</w:t>
      </w:r>
      <w:r>
        <w:rPr>
          <w:rFonts w:ascii="Times New Roman" w:cs="Times New Roman" w:eastAsia="Times New Roman" w:hAnsi="Times New Roman"/>
          <w:sz w:val="22"/>
          <w:szCs w:val="22"/>
          <w:color w:val="auto"/>
        </w:rPr>
        <w:t>") to lease the ROFO Premises at the time that the ROFO Premises become available for lease, so long as the ROFO Conditions, (which ROFO Conditions Landlord may waive, at its election, by written notice to Tenant at any time), are satisfied both at the time that Landlord is required to give an Offer, and as of the commencement date of the term of the ROFO Premises (such dates being hereinafter collectively referred to as the "</w:t>
      </w:r>
      <w:r>
        <w:rPr>
          <w:rFonts w:ascii="Times New Roman" w:cs="Times New Roman" w:eastAsia="Times New Roman" w:hAnsi="Times New Roman"/>
          <w:sz w:val="22"/>
          <w:szCs w:val="22"/>
          <w:b w:val="1"/>
          <w:bCs w:val="1"/>
          <w:color w:val="auto"/>
        </w:rPr>
        <w:t>ROFO Conditions Dates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26.2Definition of ROFO Premises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ROFO Premises</w:t>
      </w:r>
      <w:r>
        <w:rPr>
          <w:rFonts w:ascii="Times New Roman" w:cs="Times New Roman" w:eastAsia="Times New Roman" w:hAnsi="Times New Roman"/>
          <w:sz w:val="22"/>
          <w:szCs w:val="22"/>
          <w:color w:val="auto"/>
        </w:rPr>
        <w:t>" shall be defined as any space on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Building and the western portion of the third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xml:space="preserve">) floor of the Building as initially demised by Landlord, when such area becomes available for lease, during the Term of this Lease. For the purposes of this </w:t>
      </w:r>
      <w:r>
        <w:rPr>
          <w:rFonts w:ascii="Times New Roman" w:cs="Times New Roman" w:eastAsia="Times New Roman" w:hAnsi="Times New Roman"/>
          <w:sz w:val="22"/>
          <w:szCs w:val="22"/>
          <w:u w:val="single" w:color="auto"/>
          <w:color w:val="auto"/>
        </w:rPr>
        <w:t>Section 26.2</w:t>
      </w:r>
      <w:r>
        <w:rPr>
          <w:rFonts w:ascii="Times New Roman" w:cs="Times New Roman" w:eastAsia="Times New Roman" w:hAnsi="Times New Roman"/>
          <w:sz w:val="22"/>
          <w:szCs w:val="22"/>
          <w:color w:val="auto"/>
        </w:rPr>
        <w:t>, the ROFO Premises shall be deemed to be "</w:t>
      </w:r>
      <w:r>
        <w:rPr>
          <w:rFonts w:ascii="Times New Roman" w:cs="Times New Roman" w:eastAsia="Times New Roman" w:hAnsi="Times New Roman"/>
          <w:sz w:val="22"/>
          <w:szCs w:val="22"/>
          <w:b w:val="1"/>
          <w:bCs w:val="1"/>
          <w:color w:val="auto"/>
        </w:rPr>
        <w:t>available for lease</w:t>
      </w:r>
      <w:r>
        <w:rPr>
          <w:rFonts w:ascii="Times New Roman" w:cs="Times New Roman" w:eastAsia="Times New Roman" w:hAnsi="Times New Roman"/>
          <w:sz w:val="22"/>
          <w:szCs w:val="22"/>
          <w:color w:val="auto"/>
        </w:rPr>
        <w:t>" if, during the Term of this Lease, Landlord, in its sole judgment, determines that such area will become available for leasing to Tenant (i.e. when Landlord determines that the then current tenant of such ROFO Premises will vacate such ROFO Premises, and all Superior Rights with respect to such ROFO Premises have either lapsed unexercised or have been irrevocably waived by the current tenant of such ROFO Premises, and when Landlord intends to offer such area for lease). "</w:t>
      </w:r>
      <w:r>
        <w:rPr>
          <w:rFonts w:ascii="Times New Roman" w:cs="Times New Roman" w:eastAsia="Times New Roman" w:hAnsi="Times New Roman"/>
          <w:sz w:val="22"/>
          <w:szCs w:val="22"/>
          <w:b w:val="1"/>
          <w:bCs w:val="1"/>
          <w:color w:val="auto"/>
        </w:rPr>
        <w:t>Superior Rights</w:t>
      </w:r>
      <w:r>
        <w:rPr>
          <w:rFonts w:ascii="Times New Roman" w:cs="Times New Roman" w:eastAsia="Times New Roman" w:hAnsi="Times New Roman"/>
          <w:sz w:val="22"/>
          <w:szCs w:val="22"/>
          <w:color w:val="auto"/>
        </w:rPr>
        <w:t xml:space="preserve">" shall be defined as: (i) the right of the existing tenant or occupant of the ROFO Premises to extend or renew the term of its lease of the ROFO Premises, or the applicable portion thereof, (ii) the rights of any existing tenant or occupant whose lease or occupancy agreement was executed prior to the Execution Date of this Lease to lease the ROFO Premises, and (iii) the right of Landlord to enter into an agreement with any existing tenant or occupant of the ROFO Premises, or the applicable portion thereof, renewing or extending such lease or occupancy agreement. Nothing set forth in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be construed to limit Landlord's right to lease space in the Building to affiliates of Landlord, or to keep space in the Building vacant if Landlord elects, in its sole discretion, to do so, and such space leased to affiliates, subsidiaries or related entities, or vacant space, shall in no event be deemed to be "available for lease" hereunder.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26.3Procedures for Exercising ROFO</w:t>
      </w:r>
      <w:r>
        <w:rPr>
          <w:rFonts w:ascii="Times New Roman" w:cs="Times New Roman" w:eastAsia="Times New Roman" w:hAnsi="Times New Roman"/>
          <w:sz w:val="22"/>
          <w:szCs w:val="22"/>
          <w:color w:val="auto"/>
        </w:rPr>
        <w:t>. At such time as the ROFO Premises becomes available for lease to 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Landlord shall, subject to the provisions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give a written offer (the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to Tenant of the terms under which Landlord is prepared to lease the ROFO Premises to Tenant, including the Base Rent (which shall be based upon Landlord's good faith judgment of the fair market rental value of the ROFO Premises in question), Tenant's improvement allowance, if any, term, renewal term and all other material business terms. Tenant may lease the ROFO Premises under such terms, by delivering written notice (the "</w:t>
      </w:r>
      <w:r>
        <w:rPr>
          <w:rFonts w:ascii="Times New Roman" w:cs="Times New Roman" w:eastAsia="Times New Roman" w:hAnsi="Times New Roman"/>
          <w:sz w:val="22"/>
          <w:szCs w:val="22"/>
          <w:b w:val="1"/>
          <w:bCs w:val="1"/>
          <w:color w:val="auto"/>
        </w:rPr>
        <w:t>Acceptance</w:t>
      </w:r>
      <w:r>
        <w:rPr>
          <w:rFonts w:ascii="Times New Roman" w:cs="Times New Roman" w:eastAsia="Times New Roman" w:hAnsi="Times New Roman"/>
          <w:sz w:val="22"/>
          <w:szCs w:val="22"/>
          <w:color w:val="auto"/>
        </w:rPr>
        <w:t>") to Landlord accepting such Offer within ten (10) days after Landlord gives such Offer to Tenant, time being of the essence.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26.4Conditions to ROFO</w:t>
      </w:r>
      <w:r>
        <w:rPr>
          <w:rFonts w:ascii="Times New Roman" w:cs="Times New Roman" w:eastAsia="Times New Roman" w:hAnsi="Times New Roman"/>
          <w:sz w:val="22"/>
          <w:szCs w:val="22"/>
          <w:color w:val="auto"/>
        </w:rPr>
        <w:t>. The ROFO is subject to the following conditions, and, without limiting the foregoing,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shall have no obligation to give an Offer to Tenant with respect to the ROFO Premises, or any portion thereof, if any of the following conditions ("</w:t>
      </w:r>
      <w:r>
        <w:rPr>
          <w:rFonts w:ascii="Times New Roman" w:cs="Times New Roman" w:eastAsia="Times New Roman" w:hAnsi="Times New Roman"/>
          <w:sz w:val="22"/>
          <w:szCs w:val="22"/>
          <w:b w:val="1"/>
          <w:bCs w:val="1"/>
          <w:color w:val="auto"/>
        </w:rPr>
        <w:t>ROFO Conditions</w:t>
      </w:r>
      <w:r>
        <w:rPr>
          <w:rFonts w:ascii="Times New Roman" w:cs="Times New Roman" w:eastAsia="Times New Roman" w:hAnsi="Times New Roman"/>
          <w:sz w:val="22"/>
          <w:szCs w:val="22"/>
          <w:color w:val="auto"/>
        </w:rPr>
        <w:t>") are not satisfied:</w:t>
      </w:r>
    </w:p>
    <w:p>
      <w:pPr>
        <w:spacing w:after="0" w:line="171" w:lineRule="exact"/>
        <w:rPr>
          <w:sz w:val="20"/>
          <w:szCs w:val="20"/>
          <w:color w:val="auto"/>
        </w:rPr>
      </w:pPr>
    </w:p>
    <w:p>
      <w:pPr>
        <w:ind w:left="2560" w:hanging="306"/>
        <w:spacing w:after="0"/>
        <w:tabs>
          <w:tab w:leader="none" w:pos="25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by Tenant exists at the time that Landlord would otherwise deliver the Offer; or</w:t>
      </w:r>
    </w:p>
    <w:p>
      <w:pPr>
        <w:spacing w:after="0" w:line="217" w:lineRule="exact"/>
        <w:rPr>
          <w:rFonts w:ascii="Times New Roman" w:cs="Times New Roman" w:eastAsia="Times New Roman" w:hAnsi="Times New Roman"/>
          <w:sz w:val="21"/>
          <w:szCs w:val="21"/>
          <w:color w:val="auto"/>
        </w:rPr>
      </w:pPr>
    </w:p>
    <w:p>
      <w:pPr>
        <w:ind w:right="500" w:firstLine="2254"/>
        <w:spacing w:after="0" w:line="258" w:lineRule="auto"/>
        <w:tabs>
          <w:tab w:leader="none" w:pos="254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Premises is sublet (other than to an Affiliated Entity or Successor) at the time Landlord would otherwise deliver the Offer; or</w:t>
      </w:r>
    </w:p>
    <w:p>
      <w:pPr>
        <w:spacing w:after="0" w:line="158" w:lineRule="exact"/>
        <w:rPr>
          <w:sz w:val="20"/>
          <w:szCs w:val="20"/>
          <w:color w:val="auto"/>
        </w:rPr>
      </w:pPr>
    </w:p>
    <w:p>
      <w:pPr>
        <w:ind w:right="300" w:firstLine="2246"/>
        <w:spacing w:after="0" w:line="258" w:lineRule="auto"/>
        <w:rPr>
          <w:sz w:val="20"/>
          <w:szCs w:val="20"/>
          <w:color w:val="auto"/>
        </w:rPr>
      </w:pPr>
      <w:r>
        <w:rPr>
          <w:rFonts w:ascii="Times New Roman" w:cs="Times New Roman" w:eastAsia="Times New Roman" w:hAnsi="Times New Roman"/>
          <w:sz w:val="22"/>
          <w:szCs w:val="22"/>
          <w:color w:val="auto"/>
        </w:rPr>
        <w:t>(iii)the Lease has not been assigned (other than to an Affiliated Entity or Successor) prior to the date Landlord would otherwise deliver the Offer;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(iv)at least three (3) years remain in the Term; or</w:t>
      </w:r>
    </w:p>
    <w:p>
      <w:pPr>
        <w:spacing w:after="0" w:line="206" w:lineRule="exact"/>
        <w:rPr>
          <w:sz w:val="20"/>
          <w:szCs w:val="20"/>
          <w:color w:val="auto"/>
        </w:rPr>
      </w:pPr>
    </w:p>
    <w:p>
      <w:pPr>
        <w:jc w:val="both"/>
        <w:ind w:firstLine="2254"/>
        <w:spacing w:after="0" w:line="244" w:lineRule="auto"/>
        <w:tabs>
          <w:tab w:leader="none" w:pos="254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a market capitalization of at least Five Billion and 00/100 Dollars ($5,000,000,000.00) for four (4) consecutive fiscal quarters immediately preceding and as of the ROFO Conditions Dates, as evidenced by supporting documentation reasonably acceptable to Landlord.</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26.5Termination of Right of First Offer</w:t>
      </w:r>
      <w:r>
        <w:rPr>
          <w:rFonts w:ascii="Times New Roman" w:cs="Times New Roman" w:eastAsia="Times New Roman" w:hAnsi="Times New Roman"/>
          <w:sz w:val="21"/>
          <w:szCs w:val="21"/>
          <w:color w:val="auto"/>
        </w:rPr>
        <w:t>. Tenant's right to lease the ROFO Premises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upon the earlier to occur of: (i) Tenant's failure to give a timely Acceptance with respect to such ROFO Premises within the ten-(10)-day period provided in </w:t>
      </w:r>
      <w:r>
        <w:rPr>
          <w:rFonts w:ascii="Times New Roman" w:cs="Times New Roman" w:eastAsia="Times New Roman" w:hAnsi="Times New Roman"/>
          <w:sz w:val="21"/>
          <w:szCs w:val="21"/>
          <w:u w:val="single" w:color="auto"/>
          <w:color w:val="auto"/>
        </w:rPr>
        <w:t>Section 26.4</w:t>
      </w:r>
      <w:r>
        <w:rPr>
          <w:rFonts w:ascii="Times New Roman" w:cs="Times New Roman" w:eastAsia="Times New Roman" w:hAnsi="Times New Roman"/>
          <w:sz w:val="21"/>
          <w:szCs w:val="21"/>
          <w:color w:val="auto"/>
        </w:rPr>
        <w:t xml:space="preserve"> above; or (ii) the date Landlord would have provided Tenant an Offer with respect to such ROFO Premises if Tenant had not failed to satisfy one or more of the ROFO Conditions set forth in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terminate, and Tenant shall have no further right to lease such ROFO Premises. If Landlord gives Tenant an Offer to lease only a portion of the ROFO Premises, then Tenant's right to lease such portion of the ROFO Premises pursuant to this Section shall, upon the earlier to occur of: (x) Tenant's failure to give a timely Acceptance with respect to such portion of such ROFO Premises within the ten-(10)-day period provided in </w:t>
      </w:r>
      <w:r>
        <w:rPr>
          <w:rFonts w:ascii="Times New Roman" w:cs="Times New Roman" w:eastAsia="Times New Roman" w:hAnsi="Times New Roman"/>
          <w:sz w:val="21"/>
          <w:szCs w:val="21"/>
          <w:u w:val="single" w:color="auto"/>
          <w:color w:val="auto"/>
        </w:rPr>
        <w:t>Section 26.4</w:t>
      </w:r>
      <w:r>
        <w:rPr>
          <w:rFonts w:ascii="Times New Roman" w:cs="Times New Roman" w:eastAsia="Times New Roman" w:hAnsi="Times New Roman"/>
          <w:sz w:val="21"/>
          <w:szCs w:val="21"/>
          <w:color w:val="auto"/>
        </w:rPr>
        <w:t xml:space="preserve"> above; or (y) the date Landlord would have provided Tenant an Offer with respect to such portion of the ROFO Premises if Tenant had not failed to satisfy one or more of the ROFO Conditions set forth in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terminate, and Tenant shall have no further right to lease such portion of the ROFO Premises.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26.6Terms of Lease Applicable ROFO Premises</w:t>
      </w:r>
      <w:r>
        <w:rPr>
          <w:rFonts w:ascii="Times New Roman" w:cs="Times New Roman" w:eastAsia="Times New Roman" w:hAnsi="Times New Roman"/>
          <w:sz w:val="22"/>
          <w:szCs w:val="22"/>
          <w:color w:val="auto"/>
        </w:rPr>
        <w:t>. The terms applicable to Tenant's demise of the ROFO Premises,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portion thereof, shall be upon the terms set forth in the applicable Offer, and otherwise upon the terms and conditions of the Lease, to the extent that the provisions of the Lease are not inconsistent with such Offer, and as follows:</w:t>
      </w:r>
    </w:p>
    <w:p>
      <w:pPr>
        <w:spacing w:after="0" w:line="171" w:lineRule="exact"/>
        <w:rPr>
          <w:sz w:val="20"/>
          <w:szCs w:val="20"/>
          <w:color w:val="auto"/>
        </w:rPr>
      </w:pPr>
    </w:p>
    <w:p>
      <w:pPr>
        <w:ind w:right="1020" w:firstLine="2254"/>
        <w:spacing w:after="0" w:line="258" w:lineRule="auto"/>
        <w:tabs>
          <w:tab w:leader="none" w:pos="254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for the ROFO Premises shall, subject to clause (iii) below, commence upon the commencement date stated in the Offer.</w:t>
      </w:r>
    </w:p>
    <w:p>
      <w:pPr>
        <w:spacing w:after="0" w:line="158" w:lineRule="exact"/>
        <w:rPr>
          <w:rFonts w:ascii="Times New Roman" w:cs="Times New Roman" w:eastAsia="Times New Roman" w:hAnsi="Times New Roman"/>
          <w:sz w:val="22"/>
          <w:szCs w:val="22"/>
          <w:color w:val="auto"/>
        </w:rPr>
      </w:pPr>
    </w:p>
    <w:p>
      <w:pPr>
        <w:ind w:right="400" w:firstLine="2254"/>
        <w:spacing w:after="0" w:line="258" w:lineRule="auto"/>
        <w:tabs>
          <w:tab w:leader="none" w:pos="254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Base Rent and Additional Rent for such ROFO Premises, or portion thereof, in accordance with the terms and conditions of the Offer.</w:t>
      </w:r>
    </w:p>
    <w:p>
      <w:pPr>
        <w:spacing w:after="0" w:line="158"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(iii)Such ROFO Premises shall be accepted by Tenant in its condition (including improvements and personalty, if any) and as-built configuration existing on the earlier of the date Tenant takes possession of such ROFO Premises, of portion thereof, or as of the date the term for such ROFO Premises, or portion thereof, commences, and Landlord shall have no obligation to provide any Landlord contribution or free rent with respect to such ROFO Premises, or portion thereof, unless otherwise provided in such Offer.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26.7Offering Amendment</w:t>
      </w:r>
      <w:r>
        <w:rPr>
          <w:rFonts w:ascii="Times New Roman" w:cs="Times New Roman" w:eastAsia="Times New Roman" w:hAnsi="Times New Roman"/>
          <w:sz w:val="22"/>
          <w:szCs w:val="22"/>
          <w:color w:val="auto"/>
        </w:rPr>
        <w:t>. If Tenant exercises the ROFO with respect to the ROFO Premises Landlord shall prepare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(the "</w:t>
      </w:r>
      <w:r>
        <w:rPr>
          <w:rFonts w:ascii="Times New Roman" w:cs="Times New Roman" w:eastAsia="Times New Roman" w:hAnsi="Times New Roman"/>
          <w:sz w:val="22"/>
          <w:szCs w:val="22"/>
          <w:b w:val="1"/>
          <w:bCs w:val="1"/>
          <w:color w:val="auto"/>
        </w:rPr>
        <w:t>Offering Amendment</w:t>
      </w:r>
      <w:r>
        <w:rPr>
          <w:rFonts w:ascii="Times New Roman" w:cs="Times New Roman" w:eastAsia="Times New Roman" w:hAnsi="Times New Roman"/>
          <w:sz w:val="22"/>
          <w:szCs w:val="22"/>
          <w:color w:val="auto"/>
        </w:rPr>
        <w:t>") adding such ROFO Premises, or portion thereof, to the Premises on the terms set forth in the Offer and reflecting the changes in the Base Rent, Rentable Square Footage of the ROFO Premises, Tenant's Share, and other mutually agreeable appropriate terms. A copy of the Offering Amendment shall be sent to Tenant within a reasonable time after Landlord's receipt of the Acceptance sent by Tenant to Landlord, and, if the terms and conditions of the Offering Amendment are reasonably acceptable to Tenant, then Tenant shall execute and return the Offering Amendment to Landlord within fifteen (15) days thereafter, but an otherwise valid exercise of the ROFO shall be fully effective whether or not the Offering Amendment is executed.</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26.8Last Acceptance Date</w:t>
      </w:r>
      <w:r>
        <w:rPr>
          <w:rFonts w:ascii="Times New Roman" w:cs="Times New Roman" w:eastAsia="Times New Roman" w:hAnsi="Times New Roman"/>
          <w:sz w:val="22"/>
          <w:szCs w:val="22"/>
          <w:color w:val="auto"/>
        </w:rPr>
        <w:t>. If Tenant does not give Landlord a written Acceptance on or before the date ("</w:t>
      </w:r>
      <w:r>
        <w:rPr>
          <w:rFonts w:ascii="Times New Roman" w:cs="Times New Roman" w:eastAsia="Times New Roman" w:hAnsi="Times New Roman"/>
          <w:sz w:val="22"/>
          <w:szCs w:val="22"/>
          <w:b w:val="1"/>
          <w:bCs w:val="1"/>
          <w:color w:val="auto"/>
        </w:rPr>
        <w:t>Last Acceptance Date</w:t>
      </w:r>
      <w:r>
        <w:rPr>
          <w:rFonts w:ascii="Times New Roman" w:cs="Times New Roman" w:eastAsia="Times New Roman" w:hAnsi="Times New Roman"/>
          <w:sz w:val="22"/>
          <w:szCs w:val="22"/>
          <w:color w:val="auto"/>
        </w:rPr>
        <w:t>") which is ten (10) days after Landlord gives the Offer to Tenant, Landlord shall have the right to enter into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the subject ROFO Premises on any terms to any party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Lease as of the Execution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HCP/KING 101 CPD LLC</w:t>
      </w:r>
      <w:r>
        <w:rPr>
          <w:rFonts w:ascii="Times New Roman" w:cs="Times New Roman" w:eastAsia="Times New Roman" w:hAnsi="Times New Roman"/>
          <w:sz w:val="22"/>
          <w:szCs w:val="22"/>
          <w:color w:val="auto"/>
        </w:rPr>
        <w:t>, a Delaware limited liability company</w:t>
      </w:r>
    </w:p>
    <w:p>
      <w:pPr>
        <w:sectPr>
          <w:pgSz w:w="11900" w:h="16838" w:orient="portrait"/>
          <w:cols w:equalWidth="0" w:num="1">
            <w:col w:w="10139"/>
          </w:cols>
          <w:pgMar w:left="320" w:top="1327" w:right="1440" w:bottom="1440" w:gutter="0" w:footer="0" w:header="0"/>
        </w:sectPr>
      </w:pPr>
    </w:p>
    <w:p>
      <w:pPr>
        <w:spacing w:after="0" w:line="2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King/Mugar 101 CPD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 its Manager</w:t>
      </w:r>
    </w:p>
    <w:p>
      <w:pPr>
        <w:spacing w:after="0" w:line="200" w:lineRule="exact"/>
        <w:rPr>
          <w:sz w:val="20"/>
          <w:szCs w:val="20"/>
          <w:color w:val="auto"/>
        </w:rPr>
      </w:pPr>
    </w:p>
    <w:p>
      <w:pPr>
        <w:sectPr>
          <w:pgSz w:w="11900" w:h="16838" w:orient="portrait"/>
          <w:cols w:equalWidth="0" w:num="2">
            <w:col w:w="1080" w:space="440"/>
            <w:col w:w="8619"/>
          </w:cols>
          <w:pgMar w:left="320" w:top="1327" w:right="1440" w:bottom="1440" w:gutter="0" w:footer="0" w:header="0"/>
          <w:type w:val="continuous"/>
        </w:sectPr>
      </w:pPr>
    </w:p>
    <w:p>
      <w:pPr>
        <w:spacing w:after="0" w:line="4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 Martin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 its Manager</w:t>
      </w:r>
    </w:p>
    <w:p>
      <w:pPr>
        <w:spacing w:after="0" w:line="200" w:lineRule="exact"/>
        <w:rPr>
          <w:sz w:val="20"/>
          <w:szCs w:val="20"/>
          <w:color w:val="auto"/>
        </w:rPr>
      </w:pPr>
    </w:p>
    <w:p>
      <w:pPr>
        <w:sectPr>
          <w:pgSz w:w="11900" w:h="16838" w:orient="portrait"/>
          <w:cols w:equalWidth="0" w:num="2">
            <w:col w:w="1820" w:space="420"/>
            <w:col w:w="7899"/>
          </w:cols>
          <w:pgMar w:left="320" w:top="1327" w:right="1440" w:bottom="1440" w:gutter="0" w:footer="0" w:header="0"/>
          <w:type w:val="continuous"/>
        </w:sectPr>
      </w:pPr>
    </w:p>
    <w:p>
      <w:pPr>
        <w:spacing w:after="0" w:line="4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King Street Properties Investments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Massachusetts limited liability company, its Manager</w:t>
      </w:r>
    </w:p>
    <w:p>
      <w:pPr>
        <w:spacing w:after="0" w:line="200" w:lineRule="exact"/>
        <w:rPr>
          <w:sz w:val="20"/>
          <w:szCs w:val="20"/>
          <w:color w:val="auto"/>
        </w:rPr>
      </w:pPr>
    </w:p>
    <w:p>
      <w:pPr>
        <w:sectPr>
          <w:pgSz w:w="11900" w:h="16838" w:orient="portrait"/>
          <w:cols w:equalWidth="0" w:num="2">
            <w:col w:w="2560" w:space="420"/>
            <w:col w:w="7159"/>
          </w:cols>
          <w:pgMar w:left="320" w:top="1327" w:right="1440" w:bottom="1440" w:gutter="0" w:footer="0" w:header="0"/>
          <w:type w:val="continuous"/>
        </w:sectPr>
      </w:pPr>
    </w:p>
    <w:p>
      <w:pPr>
        <w:spacing w:after="0" w:line="48" w:lineRule="exact"/>
        <w:rPr>
          <w:sz w:val="20"/>
          <w:szCs w:val="20"/>
          <w:color w:val="auto"/>
        </w:rPr>
      </w:pPr>
    </w:p>
    <w:p>
      <w:pPr>
        <w:ind w:left="2980"/>
        <w:spacing w:after="0"/>
        <w:tabs>
          <w:tab w:leader="none" w:pos="3520" w:val="left"/>
        </w:tabs>
        <w:rPr>
          <w:sz w:val="20"/>
          <w:szCs w:val="20"/>
          <w:color w:val="auto"/>
        </w:rPr>
      </w:pPr>
      <w:r>
        <w:rPr>
          <w:rFonts w:ascii="Times New Roman" w:cs="Times New Roman" w:eastAsia="Times New Roman" w:hAnsi="Times New Roman"/>
          <w:sz w:val="22"/>
          <w:szCs w:val="22"/>
          <w:color w:val="auto"/>
        </w:rPr>
        <w:t>By:</w:t>
        <w:tab/>
        <w:t>/s/ Stephen D. Lynch</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 Stephen D.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-158750</wp:posOffset>
            </wp:positionV>
            <wp:extent cx="36601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Title: Manager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SERES THERAPEUTICS,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Eric Shaff</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Eric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-158750</wp:posOffset>
            </wp:positionV>
            <wp:extent cx="32746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color w:val="auto"/>
        </w:rPr>
        <w:t>Title: President, Chief Executive Officer</w:t>
      </w:r>
    </w:p>
    <w:p>
      <w:pPr>
        <w:spacing w:after="0" w:line="200" w:lineRule="exact"/>
        <w:rPr>
          <w:sz w:val="20"/>
          <w:szCs w:val="20"/>
          <w:color w:val="auto"/>
        </w:rPr>
      </w:pP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59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4835-4009-9054, v.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27" w:right="1440" w:bottom="1440" w:gutter="0" w:footer="0" w:header="0"/>
          <w:type w:val="continuous"/>
        </w:sectPr>
      </w:pPr>
    </w:p>
    <w:bookmarkStart w:id="213" w:name="page214"/>
    <w:bookmarkEnd w:id="213"/>
    <w:p>
      <w:pPr>
        <w:jc w:val="right"/>
        <w:spacing w:after="0"/>
        <w:rPr>
          <w:sz w:val="20"/>
          <w:szCs w:val="20"/>
          <w:color w:val="auto"/>
        </w:rPr>
      </w:pPr>
      <w:r>
        <w:rPr>
          <w:rFonts w:ascii="Times New Roman" w:cs="Times New Roman" w:eastAsia="Times New Roman" w:hAnsi="Times New Roman"/>
          <w:sz w:val="20"/>
          <w:szCs w:val="20"/>
          <w:color w:val="auto"/>
        </w:rPr>
        <w:t>Exhibit 10.26</w:t>
      </w:r>
    </w:p>
    <w:p>
      <w:pPr>
        <w:spacing w:after="0" w:line="225" w:lineRule="exact"/>
        <w:rPr>
          <w:sz w:val="20"/>
          <w:szCs w:val="20"/>
          <w:color w:val="auto"/>
        </w:rPr>
      </w:pPr>
    </w:p>
    <w:p>
      <w:pPr>
        <w:ind w:right="1000" w:firstLine="8"/>
        <w:spacing w:after="0" w:line="273" w:lineRule="auto"/>
        <w:tabs>
          <w:tab w:leader="none" w:pos="478"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Certain information in this document has been excluded pursuant to Regulation S-K, Item 601(b)(10). Such omitted information is both (i) not material and (ii) the type that the Registrant treats as private or confidential.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CONFIDENTIAL</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September 15, 2015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SUPPLY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SUPPLY AGREEMENT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effective as of September 15, 2015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made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entered into by and between Seres Therapeutics, Inc. (formerly Seres Health, Inc.), a corporation organized and existing under the laws of Delaware, having its principal place of business at 215 First Street, Cambridge MA 02142, USA (“</w:t>
      </w:r>
      <w:r>
        <w:rPr>
          <w:rFonts w:ascii="Times New Roman" w:cs="Times New Roman" w:eastAsia="Times New Roman" w:hAnsi="Times New Roman"/>
          <w:sz w:val="20"/>
          <w:szCs w:val="20"/>
          <w:b w:val="1"/>
          <w:bCs w:val="1"/>
          <w:color w:val="auto"/>
        </w:rPr>
        <w:t>Seres</w:t>
      </w:r>
      <w:r>
        <w:rPr>
          <w:rFonts w:ascii="Times New Roman" w:cs="Times New Roman" w:eastAsia="Times New Roman" w:hAnsi="Times New Roman"/>
          <w:sz w:val="20"/>
          <w:szCs w:val="20"/>
          <w:color w:val="auto"/>
        </w:rPr>
        <w:t>”); and GenIbet BioPharmaceuticals, SA, a corporation organized and existing under the laws of Portugal, having its principal place of business at Edifício da Unidade Piloto do IBET, Estação Agronómica Nacional, Avenida da República, 2780-157 Oeiras, Portugal (“</w:t>
      </w:r>
      <w:r>
        <w:rPr>
          <w:rFonts w:ascii="Times New Roman" w:cs="Times New Roman" w:eastAsia="Times New Roman" w:hAnsi="Times New Roman"/>
          <w:sz w:val="20"/>
          <w:szCs w:val="20"/>
          <w:b w:val="1"/>
          <w:bCs w:val="1"/>
          <w:color w:val="auto"/>
        </w:rPr>
        <w:t>GenIbet</w:t>
      </w:r>
      <w:r>
        <w:rPr>
          <w:rFonts w:ascii="Times New Roman" w:cs="Times New Roman" w:eastAsia="Times New Roman" w:hAnsi="Times New Roman"/>
          <w:sz w:val="20"/>
          <w:szCs w:val="20"/>
          <w:color w:val="auto"/>
        </w:rPr>
        <w:t>”). Seres and GenIbet may be referred to herein individually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Seres desires to have SER-109, SER-262, SER-287 and other products (each a “</w:t>
      </w:r>
      <w:r>
        <w:rPr>
          <w:rFonts w:ascii="Times New Roman" w:cs="Times New Roman" w:eastAsia="Times New Roman" w:hAnsi="Times New Roman"/>
          <w:sz w:val="20"/>
          <w:szCs w:val="20"/>
          <w:b w:val="1"/>
          <w:bCs w:val="1"/>
          <w:color w:val="auto"/>
        </w:rPr>
        <w:t>Product</w:t>
      </w:r>
      <w:r>
        <w:rPr>
          <w:rFonts w:ascii="Times New Roman" w:cs="Times New Roman" w:eastAsia="Times New Roman" w:hAnsi="Times New Roman"/>
          <w:sz w:val="20"/>
          <w:szCs w:val="20"/>
          <w:color w:val="auto"/>
        </w:rPr>
        <w:t>” and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Products</w:t>
      </w:r>
      <w:r>
        <w:rPr>
          <w:rFonts w:ascii="Times New Roman" w:cs="Times New Roman" w:eastAsia="Times New Roman" w:hAnsi="Times New Roman"/>
          <w:sz w:val="20"/>
          <w:szCs w:val="20"/>
          <w:color w:val="auto"/>
        </w:rPr>
        <w:t>”) manufactured by a third party for purposes of conducting clinical trials and commercial supply;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GenIbet has expertise and cGMP-compliant facilities for the manufacture of products similar to the Products at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facility located at Edifício da Unidade Piloto do IBET, Estação Agronómica Nacional, Avenida da República, 2780-157 Oeiras, Portugal (the “</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GenIbet desires to modify a manufacturing suite for the manufacture of the Products and to supply such Products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Seres, all in accordance with the terms and conditions of this Agreement.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obligations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the Parties agree as follows:</w:t>
      </w:r>
    </w:p>
    <w:p>
      <w:pPr>
        <w:spacing w:after="0" w:line="152" w:lineRule="exact"/>
        <w:rPr>
          <w:sz w:val="20"/>
          <w:szCs w:val="20"/>
          <w:color w:val="auto"/>
        </w:rPr>
      </w:pPr>
    </w:p>
    <w:p>
      <w:pPr>
        <w:ind w:left="760" w:hanging="752"/>
        <w:spacing w:after="0"/>
        <w:tabs>
          <w:tab w:leader="none" w:pos="7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Capitalized terms used but not defined in this Agreement shall have the meaning given in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AREAS</w:t>
      </w:r>
    </w:p>
    <w:p>
      <w:pPr>
        <w:spacing w:after="0" w:line="215"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2.1Dedicated Area in GenIbet’s Facility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2.1.1</w:t>
      </w:r>
      <w:r>
        <w:rPr>
          <w:rFonts w:ascii="Times New Roman" w:cs="Times New Roman" w:eastAsia="Times New Roman" w:hAnsi="Times New Roman"/>
          <w:sz w:val="20"/>
          <w:szCs w:val="20"/>
          <w:color w:val="auto"/>
        </w:rPr>
        <w:t xml:space="preserve">GenIbet shall modify the dedicated bacterial suite (including fermentation, and purification rooms), the non-dedicated preparation room and access hallways as depicted on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in the Facility for the performance of the activities relating to the Manufacture of the Products under this Agreement (the “</w:t>
      </w:r>
      <w:r>
        <w:rPr>
          <w:rFonts w:ascii="Times New Roman" w:cs="Times New Roman" w:eastAsia="Times New Roman" w:hAnsi="Times New Roman"/>
          <w:sz w:val="20"/>
          <w:szCs w:val="20"/>
          <w:b w:val="1"/>
          <w:bCs w:val="1"/>
          <w:color w:val="auto"/>
        </w:rPr>
        <w:t>Seres Dedicated Area</w:t>
      </w:r>
      <w:r>
        <w:rPr>
          <w:rFonts w:ascii="Times New Roman" w:cs="Times New Roman" w:eastAsia="Times New Roman" w:hAnsi="Times New Roman"/>
          <w:sz w:val="20"/>
          <w:szCs w:val="20"/>
          <w:color w:val="auto"/>
        </w:rPr>
        <w:t xml:space="preserve">”), and the raw materials and product storage areas depicted on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in accordance with the construction plans and requirements attached hereto as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2.1.2</w:t>
      </w:r>
      <w:r>
        <w:rPr>
          <w:rFonts w:ascii="Times New Roman" w:cs="Times New Roman" w:eastAsia="Times New Roman" w:hAnsi="Times New Roman"/>
          <w:sz w:val="20"/>
          <w:szCs w:val="20"/>
          <w:color w:val="auto"/>
        </w:rPr>
        <w:t>GenIbet shall complete the construction, qualification and commissioning of the initial Seres Dedicated Area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before [***] (the “</w:t>
      </w:r>
      <w:r>
        <w:rPr>
          <w:rFonts w:ascii="Times New Roman" w:cs="Times New Roman" w:eastAsia="Times New Roman" w:hAnsi="Times New Roman"/>
          <w:sz w:val="20"/>
          <w:szCs w:val="20"/>
          <w:b w:val="1"/>
          <w:bCs w:val="1"/>
          <w:color w:val="auto"/>
        </w:rPr>
        <w:t>Deadline</w:t>
      </w:r>
      <w:r>
        <w:rPr>
          <w:rFonts w:ascii="Times New Roman" w:cs="Times New Roman" w:eastAsia="Times New Roman" w:hAnsi="Times New Roman"/>
          <w:sz w:val="20"/>
          <w:szCs w:val="20"/>
          <w:color w:val="auto"/>
        </w:rPr>
        <w:t>”). The Deadline shall be equitably adjusted to reflect delays resulting solely from changes requested by Seres under Section 5 or otherwise by mutual agreement of the Parties.</w:t>
      </w:r>
    </w:p>
    <w:p>
      <w:pPr>
        <w:spacing w:after="0" w:line="169"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2.1.3</w:t>
      </w:r>
      <w:r>
        <w:rPr>
          <w:rFonts w:ascii="Times New Roman" w:cs="Times New Roman" w:eastAsia="Times New Roman" w:hAnsi="Times New Roman"/>
          <w:sz w:val="20"/>
          <w:szCs w:val="20"/>
          <w:color w:val="auto"/>
        </w:rPr>
        <w:t>GenIbet shall notify Seres upon completion of the Seres Dedicated Area that it is ready for acceptance. GenIbet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provide Seres with all test results, evidence of conformance to applicable cGMP requirements, evidence of health, safety and environmental compliance as required under Section 9.7 hereof, and such other information reasonably requested by Seres for it to determine whether to accept or reject the Seres Dedicated Area.</w:t>
      </w:r>
    </w:p>
    <w:p>
      <w:pPr>
        <w:spacing w:after="0" w:line="176" w:lineRule="exact"/>
        <w:rPr>
          <w:sz w:val="20"/>
          <w:szCs w:val="20"/>
          <w:color w:val="auto"/>
        </w:rPr>
      </w:pPr>
    </w:p>
    <w:p>
      <w:pPr>
        <w:jc w:val="both"/>
        <w:ind w:left="12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2.1.4</w:t>
      </w:r>
      <w:r>
        <w:rPr>
          <w:rFonts w:ascii="Times New Roman" w:cs="Times New Roman" w:eastAsia="Times New Roman" w:hAnsi="Times New Roman"/>
          <w:sz w:val="20"/>
          <w:szCs w:val="20"/>
          <w:color w:val="auto"/>
        </w:rPr>
        <w:t>Seres may only reject the Seres Dedicated Area if it does not fully comply with the agreed Project Plan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requirements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In this case, GenIbet shall correct the deficiencies so that the Seres Dedicated Area fully complies with the Project Plan and requirements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as promptly as possible and shall notify Seres that it is ready for acceptance. The date on which Seres accepts the Seres Dedicated Area is the “</w:t>
      </w:r>
      <w:r>
        <w:rPr>
          <w:rFonts w:ascii="Times New Roman" w:cs="Times New Roman" w:eastAsia="Times New Roman" w:hAnsi="Times New Roman"/>
          <w:sz w:val="20"/>
          <w:szCs w:val="20"/>
          <w:b w:val="1"/>
          <w:bCs w:val="1"/>
          <w:color w:val="auto"/>
        </w:rPr>
        <w:t>Area Acceptance Date</w:t>
      </w:r>
      <w:r>
        <w:rPr>
          <w:rFonts w:ascii="Times New Roman" w:cs="Times New Roman" w:eastAsia="Times New Roman" w:hAnsi="Times New Roman"/>
          <w:sz w:val="20"/>
          <w:szCs w:val="20"/>
          <w:color w:val="auto"/>
        </w:rPr>
        <w:t>”. If the Area Acceptance Date is more than [***] after the Deadline, Seres may terminate this Agreement without liability or elect in its sole discretion to renegotiate the terms of this Agreement.</w:t>
      </w:r>
    </w:p>
    <w:p>
      <w:pPr>
        <w:spacing w:after="0" w:line="179" w:lineRule="exact"/>
        <w:rPr>
          <w:sz w:val="20"/>
          <w:szCs w:val="20"/>
          <w:color w:val="auto"/>
        </w:rPr>
      </w:pPr>
    </w:p>
    <w:p>
      <w:pPr>
        <w:jc w:val="both"/>
        <w:ind w:left="12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2.1.5</w:t>
      </w:r>
      <w:r>
        <w:rPr>
          <w:rFonts w:ascii="Times New Roman" w:cs="Times New Roman" w:eastAsia="Times New Roman" w:hAnsi="Times New Roman"/>
          <w:sz w:val="20"/>
          <w:szCs w:val="20"/>
          <w:color w:val="auto"/>
        </w:rPr>
        <w:t>The use of the Seres Dedicated Area during the Term (as defined in Section 15.1) is solely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the Products and for related activities benefitting Seres, and GenIbet shall not use the Seres Dedicated Area for any other purpose not approved in advance by Seres in writing. GenIbet agrees to make the Seres Dedicated Area available to Seres personnel and their designees as and when requested by Seres, provided that (i) the total number of people inside the units at the same time complies, at all times, with the provisions of cGMP; (ii) Seres personnel and their designees do not, at any time or in any way, compromise the Manufacturing process, and (iii) Seres personnel are trained in GenIbet SOPs required for their presence in the unit during Manufacturing.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2.2Non-Dedicated Area in GenIbet’s Facility</w:t>
      </w:r>
    </w:p>
    <w:p>
      <w:pPr>
        <w:spacing w:after="0" w:line="216"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2.2.1</w:t>
      </w:r>
      <w:r>
        <w:rPr>
          <w:rFonts w:ascii="Times New Roman" w:cs="Times New Roman" w:eastAsia="Times New Roman" w:hAnsi="Times New Roman"/>
          <w:sz w:val="20"/>
          <w:szCs w:val="20"/>
          <w:color w:val="auto"/>
        </w:rPr>
        <w:t>GenIbet will provide Seres with cGMP-compliant space that is sufficient for the Manufacture of Products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this Agreement, including (i) a preparation room; and (ii) storage spaces for Raw Materials, Consumables, process intermediates and Product (collectively, the “</w:t>
      </w:r>
      <w:r>
        <w:rPr>
          <w:rFonts w:ascii="Times New Roman" w:cs="Times New Roman" w:eastAsia="Times New Roman" w:hAnsi="Times New Roman"/>
          <w:sz w:val="20"/>
          <w:szCs w:val="20"/>
          <w:b w:val="1"/>
          <w:bCs w:val="1"/>
          <w:color w:val="auto"/>
        </w:rPr>
        <w:t>Non-Dedicated Area</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2.2.2</w:t>
      </w:r>
      <w:r>
        <w:rPr>
          <w:rFonts w:ascii="Times New Roman" w:cs="Times New Roman" w:eastAsia="Times New Roman" w:hAnsi="Times New Roman"/>
          <w:sz w:val="20"/>
          <w:szCs w:val="20"/>
          <w:color w:val="auto"/>
        </w:rPr>
        <w:t>The storage spaces within the Non-Dedicated Area will have the appropriate environmental controls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temperature and humidity to meet the environmental storage requirements per the most relevant material specifications defined by the vendor or relevant pharmacopeia. These requirements shall be further specified in the appropriate documents and the Quality Agreements.</w:t>
      </w:r>
    </w:p>
    <w:p>
      <w:pPr>
        <w:spacing w:after="0" w:line="176"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2.2.3</w:t>
      </w:r>
      <w:r>
        <w:rPr>
          <w:rFonts w:ascii="Times New Roman" w:cs="Times New Roman" w:eastAsia="Times New Roman" w:hAnsi="Times New Roman"/>
          <w:sz w:val="20"/>
          <w:szCs w:val="20"/>
          <w:color w:val="auto"/>
        </w:rPr>
        <w:t>GenIbet’s use of the Non-Dedicated Area for its other projects will not compromise: (i) Seres’s Manufacturing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 in the Seres Dedicated Area or the quality of the Raw Materials, Consumables, process intermediates and Product; or (ii) the cGMP compliance status of the Facility and activities related to the Manufacture of Product.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2.3Seres Specialized Equipment.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5" w:name="page216"/>
    <w:bookmarkEnd w:id="215"/>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2.3.1</w:t>
      </w:r>
      <w:r>
        <w:rPr>
          <w:rFonts w:ascii="Times New Roman" w:cs="Times New Roman" w:eastAsia="Times New Roman" w:hAnsi="Times New Roman"/>
          <w:sz w:val="20"/>
          <w:szCs w:val="20"/>
          <w:color w:val="auto"/>
        </w:rPr>
        <w:t>Seres has or may provide the specialized equipment (non-permanent installation equipment) identified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for use by GenIbet in Manufacturing Product on behalf of Seres (the “</w:t>
      </w:r>
      <w:r>
        <w:rPr>
          <w:rFonts w:ascii="Times New Roman" w:cs="Times New Roman" w:eastAsia="Times New Roman" w:hAnsi="Times New Roman"/>
          <w:sz w:val="20"/>
          <w:szCs w:val="20"/>
          <w:b w:val="1"/>
          <w:bCs w:val="1"/>
          <w:color w:val="auto"/>
        </w:rPr>
        <w:t>Specialized Equipment</w:t>
      </w:r>
      <w:r>
        <w:rPr>
          <w:rFonts w:ascii="Times New Roman" w:cs="Times New Roman" w:eastAsia="Times New Roman" w:hAnsi="Times New Roman"/>
          <w:sz w:val="20"/>
          <w:szCs w:val="20"/>
          <w:color w:val="auto"/>
        </w:rPr>
        <w:t>”). GenIbet agrees not to use the Specialized Equipment in performing services for itself or for third parties.</w:t>
      </w:r>
    </w:p>
    <w:p>
      <w:pPr>
        <w:spacing w:after="0" w:line="169"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2.3.2</w:t>
      </w:r>
      <w:r>
        <w:rPr>
          <w:rFonts w:ascii="Times New Roman" w:cs="Times New Roman" w:eastAsia="Times New Roman" w:hAnsi="Times New Roman"/>
          <w:sz w:val="20"/>
          <w:szCs w:val="20"/>
          <w:color w:val="auto"/>
        </w:rPr>
        <w:t>GenIbet shall maintain the Specialized Equipment in accordance with the manufacturer’s recommendations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as agreed with Seres) provided that the latest version of such recommendations is provided by Seres to GenIbet, as required to maintain the Specialized Equipment in accordance with this Agreement and the applicable Quality Agreement and otherwise in accordance with the maintenance plan set forth in the Product Manufacturing Plan.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2.4Facility Closures. </w:t>
      </w:r>
      <w:r>
        <w:rPr>
          <w:rFonts w:ascii="Times New Roman" w:cs="Times New Roman" w:eastAsia="Times New Roman" w:hAnsi="Times New Roman"/>
          <w:sz w:val="20"/>
          <w:szCs w:val="20"/>
          <w:color w:val="auto"/>
        </w:rPr>
        <w:t>Within [***] after the Effective Date and on [***] thereafter, GenIbet shall propose to Seres a schedule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showing all national and corporate holidays and Facility shutdowns for the next 12 months for Seres’ review and approval. GenIbet shall not close the Facility on any day other than the dates identified in such schedule without Seres’ prior approval.</w:t>
      </w:r>
    </w:p>
    <w:p>
      <w:pPr>
        <w:spacing w:after="0" w:line="169" w:lineRule="exact"/>
        <w:rPr>
          <w:sz w:val="20"/>
          <w:szCs w:val="20"/>
          <w:color w:val="auto"/>
        </w:rPr>
      </w:pPr>
    </w:p>
    <w:p>
      <w:pPr>
        <w:jc w:val="both"/>
        <w:ind w:left="760" w:right="8040" w:hanging="752"/>
        <w:spacing w:after="0" w:line="489" w:lineRule="auto"/>
        <w:tabs>
          <w:tab w:leader="none" w:pos="760" w:val="left"/>
        </w:tabs>
        <w:numPr>
          <w:ilvl w:val="0"/>
          <w:numId w:val="1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WORK 3.1Manufacture and Supply</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3.1.1</w:t>
      </w:r>
      <w:r>
        <w:rPr>
          <w:rFonts w:ascii="Times New Roman" w:cs="Times New Roman" w:eastAsia="Times New Roman" w:hAnsi="Times New Roman"/>
          <w:sz w:val="20"/>
          <w:szCs w:val="20"/>
          <w:color w:val="auto"/>
        </w:rPr>
        <w:t>From and after the Area Acceptance Date, GenIbet shall Manufacture and supply to Seres the Products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accordance with a Master Batch Record. Notwithstanding the foregoing, before GenIbet commences Manufacture of a Product hereunder, the Parties shall agree in writing upon a Product Manufacturing Plan. Within [***] of the Effective Date, the Parties will agree a global Product Manufacturing Plan for SER-109, which will be incorporated into this Agreement as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3.1.2</w:t>
      </w:r>
      <w:r>
        <w:rPr>
          <w:rFonts w:ascii="Times New Roman" w:cs="Times New Roman" w:eastAsia="Times New Roman" w:hAnsi="Times New Roman"/>
          <w:sz w:val="20"/>
          <w:szCs w:val="20"/>
          <w:color w:val="auto"/>
        </w:rPr>
        <w:t>The specifications for a Product set forth in the applicable Product Manufacturing Plan and/or Master Batch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 may be amended by Seres from time to time in accordance with Section 5.</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3.2Forecasts and Purchase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3.2.1</w:t>
      </w:r>
      <w:r>
        <w:rPr>
          <w:rFonts w:ascii="Times New Roman" w:cs="Times New Roman" w:eastAsia="Times New Roman" w:hAnsi="Times New Roman"/>
          <w:sz w:val="20"/>
          <w:szCs w:val="20"/>
          <w:color w:val="auto"/>
        </w:rPr>
        <w:t>Within [***] after the Effective Date, Seres shall provide to GenIbet a non-binding [***] forecast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estimated requests for each Product and update it within [***] after each calendar [***] (beginning on [***], so that GenIbet shall [***] rolling forecast as to the needs of Seres). Following receipt of each forecast, and without limiting its obligations to supply the Product in accordance with this Agreement, GenIbet shall promptly provide Seres [***] GenIbet’s ability to provide the Product in accordance with such forecast.</w:t>
      </w:r>
    </w:p>
    <w:p>
      <w:pPr>
        <w:spacing w:after="0" w:line="180" w:lineRule="exact"/>
        <w:rPr>
          <w:sz w:val="20"/>
          <w:szCs w:val="20"/>
          <w:color w:val="auto"/>
        </w:rPr>
      </w:pPr>
    </w:p>
    <w:p>
      <w:pPr>
        <w:jc w:val="both"/>
        <w:ind w:left="12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3.2.2</w:t>
      </w:r>
      <w:r>
        <w:rPr>
          <w:rFonts w:ascii="Times New Roman" w:cs="Times New Roman" w:eastAsia="Times New Roman" w:hAnsi="Times New Roman"/>
          <w:sz w:val="20"/>
          <w:szCs w:val="20"/>
          <w:color w:val="auto"/>
        </w:rPr>
        <w:t>Seres shall submit in writing or electronically purchase orders (“</w:t>
      </w:r>
      <w:r>
        <w:rPr>
          <w:rFonts w:ascii="Times New Roman" w:cs="Times New Roman" w:eastAsia="Times New Roman" w:hAnsi="Times New Roman"/>
          <w:sz w:val="20"/>
          <w:szCs w:val="20"/>
          <w:b w:val="1"/>
          <w:bCs w:val="1"/>
          <w:color w:val="auto"/>
        </w:rPr>
        <w:t>Purchase Orders</w:t>
      </w:r>
      <w:r>
        <w:rPr>
          <w:rFonts w:ascii="Times New Roman" w:cs="Times New Roman" w:eastAsia="Times New Roman" w:hAnsi="Times New Roman"/>
          <w:sz w:val="20"/>
          <w:szCs w:val="20"/>
          <w:color w:val="auto"/>
        </w:rPr>
        <w:t>”) for the Product to GenIbet.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Seres submits a Purchase Order to GenIbet without providing at least the Minimum Lead Time, GenIbet will not be required to deliver the ordered Product by the requested delivery date, but will use Commercially Reasonable Efforts to deliver the Product in the Purchase Order on the requested date, but in any event shall deliver the Product within the applicable Minimum Lead Time. The “</w:t>
      </w:r>
      <w:r>
        <w:rPr>
          <w:rFonts w:ascii="Times New Roman" w:cs="Times New Roman" w:eastAsia="Times New Roman" w:hAnsi="Times New Roman"/>
          <w:sz w:val="20"/>
          <w:szCs w:val="20"/>
          <w:b w:val="1"/>
          <w:bCs w:val="1"/>
          <w:color w:val="auto"/>
        </w:rPr>
        <w:t>Minimum Lead Time</w:t>
      </w:r>
      <w:r>
        <w:rPr>
          <w:rFonts w:ascii="Times New Roman" w:cs="Times New Roman" w:eastAsia="Times New Roman" w:hAnsi="Times New Roman"/>
          <w:sz w:val="20"/>
          <w:szCs w:val="20"/>
          <w:color w:val="auto"/>
        </w:rPr>
        <w:t>” for SER-109 is [***], and for other Products shall be as set forth in the applicable Product Manufacturing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6" w:name="page217"/>
    <w:bookmarkEnd w:id="216"/>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3.2.3</w:t>
      </w:r>
      <w:r>
        <w:rPr>
          <w:rFonts w:ascii="Times New Roman" w:cs="Times New Roman" w:eastAsia="Times New Roman" w:hAnsi="Times New Roman"/>
          <w:sz w:val="20"/>
          <w:szCs w:val="20"/>
          <w:color w:val="auto"/>
        </w:rPr>
        <w:t>Unless GenIbet expressly notifies Seres otherwise, GenIbet shall be deemed to have accepted any and all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Orders from Seres; provided that Purchase Orders (other than the Last Time Buy under Section 15.7.5) that exceed the forecasts by more than [***]% in any calendar quarter for the purchase of the Product shall not bind GenIbet for the excess quantity until such Purchase Orders for such excess quantity are accepted by GenIbet. Each Purchase Order shall identify the Product being ordered, the quantity being ordered and the desired shipping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3.3Staffing Plan.</w:t>
      </w:r>
    </w:p>
    <w:p>
      <w:pPr>
        <w:spacing w:after="0" w:line="216" w:lineRule="exact"/>
        <w:rPr>
          <w:sz w:val="20"/>
          <w:szCs w:val="20"/>
          <w:color w:val="auto"/>
        </w:rPr>
      </w:pPr>
    </w:p>
    <w:p>
      <w:pPr>
        <w:jc w:val="both"/>
        <w:ind w:left="12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3.3.1</w:t>
      </w:r>
      <w:r>
        <w:rPr>
          <w:rFonts w:ascii="Times New Roman" w:cs="Times New Roman" w:eastAsia="Times New Roman" w:hAnsi="Times New Roman"/>
          <w:sz w:val="20"/>
          <w:szCs w:val="20"/>
          <w:color w:val="auto"/>
        </w:rPr>
        <w:t>Within [***] after the Effective Date, GenIbet shall prepare for Seres’ review and approval a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staffing plan. The staffing plan will include: at least [***], at least [***]. The [***] shall be agreed to by the Parties and stipulated in the applicable Purchase Order. Notwithstanding the foregoing, GenIbet shall employ a sufficient number of trained employees to ensure that GenIbet is able to meet its obligations under this Agreement, including Manufacture and delivery of Products in accordance with this Agreement (including delivery of the Products on or before the delivery date specified in the applicable Purchase Order).</w:t>
      </w:r>
    </w:p>
    <w:p>
      <w:pPr>
        <w:spacing w:after="0" w:line="179"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3.3.2</w:t>
      </w:r>
      <w:r>
        <w:rPr>
          <w:rFonts w:ascii="Times New Roman" w:cs="Times New Roman" w:eastAsia="Times New Roman" w:hAnsi="Times New Roman"/>
          <w:sz w:val="20"/>
          <w:szCs w:val="20"/>
          <w:color w:val="auto"/>
        </w:rPr>
        <w:t>GenIbet shall use Commercially Reasonable Efforts to guarantee that any absences due to illness and vacation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trained personnel will not affect the compliance of its obligations, up to and including retaining appropriately experienced and trained staff for overtime work at its own expense.</w:t>
      </w:r>
    </w:p>
    <w:p>
      <w:pPr>
        <w:spacing w:after="0" w:line="169"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3.3.3</w:t>
      </w:r>
      <w:r>
        <w:rPr>
          <w:rFonts w:ascii="Times New Roman" w:cs="Times New Roman" w:eastAsia="Times New Roman" w:hAnsi="Times New Roman"/>
          <w:sz w:val="20"/>
          <w:szCs w:val="20"/>
          <w:color w:val="auto"/>
        </w:rPr>
        <w:t>The persons dedicated to Manufacture of Product may work on the manufacture of products for GenIbet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customers upon approval from Seres, which shall not be unreasonably withheld or delayed. Work for other customers shall not compromise cGMP compliance or delivery dates for the Products.</w:t>
      </w:r>
    </w:p>
    <w:p>
      <w:pPr>
        <w:spacing w:after="0" w:line="169" w:lineRule="exact"/>
        <w:rPr>
          <w:sz w:val="20"/>
          <w:szCs w:val="20"/>
          <w:color w:val="auto"/>
        </w:rPr>
      </w:pPr>
    </w:p>
    <w:p>
      <w:pPr>
        <w:ind w:left="760" w:hanging="752"/>
        <w:spacing w:after="0"/>
        <w:tabs>
          <w:tab w:leader="none" w:pos="76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4.1Supply of Proprietary Materials</w:t>
      </w:r>
      <w:r>
        <w:rPr>
          <w:rFonts w:ascii="Times New Roman" w:cs="Times New Roman" w:eastAsia="Times New Roman" w:hAnsi="Times New Roman"/>
          <w:sz w:val="20"/>
          <w:szCs w:val="20"/>
          <w:color w:val="auto"/>
        </w:rPr>
        <w:t>. Except as otherwise set forth in the applicable Product Manufacturing Plan, Seres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designees shall obtain and supply to GenIbet those certain proprietary Materials specified in the Product Manufacturing Plan and/or Master Batch Record as necessary to Manufacture the Product, within the deadlines foreseen in the Master Batch Record. Seres shall further provide to GenIbet such data and information as necessary to apprise GenIbet of the proper storage and safe handling requirements for the Materials delivered by Seres or its designees.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4.2Non-Proprietary Materials. </w:t>
      </w:r>
      <w:r>
        <w:rPr>
          <w:rFonts w:ascii="Times New Roman" w:cs="Times New Roman" w:eastAsia="Times New Roman" w:hAnsi="Times New Roman"/>
          <w:sz w:val="20"/>
          <w:szCs w:val="20"/>
          <w:color w:val="auto"/>
        </w:rPr>
        <w:t>Seres or its designees shall instruct GenIbet regarding non-proprietary materials which will need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obtained directly by GenIbet, including, but not limited to, type of materials, supplier/place of purchase and proper storage and safe handling requirements.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4.3Inspection and Storage of Materials</w:t>
      </w:r>
      <w:r>
        <w:rPr>
          <w:rFonts w:ascii="Times New Roman" w:cs="Times New Roman" w:eastAsia="Times New Roman" w:hAnsi="Times New Roman"/>
          <w:sz w:val="20"/>
          <w:szCs w:val="20"/>
          <w:color w:val="auto"/>
        </w:rPr>
        <w:t>. GenIbet shall handle and store the Materials in accordance with this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Quality Agreement. GenIbet shall inspect and release test the Materials to ensure that they meet the Materials specifications set forth in the applicable Master Batch Record. GenIbet shall retain aliquots of each Material shipment per the Master Batch Record to enable regulatory compliance and investigations.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7" w:name="page218"/>
    <w:bookmarkEnd w:id="217"/>
    <w:p>
      <w:pPr>
        <w:ind w:left="760" w:hanging="752"/>
        <w:spacing w:after="0"/>
        <w:tabs>
          <w:tab w:leader="none" w:pos="76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TO PRODUCT AND/OR SERES DEDICATED AREA.</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5.1 </w:t>
      </w:r>
      <w:r>
        <w:rPr>
          <w:rFonts w:ascii="Times New Roman" w:cs="Times New Roman" w:eastAsia="Times New Roman" w:hAnsi="Times New Roman"/>
          <w:sz w:val="20"/>
          <w:szCs w:val="20"/>
          <w:color w:val="auto"/>
        </w:rPr>
        <w:t>Each Party promptly shall notify the other Party of new regulatory requirements of which it becomes aware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be expected to impact the requirements for the Manufacture of Product under this Agreement and which are required by an applicable Regulatory Authority or Applicable Law, and shall confer with each other with respect to the best means to comply with such requirements. GenIbet shall have no obligation to Manufacture Product in compliance with the requirements of a Regulatory Authority not explicitly specified in the Product Manufacturing Plan and/or Master Batch Record.</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 </w:t>
      </w:r>
      <w:r>
        <w:rPr>
          <w:rFonts w:ascii="Times New Roman" w:cs="Times New Roman" w:eastAsia="Times New Roman" w:hAnsi="Times New Roman"/>
          <w:sz w:val="20"/>
          <w:szCs w:val="20"/>
          <w:color w:val="auto"/>
        </w:rPr>
        <w:t>If changes to the Seres Dedicated Area, Product Manufacturing Plan, and/or Master Batch Record are required of the Parties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of requirements set forth by a Regulatory Authority, and such changes apply solely to the Seres Dedicated Area and Manufacture and supply of one or more Products, then Seres and GenIbet will review such requirements and agree in writing to changes to the Seres Dedicated Area, Product Manufacturing Plan, and Master Batch Record, and [***].</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5.3 </w:t>
      </w:r>
      <w:r>
        <w:rPr>
          <w:rFonts w:ascii="Times New Roman" w:cs="Times New Roman" w:eastAsia="Times New Roman" w:hAnsi="Times New Roman"/>
          <w:sz w:val="20"/>
          <w:szCs w:val="20"/>
          <w:color w:val="auto"/>
        </w:rPr>
        <w:t>If changes resulting from the requirements of a Regulatory Authority apply generally to one or more Products as well as to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produced by GenIbet for itself or for third parties, or to the Non-Dedicated Area, then Seres and GenIbet will review such requirements and agree in writing to changes to the Non-Dedicated Area, Product Manufacturing Plan, and Master Batch Record, and [***].</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5.4 </w:t>
      </w:r>
      <w:r>
        <w:rPr>
          <w:rFonts w:ascii="Times New Roman" w:cs="Times New Roman" w:eastAsia="Times New Roman" w:hAnsi="Times New Roman"/>
          <w:sz w:val="20"/>
          <w:szCs w:val="20"/>
          <w:color w:val="auto"/>
        </w:rPr>
        <w:t>Subject to the foregoing, and notwithstanding anything to the contrary herein, GenIbet shall not make any changes to the Seres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Dedicated Area, Non-Dedicated Area, Product Manufacturing Plan, and/or Master Batch Record that would reasonably be expected to have an impact on Seres or the Products [***].</w:t>
      </w:r>
    </w:p>
    <w:p>
      <w:pPr>
        <w:spacing w:after="0" w:line="169" w:lineRule="exact"/>
        <w:rPr>
          <w:sz w:val="20"/>
          <w:szCs w:val="20"/>
          <w:color w:val="auto"/>
        </w:rPr>
      </w:pPr>
    </w:p>
    <w:p>
      <w:pPr>
        <w:ind w:left="760" w:hanging="752"/>
        <w:spacing w:after="0"/>
        <w:tabs>
          <w:tab w:leader="none" w:pos="76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MANUFACTURE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6.1Testing Prior to Delivery. </w:t>
      </w:r>
      <w:r>
        <w:rPr>
          <w:rFonts w:ascii="Times New Roman" w:cs="Times New Roman" w:eastAsia="Times New Roman" w:hAnsi="Times New Roman"/>
          <w:sz w:val="20"/>
          <w:szCs w:val="20"/>
          <w:color w:val="auto"/>
        </w:rPr>
        <w:t>GenIbet shall conduct in-process testing of each Batch of Product according to the applicable Master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Batch Record prior to delivery of such Batch by GenIbet to Seres or its designee. Unless exclusively due to any act or omission by Seres, if an in-process Batch of Product is not compliant with the Master Batch Record, GenIbet shall, [***], handle, store, transport, treat and dispose of such Product according to all applicable laws, directives, codes, rules, regulations, ordinances, orders, permits, licenses, consents and other authorizations (including but not limited to the environment and employee health and safety). Notwithstanding the foregoing, if reprocessing, rework or reproduction is allowed pursuant to Seres’ regulatory submissions or approved by Seres, it shall be performed in accordance with the Quality Agreement and cGMP and, unless such reprocessing, rework, or reproduction results from Seres’ acts or omissions, [***] in connection with such reprocessing, rework or reproduction.</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6.2Facility</w:t>
      </w:r>
      <w:r>
        <w:rPr>
          <w:rFonts w:ascii="Times New Roman" w:cs="Times New Roman" w:eastAsia="Times New Roman" w:hAnsi="Times New Roman"/>
          <w:sz w:val="20"/>
          <w:szCs w:val="20"/>
          <w:color w:val="auto"/>
        </w:rPr>
        <w:t>. GenIbet shall Manufacture each Product at the Facility, utilizing the Seres Dedicated and Non-Dedicated Areas.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GenIbet shall maintain, [***], the Facility (including, without limitation, the Seres Dedicated Area) in a state of repair and operating efficiency consistent with the requirements of cGMP and other Applicable Law.</w:t>
      </w:r>
    </w:p>
    <w:p>
      <w:pPr>
        <w:spacing w:after="0" w:line="16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6.3 </w:t>
      </w:r>
      <w:r>
        <w:rPr>
          <w:rFonts w:ascii="Times New Roman" w:cs="Times New Roman" w:eastAsia="Times New Roman" w:hAnsi="Times New Roman"/>
          <w:sz w:val="20"/>
          <w:szCs w:val="20"/>
          <w:color w:val="auto"/>
        </w:rPr>
        <w:t>In the event any change in the Product Manufacturing Plan for a Product requested by Seres or mandated by Applicable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increase in order volume requested by Seres results in any regulatory or other costs to GenIbet, or requires that GenIbet make any expenditures at the Facility or within the Seres Dedicated Area or Non-Dedicated Area, such costs and expenditures shall be [***].</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6.4Acceptance and Rejection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8" w:name="page219"/>
    <w:bookmarkEnd w:id="218"/>
    <w:p>
      <w:pPr>
        <w:ind w:left="1200"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6.4.1</w:t>
      </w:r>
      <w:r>
        <w:rPr>
          <w:rFonts w:ascii="Times New Roman" w:cs="Times New Roman" w:eastAsia="Times New Roman" w:hAnsi="Times New Roman"/>
          <w:sz w:val="19"/>
          <w:szCs w:val="19"/>
          <w:color w:val="auto"/>
        </w:rPr>
        <w:t>GenIbet shall deliver to Seres, concurrently with the delivery of each Batch of Product, a Certificate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and such other documents and materials required to be delivered under the applicable Quality Agreement. Within</w:t>
      </w:r>
    </w:p>
    <w:p>
      <w:pPr>
        <w:spacing w:after="0" w:line="1" w:lineRule="exact"/>
        <w:rPr>
          <w:sz w:val="20"/>
          <w:szCs w:val="20"/>
          <w:color w:val="auto"/>
        </w:rPr>
      </w:pPr>
    </w:p>
    <w:p>
      <w:pPr>
        <w:jc w:val="both"/>
        <w:ind w:left="1200" w:firstLine="6"/>
        <w:spacing w:after="0"/>
        <w:tabs>
          <w:tab w:leader="none" w:pos="170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delivery of any Batch of Product to Seres, Seres shall examine such Batch to determine whether the Product conforms to the Master Batch Record. No claims for non-compliance with the Master Batch Record or shortage in quantity of any individual shipment of any Product shall be valid unless made by written notice given within [***] from the date of delivery, except in the case of latent defects (defects not reasonably ascertainable upon a physical inspection of the Batch), in which case such claims shall be made in writing within [***]. Any such notice shall describe [***]. Failure to deliver a notice of non-conformance in the manner contemplated in this Section 6.4.1 shall constitute an acceptance of the applicable Batch by Seres.</w:t>
      </w:r>
    </w:p>
    <w:p>
      <w:pPr>
        <w:spacing w:after="0" w:line="187"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6.4.2</w:t>
      </w:r>
      <w:r>
        <w:rPr>
          <w:rFonts w:ascii="Times New Roman" w:cs="Times New Roman" w:eastAsia="Times New Roman" w:hAnsi="Times New Roman"/>
          <w:sz w:val="20"/>
          <w:szCs w:val="20"/>
          <w:color w:val="auto"/>
        </w:rPr>
        <w:t>If Seres notifies GenIbet under Section 6.4.1 that a shipment of Product has failed, in whole or in part, to meet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Master Batch Record, Seres will conduct [***]. If Seres determines that any part of the shipment fails to meet the Master Batch Record, Seres will provide [***] the results of Seres’ testing; it being understood and agreed [***] proprietary.</w:t>
      </w:r>
    </w:p>
    <w:p>
      <w:pPr>
        <w:spacing w:after="0" w:line="169"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6.4.3</w:t>
      </w:r>
      <w:r>
        <w:rPr>
          <w:rFonts w:ascii="Times New Roman" w:cs="Times New Roman" w:eastAsia="Times New Roman" w:hAnsi="Times New Roman"/>
          <w:sz w:val="20"/>
          <w:szCs w:val="20"/>
          <w:color w:val="auto"/>
        </w:rPr>
        <w:t>If the affected Product fails to conform to the Master Batch Record, GenIbet shall make up any shortfall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replace any non-conforming Product or rework any rejected Product, if applicable,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GenIbet shall have no liability or obligation to Seres under this Section 6.4.3 if any such defect or non-conformance is not due to [***]. Upon GenIbet’s instructions, Seres shall destroy or return, in either case at [***], any non-conforming 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it is determined that any such defect or non-conformance is not due to [***].</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6.5Delivery. </w:t>
      </w:r>
      <w:r>
        <w:rPr>
          <w:rFonts w:ascii="Times New Roman" w:cs="Times New Roman" w:eastAsia="Times New Roman" w:hAnsi="Times New Roman"/>
          <w:sz w:val="20"/>
          <w:szCs w:val="20"/>
          <w:color w:val="auto"/>
        </w:rPr>
        <w:t>GenIbet shall deliver all Product FCA (Incoterms 2010) at the Facility. To the extent that Seres complies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dates regarding the supply to GenIbet of Materials and Specialized Equipment, GenIbet shall deliver to Seres the amount of Product specified in each Purchase Order no later than the dates specified therein. On or before the delivery date specified in the applicable Purchase Order, GenIbet shall, as directed by Seres, deliver the Product to a carrier designated by Seres or into storage at the Facility. All Purchase Orders shall be filled in compliance with the terms and conditions of this Agreement and the Master Batch Record, including any packaging, handling, storage and labeling requirements set forth on the Master Batch Record.</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6.6Storage</w:t>
      </w:r>
      <w:r>
        <w:rPr>
          <w:rFonts w:ascii="Times New Roman" w:cs="Times New Roman" w:eastAsia="Times New Roman" w:hAnsi="Times New Roman"/>
          <w:sz w:val="20"/>
          <w:szCs w:val="20"/>
          <w:color w:val="auto"/>
        </w:rPr>
        <w:t>. GenIbet will store Products [***] after GenIbet’s release or the period required by applicable cGMPs, whichever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longer (the “</w:t>
      </w:r>
      <w:r>
        <w:rPr>
          <w:rFonts w:ascii="Times New Roman" w:cs="Times New Roman" w:eastAsia="Times New Roman" w:hAnsi="Times New Roman"/>
          <w:sz w:val="20"/>
          <w:szCs w:val="20"/>
          <w:b w:val="1"/>
          <w:bCs w:val="1"/>
          <w:color w:val="auto"/>
        </w:rPr>
        <w:t>Storage Period</w:t>
      </w:r>
      <w:r>
        <w:rPr>
          <w:rFonts w:ascii="Times New Roman" w:cs="Times New Roman" w:eastAsia="Times New Roman" w:hAnsi="Times New Roman"/>
          <w:sz w:val="20"/>
          <w:szCs w:val="20"/>
          <w:color w:val="auto"/>
        </w:rPr>
        <w:t xml:space="preserve">”). The Storage Period may be extended only if agreed to by the Parties in writing. After the Storage Period, if GenIbet agrees to store Product longer, then GenIbet may charge the storage fees as set forth in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 GenIbet shall store all Products in accordance with Applicable Law and Seres’ reasonable instructions. Notwithstanding anything to the contrary in the foregoing, with respect to Product intended for commercial distribution, GenIbet shall maintain the amount of safety stock (the “</w:t>
      </w:r>
      <w:r>
        <w:rPr>
          <w:rFonts w:ascii="Times New Roman" w:cs="Times New Roman" w:eastAsia="Times New Roman" w:hAnsi="Times New Roman"/>
          <w:sz w:val="20"/>
          <w:szCs w:val="20"/>
          <w:b w:val="1"/>
          <w:bCs w:val="1"/>
          <w:color w:val="auto"/>
        </w:rPr>
        <w:t>Safety Stock</w:t>
      </w:r>
      <w:r>
        <w:rPr>
          <w:rFonts w:ascii="Times New Roman" w:cs="Times New Roman" w:eastAsia="Times New Roman" w:hAnsi="Times New Roman"/>
          <w:sz w:val="20"/>
          <w:szCs w:val="20"/>
          <w:color w:val="auto"/>
        </w:rPr>
        <w:t>”) of each Batch of Product in quantities to be agreed upon by the Parties in good faith at least [***] prior to the first expected delivery date of Product for commercial distribution. Such Safety Stock shall be stored in accordance Seres’ reasonable instructions and cGMPs, and shall be maintained for the period required by cGMPs, unless the Product Manufacturing Plan sets forth a longer period.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6.7 </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ind w:left="760" w:hanging="752"/>
        <w:spacing w:after="0"/>
        <w:tabs>
          <w:tab w:leader="none" w:pos="76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7.1Existing Intellectual Property</w:t>
      </w:r>
      <w:r>
        <w:rPr>
          <w:rFonts w:ascii="Times New Roman" w:cs="Times New Roman" w:eastAsia="Times New Roman" w:hAnsi="Times New Roman"/>
          <w:sz w:val="20"/>
          <w:szCs w:val="20"/>
          <w:color w:val="auto"/>
        </w:rPr>
        <w:t>. Except as the Parties may otherwise expressly agree in writing, each Party shall continue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own its existing patents, trademarks, copyrights, trade secrets and other intellectual property, without conferring any interests therein on the other Party. Without limiting the generality of the preceding sentence, as between GenIbet and Seres, Seres shall own all right, title and interest arising under Applicable Law in and to all Products, Seres technology and labeling and trademarks associated therewith, including any improvements and modifications relating thereto, and any Inventions based on Seres’ Confidential Information (collectively, </w:t>
      </w:r>
      <w:r>
        <w:rPr>
          <w:rFonts w:ascii="Times New Roman" w:cs="Times New Roman" w:eastAsia="Times New Roman" w:hAnsi="Times New Roman"/>
          <w:sz w:val="20"/>
          <w:szCs w:val="20"/>
          <w:b w:val="1"/>
          <w:bCs w:val="1"/>
          <w:color w:val="auto"/>
        </w:rPr>
        <w:t>“Seres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Neither GenIbet nor any third party shall acquire any right, title or interest in Seres’ Intellectual Property by virtue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or otherwise, except to the extent expressly provided herein. GenIbet hereby assigns (and will cause its personnel and any third parties involved in the performance of its obligations hereunder to assign) to Seres, without further compensation being due, any right, title and interest they may have in any Seres Intellectual Property. GenIbet agrees to take such steps and execute such documents as may be reasonably requested by Seres to perfect Seres’ ownership of Seres’ Intellectual Property.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7.2License.</w:t>
      </w:r>
    </w:p>
    <w:p>
      <w:pPr>
        <w:spacing w:after="0" w:line="216" w:lineRule="exact"/>
        <w:rPr>
          <w:sz w:val="20"/>
          <w:szCs w:val="20"/>
          <w:color w:val="auto"/>
        </w:rPr>
      </w:pPr>
    </w:p>
    <w:p>
      <w:pPr>
        <w:jc w:val="both"/>
        <w:ind w:left="12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7.2.1</w:t>
      </w:r>
      <w:r>
        <w:rPr>
          <w:rFonts w:ascii="Times New Roman" w:cs="Times New Roman" w:eastAsia="Times New Roman" w:hAnsi="Times New Roman"/>
          <w:sz w:val="20"/>
          <w:szCs w:val="20"/>
          <w:color w:val="auto"/>
        </w:rPr>
        <w:t>Subject to the terms of this Agreement, Seres will grant GenIbet on the Area Acceptance Date a non-exclusive,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royalty-free, revocable license to (i) make the Products in the Seres Dedicated Area; and (ii) use the trademarks of Seres identified in the Product Manufacturing Plan solely in connection with its labeling of Products, in each case during the Term and solely at the Facility. Such licenses shall not be sublicensable, assignable or transferable in whole or in part. GenIbet’s use of Seres’ trademarks shall comply with Seres’ usage guidelines. GenIbet hereby assigns to Seres all goodwill associated with the use of Seres’ trademarks. In the event that GenIbet becomes aware of any possible or actual infringement by a third party of Seres’ Intellectual Property, it shall provide immediate written notice to Seres.</w:t>
      </w:r>
    </w:p>
    <w:p>
      <w:pPr>
        <w:spacing w:after="0" w:line="179" w:lineRule="exact"/>
        <w:rPr>
          <w:sz w:val="20"/>
          <w:szCs w:val="20"/>
          <w:color w:val="auto"/>
        </w:rPr>
      </w:pPr>
    </w:p>
    <w:p>
      <w:pPr>
        <w:jc w:val="both"/>
        <w:ind w:left="12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7.2.2</w:t>
      </w:r>
      <w:r>
        <w:rPr>
          <w:rFonts w:ascii="Times New Roman" w:cs="Times New Roman" w:eastAsia="Times New Roman" w:hAnsi="Times New Roman"/>
          <w:sz w:val="20"/>
          <w:szCs w:val="20"/>
          <w:color w:val="auto"/>
        </w:rPr>
        <w:t>GenIbet hereby grants (and shall cause any third party licensors of Licensed Know-How to grant) Seres a non-exclusive, transferable, royalty-free, irrevocable, perpetual, worldwide license to use and modify any GenIbet Intellectual Property, together with a right to sublicense the GenIbet Intellectual Property and Licensed Know-How to any third party manufacturer solely for purposes of manufacturing products for Seres and its Affiliates and business partners. “</w:t>
      </w:r>
      <w:r>
        <w:rPr>
          <w:rFonts w:ascii="Times New Roman" w:cs="Times New Roman" w:eastAsia="Times New Roman" w:hAnsi="Times New Roman"/>
          <w:sz w:val="20"/>
          <w:szCs w:val="20"/>
          <w:b w:val="1"/>
          <w:bCs w:val="1"/>
          <w:color w:val="auto"/>
        </w:rPr>
        <w:t>GenIbet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any processes or know-how owned by or licensed to GenIbet that GenIbet uses to Manufacture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Products for Seres under this Agreement.</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7.3Technology Transfer. </w:t>
      </w:r>
      <w:r>
        <w:rPr>
          <w:rFonts w:ascii="Times New Roman" w:cs="Times New Roman" w:eastAsia="Times New Roman" w:hAnsi="Times New Roman"/>
          <w:sz w:val="20"/>
          <w:szCs w:val="20"/>
          <w:color w:val="auto"/>
        </w:rPr>
        <w:t>Subject to the terms of this Agreement, Seres shall promptly provide GenIbet all the documentation,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Specialized Equipment (including specifications therefor), and materials that are necessary for the Manufacture of the Products. All such documentation, information, Equipment and materials shall remain the sole and exclusive property of Seres.</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7.4Disclaimer. </w:t>
      </w:r>
      <w:r>
        <w:rPr>
          <w:rFonts w:ascii="Times New Roman" w:cs="Times New Roman" w:eastAsia="Times New Roman" w:hAnsi="Times New Roman"/>
          <w:sz w:val="20"/>
          <w:szCs w:val="20"/>
          <w:color w:val="auto"/>
        </w:rPr>
        <w:t>Except as otherwise expressly provided herein, nothing contained in this Agreement shall be construed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interpreted, either expressly or by implication, or otherwise, as: (i) a grant, transfer or other conveyance by either Party to the other of any right, title, license or other interest of any kind in any of its Inventions or other intellectual property, (ii) creating an obligation on the part of either Party to make any such grant, transfer or other conveyance or (iii) requiring either Party to participate with the other Party in any cooperative development program or project of any kind or to continue with any such program or project.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0" w:name="page221"/>
    <w:bookmarkEnd w:id="220"/>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7.5Confidentiality of Intellectual Property</w:t>
      </w:r>
      <w:r>
        <w:rPr>
          <w:rFonts w:ascii="Times New Roman" w:cs="Times New Roman" w:eastAsia="Times New Roman" w:hAnsi="Times New Roman"/>
          <w:sz w:val="20"/>
          <w:szCs w:val="20"/>
          <w:color w:val="auto"/>
        </w:rPr>
        <w:t>. Intellectual Property shall be deemed to be the Confidential Information of the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owning such Intellectual Property. The protection of each Party’s Confidential Information is described in Section 11.</w:t>
      </w:r>
    </w:p>
    <w:p>
      <w:pPr>
        <w:spacing w:after="0" w:line="152" w:lineRule="exact"/>
        <w:rPr>
          <w:sz w:val="20"/>
          <w:szCs w:val="20"/>
          <w:color w:val="auto"/>
        </w:rPr>
      </w:pPr>
    </w:p>
    <w:p>
      <w:pPr>
        <w:ind w:left="760" w:hanging="752"/>
        <w:spacing w:after="0"/>
        <w:tabs>
          <w:tab w:leader="none" w:pos="76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SUBCONTRACTORS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GenIbet shall not subcontract its obligations under this Agreement (other than with respect to the construction of Seres Dedicated Area) without the prior written consent of Seres, which consent shall not be unreasonably withheld or delayed. [***]. GenIbet shall cause its subcontractors to execute agreements with provisions substantially similar to the provisions in Sections 7, 11, and 12.2. Seres may revoke its approval of a subcontractor if the subcontractor breaches Section 7, 11, and 12.2 in any material respect.</w:t>
      </w:r>
    </w:p>
    <w:p>
      <w:pPr>
        <w:spacing w:after="0" w:line="176" w:lineRule="exact"/>
        <w:rPr>
          <w:sz w:val="20"/>
          <w:szCs w:val="20"/>
          <w:color w:val="auto"/>
        </w:rPr>
      </w:pPr>
    </w:p>
    <w:p>
      <w:pPr>
        <w:ind w:left="760" w:hanging="752"/>
        <w:spacing w:after="0"/>
        <w:tabs>
          <w:tab w:leader="none" w:pos="76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AND QUALITY MATTERS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9.1Permits, Registrations and Licenses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9.1.1</w:t>
      </w:r>
      <w:r>
        <w:rPr>
          <w:rFonts w:ascii="Times New Roman" w:cs="Times New Roman" w:eastAsia="Times New Roman" w:hAnsi="Times New Roman"/>
          <w:sz w:val="20"/>
          <w:szCs w:val="20"/>
          <w:color w:val="auto"/>
        </w:rPr>
        <w:t>Seres will be responsible, [***], for obtaining, maintaining, updating and remaining in compliance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permits, licenses and other authorizations during the Term of this Agreement, which are necessary or required under federal, state, and local laws, rules and regulations which are applicable to the use of Product Manufactured by GenIbet hereunder. GenIbet will be responsible for, [***], obtaining and maintaining all generally required permits, registrations and licenses applicable to the Facility and to the production of pharmaceutical and biological products generally to the extent required for GenIbet to carry out its regulatory and Manufacturing obligations hereunder.</w:t>
      </w:r>
    </w:p>
    <w:p>
      <w:pPr>
        <w:spacing w:after="0" w:line="179"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9.1.2</w:t>
      </w:r>
      <w:r>
        <w:rPr>
          <w:rFonts w:ascii="Times New Roman" w:cs="Times New Roman" w:eastAsia="Times New Roman" w:hAnsi="Times New Roman"/>
          <w:sz w:val="20"/>
          <w:szCs w:val="20"/>
          <w:color w:val="auto"/>
        </w:rPr>
        <w:t>Without limitation on the foregoing in Section 9.1.1, GenIbet will prepare and deliver to Seres a Site Master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File (SMF) in accordance with the Quality Agreement. Seres may utilize the SMF only in connection with the preparation of regulatory filings related to the Products. Any other use of the SMF by Seres shall require the prior written approval of GenIbet.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9.2Quality Agreement. </w:t>
      </w:r>
      <w:r>
        <w:rPr>
          <w:rFonts w:ascii="Times New Roman" w:cs="Times New Roman" w:eastAsia="Times New Roman" w:hAnsi="Times New Roman"/>
          <w:sz w:val="20"/>
          <w:szCs w:val="20"/>
          <w:color w:val="auto"/>
        </w:rPr>
        <w:t>Within [***] of the Effective Date, the Parties shall agree in writing to a revised Clinical Quality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within [***] of the Effective Date, the Parties shall agree in writing to a Commercial Quality Agreement. [***]. The Quality Agreements are intended to supplement this Agreement, and shall be incorporated in this Agreement in its entirety, except that in the event of a conflict between any term, condition or provision of this Agreement and any term, condition or provision of the Quality Agreements, the applicable term, condition or provision of the Quality Agreement shall control unless specifically set forth otherwise in this Agreement or otherwise agreed in writing by the Parties.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9.3Facility Audits. </w:t>
      </w:r>
      <w:r>
        <w:rPr>
          <w:rFonts w:ascii="Times New Roman" w:cs="Times New Roman" w:eastAsia="Times New Roman" w:hAnsi="Times New Roman"/>
          <w:sz w:val="20"/>
          <w:szCs w:val="20"/>
          <w:color w:val="auto"/>
        </w:rPr>
        <w:t>Representatives (including internal and external auditors) of Seres and its Affiliates (a) shall upon [***] review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GenIbet’s quality control procedures; and (b) may, during normal business hours and [***], conduct a supplier audit of the Facility and Seres Dedicated Area. GenIbet shall make available the Facility, Seres Dedicated Area and its personnel to representatives (including internal and external auditors) of Seres and its Affiliates for purposes of verifying that the Products are being Manufactured and supplied in accordance with the applicable Specifications and Applicable Law and that GenIbet is in compliance with the terms of this Agreement. GenIbet shall promptly remedy or cause the remedy of any deficiencies that may be noted in any such audit.</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9.4Inspections by Regulatory Authorities. </w:t>
      </w:r>
      <w:r>
        <w:rPr>
          <w:rFonts w:ascii="Times New Roman" w:cs="Times New Roman" w:eastAsia="Times New Roman" w:hAnsi="Times New Roman"/>
          <w:sz w:val="20"/>
          <w:szCs w:val="20"/>
          <w:color w:val="auto"/>
        </w:rPr>
        <w:t>Seres shall give GenIbet advance notice, to the extent that advance notice is given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Seres, of any site visit to the Facility by any Government Authority,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1" w:name="page222"/>
    <w:bookmarkEnd w:id="221"/>
    <w:p>
      <w:pPr>
        <w:jc w:val="both"/>
        <w:spacing w:after="0" w:line="243" w:lineRule="auto"/>
        <w:rPr>
          <w:sz w:val="20"/>
          <w:szCs w:val="20"/>
          <w:color w:val="auto"/>
        </w:rPr>
      </w:pPr>
      <w:r>
        <w:rPr>
          <w:rFonts w:ascii="Times New Roman" w:cs="Times New Roman" w:eastAsia="Times New Roman" w:hAnsi="Times New Roman"/>
          <w:sz w:val="20"/>
          <w:szCs w:val="20"/>
          <w:color w:val="auto"/>
        </w:rPr>
        <w:t>purpose of which is to inspect the Manufacture of any Product or the compliance status of the Facility under Applicable Law, in accordance with the terms and conditions of the Quality Agreements. In any event, GenIbet shall advise Seres of the occurrence of any such visit immediately upon such visit, and GenIbet shall furnish to Seres all material information supplied to, or supplied by, any Government Authority, including the Form 483 (and foreign equivalent) observations and responses, to the extent that such information relates to such Product or the ability of GenIbet to comply with the terms of this Agreement or Applicable Law. In addition, and without limitation on the foregoing, to the extent permitted by the applicable Government Authority, representatives of Seres shall be permitted to participate in any such site visit by a Government Authority, and GenIbet shall provide Seres with a reasonable opportunity to review and comment upon any response to the Government Authority to the extent the response relates to Product prior to delivery to the Government Authority.</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9.5Adverse Event Reporting. </w:t>
      </w:r>
      <w:r>
        <w:rPr>
          <w:rFonts w:ascii="Times New Roman" w:cs="Times New Roman" w:eastAsia="Times New Roman" w:hAnsi="Times New Roman"/>
          <w:sz w:val="20"/>
          <w:szCs w:val="20"/>
          <w:color w:val="auto"/>
        </w:rPr>
        <w:t>Seres shall be responsible for reporting adverse events and complaints with respect to any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Materials), and for responding to any such reports and complaints, in accordance with the terms and conditions of the applicable Quality Agreement. GenIbet shall promptly notify Seres of any information GenIbet receives related to an adverse event or complaint.</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9.6Recalls</w:t>
      </w:r>
      <w:r>
        <w:rPr>
          <w:rFonts w:ascii="Times New Roman" w:cs="Times New Roman" w:eastAsia="Times New Roman" w:hAnsi="Times New Roman"/>
          <w:sz w:val="19"/>
          <w:szCs w:val="19"/>
          <w:color w:val="auto"/>
        </w:rPr>
        <w:t>. In the event Seres is required to recall any Product, or elects to institute a voluntary recall, Seres will be responsible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coordinating such recall. Seres will promptly notify GenIbet of such recall and provide GenIbet with a copy of all documents relating to such recall. GenIbet will cooperate with Seres in connection with any recall, [***], unless the recall is determined to have been necessitated by</w:t>
      </w:r>
    </w:p>
    <w:p>
      <w:pPr>
        <w:spacing w:after="0" w:line="2" w:lineRule="exact"/>
        <w:rPr>
          <w:sz w:val="20"/>
          <w:szCs w:val="20"/>
          <w:color w:val="auto"/>
        </w:rPr>
      </w:pPr>
    </w:p>
    <w:p>
      <w:pPr>
        <w:jc w:val="both"/>
        <w:ind w:firstLine="8"/>
        <w:spacing w:after="0" w:line="241" w:lineRule="auto"/>
        <w:tabs>
          <w:tab w:leader="none" w:pos="47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perform the Manufacturing activities at issue in accordance with Applicable Law or this Agreement. [***] will be responsible for all of the costs and expenses of recalls (including but not limited to costs associated with receiving and administering the recalled Product and notification of the recall to those persons whom Seres deems appropriate) ), except for recalls determined to have been necessitated by [***] to perform the Manufacturing activities at issue in accordance with Applicable Law or this Agreement, in which case [***] will be responsible for all of the costs and expenses of such recalls.</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9.7Health, Safety and Environmental Compliance. </w:t>
      </w:r>
      <w:r>
        <w:rPr>
          <w:rFonts w:ascii="Times New Roman" w:cs="Times New Roman" w:eastAsia="Times New Roman" w:hAnsi="Times New Roman"/>
          <w:sz w:val="20"/>
          <w:szCs w:val="20"/>
          <w:color w:val="auto"/>
        </w:rPr>
        <w:t>All Manufacturing operations are to be performed using appropriate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measures and containment techniques as dictated by Applicable Law and industry standards. GenIbet shall be solely responsible for implementing and maintaining health and safety procedures for the Manufacture of Product and performance of services under this Agreement and for the handling of any materials or hazardous waste used in or generated by such activities. GenIbet, in consultation with Seres, shall develop safety and handling procedures for Materials and Product; provided, however, that Seres shall have no responsibility for GenIbet’s health and safety program. The generation, collection, storage, handling, transportation, movement and release of hazardous materials and waste generated in connection with the Manufacture of Product and other services under this Agreement shall be the responsibility of GenIbet at GenIbet’s cost and expense, unless otherwise agreed to in writing by the Parties for special situations or conditions. Without limiting other legally applicable requirements, GenIbet shall prepare, execute and maintain, as the generator of waste, all licenses, registrations, approvals, authorizations, notices, shipping documents and waste manifests required under Applicable Law.</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9.8Distribution within European Union. </w:t>
      </w:r>
      <w:r>
        <w:rPr>
          <w:rFonts w:ascii="Times New Roman" w:cs="Times New Roman" w:eastAsia="Times New Roman" w:hAnsi="Times New Roman"/>
          <w:sz w:val="20"/>
          <w:szCs w:val="20"/>
          <w:color w:val="auto"/>
        </w:rPr>
        <w:t>In the event that Seres seeks to distribute Product, including as an investigational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medicinal product, within the European Union or any member states thereof, Seres will be responsible [***] for obtaining all permits, licenses and other authorizations required by Applicable Law.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ind w:left="760" w:hanging="752"/>
        <w:spacing w:after="0"/>
        <w:tabs>
          <w:tab w:leader="none" w:pos="76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CHARGES, INVOICING, PAYMENT AND TAXES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10.1Charges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10.1.1</w:t>
      </w:r>
      <w:r>
        <w:rPr>
          <w:rFonts w:ascii="Times New Roman" w:cs="Times New Roman" w:eastAsia="Times New Roman" w:hAnsi="Times New Roman"/>
          <w:sz w:val="20"/>
          <w:szCs w:val="20"/>
          <w:color w:val="auto"/>
        </w:rPr>
        <w:t>The Charges under this Agreement are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4.</w:t>
      </w:r>
    </w:p>
    <w:p>
      <w:pPr>
        <w:spacing w:after="0" w:line="216"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10.1.2</w:t>
      </w:r>
      <w:r>
        <w:rPr>
          <w:rFonts w:ascii="Times New Roman" w:cs="Times New Roman" w:eastAsia="Times New Roman" w:hAnsi="Times New Roman"/>
          <w:sz w:val="20"/>
          <w:szCs w:val="20"/>
          <w:color w:val="auto"/>
        </w:rPr>
        <w:t>The Charges under Section 1 of Exhibit 4 shall be adjusted [***] for fluctuations in the exchange rate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United States Dollar and the Euro. The adjustment shall be as follows:</w:t>
      </w:r>
    </w:p>
    <w:p>
      <w:pPr>
        <w:spacing w:after="0" w:line="15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(Current Exchange Rate - Baseline Exchange Rate) / Baseline Exchange Rate, where</w:t>
      </w:r>
    </w:p>
    <w:p>
      <w:pPr>
        <w:spacing w:after="0" w:line="216" w:lineRule="exact"/>
        <w:rPr>
          <w:sz w:val="20"/>
          <w:szCs w:val="20"/>
          <w:color w:val="auto"/>
        </w:rPr>
      </w:pPr>
    </w:p>
    <w:p>
      <w:pPr>
        <w:ind w:left="19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Baseline Exchange Rate</w:t>
      </w:r>
      <w:r>
        <w:rPr>
          <w:rFonts w:ascii="Times New Roman" w:cs="Times New Roman" w:eastAsia="Times New Roman" w:hAnsi="Times New Roman"/>
          <w:sz w:val="20"/>
          <w:szCs w:val="20"/>
          <w:color w:val="auto"/>
        </w:rPr>
        <w:t>" means the Euro to Dollar exchange rate, as quoated in the Wall Street Journal published [***].</w:t>
      </w:r>
    </w:p>
    <w:p>
      <w:pPr>
        <w:spacing w:after="0" w:line="159" w:lineRule="exact"/>
        <w:rPr>
          <w:sz w:val="20"/>
          <w:szCs w:val="20"/>
          <w:color w:val="auto"/>
        </w:rPr>
      </w:pPr>
    </w:p>
    <w:p>
      <w:pPr>
        <w:ind w:left="19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Exchange Rate</w:t>
      </w:r>
      <w:r>
        <w:rPr>
          <w:rFonts w:ascii="Times New Roman" w:cs="Times New Roman" w:eastAsia="Times New Roman" w:hAnsi="Times New Roman"/>
          <w:sz w:val="20"/>
          <w:szCs w:val="20"/>
          <w:color w:val="auto"/>
        </w:rPr>
        <w:t>” means the Euro to Dollar exchange rate, as quoted in the Wall Street Journal published [***].</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10.2Invoicing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10.2.1</w:t>
      </w:r>
      <w:r>
        <w:rPr>
          <w:rFonts w:ascii="Times New Roman" w:cs="Times New Roman" w:eastAsia="Times New Roman" w:hAnsi="Times New Roman"/>
          <w:sz w:val="20"/>
          <w:szCs w:val="20"/>
          <w:color w:val="auto"/>
        </w:rPr>
        <w:t>GenIbet shall promptly invoice Seres for the fixed monthly charges under Section 1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Section 2 of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 xml:space="preserve"> on a monthly basis in arrears. GenIbet shall send invoices to [***].</w:t>
      </w:r>
    </w:p>
    <w:p>
      <w:pPr>
        <w:spacing w:after="0" w:line="152"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10.2.2</w:t>
      </w:r>
      <w:r>
        <w:rPr>
          <w:rFonts w:ascii="Times New Roman" w:cs="Times New Roman" w:eastAsia="Times New Roman" w:hAnsi="Times New Roman"/>
          <w:sz w:val="20"/>
          <w:szCs w:val="20"/>
          <w:color w:val="auto"/>
        </w:rPr>
        <w:t>GenIbet shall invoice Seres for the per-Batch charges [***] for each Batch in accordance with Section 3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10.3Payment Terms. </w:t>
      </w:r>
      <w:r>
        <w:rPr>
          <w:rFonts w:ascii="Times New Roman" w:cs="Times New Roman" w:eastAsia="Times New Roman" w:hAnsi="Times New Roman"/>
          <w:sz w:val="20"/>
          <w:szCs w:val="20"/>
          <w:color w:val="auto"/>
        </w:rPr>
        <w:t>Except as otherwise stated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 Seres shall pay all undisputed amounts pursuant to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 after receipt of an invoice therefor from GenIbet by direct wire transfer of United States Dollars in immediately available funds in the requisite amount to [***].</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10.4Disputed Amounts. </w:t>
      </w:r>
      <w:r>
        <w:rPr>
          <w:rFonts w:ascii="Times New Roman" w:cs="Times New Roman" w:eastAsia="Times New Roman" w:hAnsi="Times New Roman"/>
          <w:sz w:val="20"/>
          <w:szCs w:val="20"/>
          <w:color w:val="auto"/>
        </w:rPr>
        <w:t>In the event of any dispute on the amounts, [***].</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10.5Taxes</w:t>
      </w:r>
    </w:p>
    <w:p>
      <w:pPr>
        <w:spacing w:after="0" w:line="216" w:lineRule="exact"/>
        <w:rPr>
          <w:sz w:val="20"/>
          <w:szCs w:val="20"/>
          <w:color w:val="auto"/>
        </w:rPr>
      </w:pPr>
    </w:p>
    <w:p>
      <w:pPr>
        <w:jc w:val="both"/>
        <w:ind w:left="120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10.5.1Retained Taxes</w:t>
      </w:r>
      <w:r>
        <w:rPr>
          <w:rFonts w:ascii="Times New Roman" w:cs="Times New Roman" w:eastAsia="Times New Roman" w:hAnsi="Times New Roman"/>
          <w:sz w:val="20"/>
          <w:szCs w:val="20"/>
          <w:color w:val="auto"/>
        </w:rPr>
        <w:t>. Each Party will be responsible for the payment of any taxes, levies and charges on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and real property, business and franchise and privilege taxes on its business, and for taxes based on its net income or gross receipts (“</w:t>
      </w:r>
      <w:r>
        <w:rPr>
          <w:rFonts w:ascii="Times New Roman" w:cs="Times New Roman" w:eastAsia="Times New Roman" w:hAnsi="Times New Roman"/>
          <w:sz w:val="20"/>
          <w:szCs w:val="20"/>
          <w:b w:val="1"/>
          <w:bCs w:val="1"/>
          <w:color w:val="auto"/>
        </w:rPr>
        <w:t>Income Taxes</w:t>
      </w:r>
      <w:r>
        <w:rPr>
          <w:rFonts w:ascii="Times New Roman" w:cs="Times New Roman" w:eastAsia="Times New Roman" w:hAnsi="Times New Roman"/>
          <w:sz w:val="20"/>
          <w:szCs w:val="20"/>
          <w:color w:val="auto"/>
        </w:rPr>
        <w:t>”), in each case that are imposed by applicable Government Authorities (collectively, the “</w:t>
      </w:r>
      <w:r>
        <w:rPr>
          <w:rFonts w:ascii="Times New Roman" w:cs="Times New Roman" w:eastAsia="Times New Roman" w:hAnsi="Times New Roman"/>
          <w:sz w:val="20"/>
          <w:szCs w:val="20"/>
          <w:b w:val="1"/>
          <w:bCs w:val="1"/>
          <w:color w:val="auto"/>
        </w:rPr>
        <w:t>Retained Taxes</w:t>
      </w:r>
      <w:r>
        <w:rPr>
          <w:rFonts w:ascii="Times New Roman" w:cs="Times New Roman" w:eastAsia="Times New Roman" w:hAnsi="Times New Roman"/>
          <w:sz w:val="20"/>
          <w:szCs w:val="20"/>
          <w:color w:val="auto"/>
        </w:rPr>
        <w:t>”). If required by Applicable Law, Seres will be entitled to withhold an amount in respect of any Income Tax from any payment to GenIbet only to the extent GenIbet does not benefit of any exemption of withholding tax under applicable tax treaties or to the limit of any reduced withholding tax GenIbet may benefit under applicable tax treaties. Seres shall inform GenIbet in writing in advance of any such required tax withholding, as well as, of any reduced withholding tax or exemption of withholding tax GenIbet may benefit under applicable tax treaties and the respective formalities. If any amounts in respect of Income Taxes are withheld by Seres, Seres shall pay such amounts over to the applicable Governmental Authority and provide documentation to GenIbet evidencing such payment.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3" w:name="page224"/>
    <w:bookmarkEnd w:id="223"/>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10.5.2Export/Import Taxes</w:t>
      </w:r>
      <w:r>
        <w:rPr>
          <w:rFonts w:ascii="Times New Roman" w:cs="Times New Roman" w:eastAsia="Times New Roman" w:hAnsi="Times New Roman"/>
          <w:sz w:val="20"/>
          <w:szCs w:val="20"/>
          <w:color w:val="auto"/>
        </w:rPr>
        <w:t>. [***] shall be responsible for the taxes, duties, tariffs, consular fees, levies, penalties,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charges imposed by applicable Governmental Authorities on the import or export of the of Products (“</w:t>
      </w:r>
      <w:r>
        <w:rPr>
          <w:rFonts w:ascii="Times New Roman" w:cs="Times New Roman" w:eastAsia="Times New Roman" w:hAnsi="Times New Roman"/>
          <w:sz w:val="20"/>
          <w:szCs w:val="20"/>
          <w:b w:val="1"/>
          <w:bCs w:val="1"/>
          <w:color w:val="auto"/>
        </w:rPr>
        <w:t>Export/Import Taxes</w:t>
      </w:r>
      <w:r>
        <w:rPr>
          <w:rFonts w:ascii="Times New Roman" w:cs="Times New Roman" w:eastAsia="Times New Roman" w:hAnsi="Times New Roman"/>
          <w:sz w:val="20"/>
          <w:szCs w:val="20"/>
          <w:color w:val="auto"/>
        </w:rPr>
        <w:t>”) to the extent such Party is responsible for such amounts in accordance with the Incoterms</w:t>
      </w:r>
      <w:r>
        <w:rPr>
          <w:rFonts w:ascii="Times New Roman" w:cs="Times New Roman" w:eastAsia="Times New Roman" w:hAnsi="Times New Roman"/>
          <w:sz w:val="13"/>
          <w:szCs w:val="13"/>
          <w:color w:val="auto"/>
        </w:rPr>
        <w:t>®</w:t>
      </w:r>
      <w:r>
        <w:rPr>
          <w:rFonts w:ascii="Times New Roman" w:cs="Times New Roman" w:eastAsia="Times New Roman" w:hAnsi="Times New Roman"/>
          <w:sz w:val="20"/>
          <w:szCs w:val="20"/>
          <w:color w:val="auto"/>
        </w:rPr>
        <w:t xml:space="preserve"> 2010 delivery terms set forth in Section 6.5.</w:t>
      </w:r>
    </w:p>
    <w:p>
      <w:pPr>
        <w:spacing w:after="0" w:line="176"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10.5.3Other Taxes</w:t>
      </w:r>
      <w:r>
        <w:rPr>
          <w:rFonts w:ascii="Times New Roman" w:cs="Times New Roman" w:eastAsia="Times New Roman" w:hAnsi="Times New Roman"/>
          <w:sz w:val="20"/>
          <w:szCs w:val="20"/>
          <w:color w:val="auto"/>
        </w:rPr>
        <w:t>. [***] shall be responsible for all goods, VAT, sales, use, consumption and other similar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levies and charges (other than Retained Taxes and Export/Import Taxes) imposed by applicable Governmental Authorities in connection with the delivery of the Products to Seres or any invoice. [***].</w:t>
      </w:r>
    </w:p>
    <w:p>
      <w:pPr>
        <w:spacing w:after="0" w:line="169" w:lineRule="exact"/>
        <w:rPr>
          <w:sz w:val="20"/>
          <w:szCs w:val="20"/>
          <w:color w:val="auto"/>
        </w:rPr>
      </w:pPr>
    </w:p>
    <w:p>
      <w:pPr>
        <w:jc w:val="both"/>
        <w:ind w:left="1200"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1.1.1EU VAT Directive</w:t>
      </w:r>
      <w:r>
        <w:rPr>
          <w:rFonts w:ascii="Times New Roman" w:cs="Times New Roman" w:eastAsia="Times New Roman" w:hAnsi="Times New Roman"/>
          <w:sz w:val="20"/>
          <w:szCs w:val="20"/>
          <w:color w:val="auto"/>
        </w:rPr>
        <w:t>. Cross-Border sales of Products may fall within Article 44 of the EU VAT Directive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equivalent national provision, so that GenIbet is not required to charge VAT. In such case, with respect to each applicable jurisdiction, [***].</w:t>
      </w:r>
    </w:p>
    <w:p>
      <w:pPr>
        <w:spacing w:after="0" w:line="169"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1.1.1Cooperation</w:t>
      </w:r>
      <w:r>
        <w:rPr>
          <w:rFonts w:ascii="Times New Roman" w:cs="Times New Roman" w:eastAsia="Times New Roman" w:hAnsi="Times New Roman"/>
          <w:sz w:val="20"/>
          <w:szCs w:val="20"/>
          <w:color w:val="auto"/>
        </w:rPr>
        <w:t>. Each Party shall cooperate, as reasonably requested by the other, to minimize the amount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amounts payable to Government Authorities under this Section 10.5, including by claiming any available exemption or any available refund, credit or other recovery, and by executing and filing any invoices, forms or certificates reasonably required, in each case, to the extent that doing so would not adversely affect such Party.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10.6Audits. </w:t>
      </w:r>
      <w:r>
        <w:rPr>
          <w:rFonts w:ascii="Times New Roman" w:cs="Times New Roman" w:eastAsia="Times New Roman" w:hAnsi="Times New Roman"/>
          <w:sz w:val="20"/>
          <w:szCs w:val="20"/>
          <w:color w:val="auto"/>
        </w:rPr>
        <w:t>GenIbet shall maintain full and accurate financial records pertaining to amounts invoiced under this Agreement on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consistent basis and in accordance with GAAP for [***] after their creation or such longer period as may be required under Applicable Law. Such records shall include [***]. Upon Seres’ request, GenIbet will provide Seres or its independent auditor with access to [***].</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10.7Foreign Corrupt Practices Act</w:t>
      </w:r>
      <w:r>
        <w:rPr>
          <w:rFonts w:ascii="Times New Roman" w:cs="Times New Roman" w:eastAsia="Times New Roman" w:hAnsi="Times New Roman"/>
          <w:sz w:val="20"/>
          <w:szCs w:val="20"/>
          <w:color w:val="auto"/>
        </w:rPr>
        <w:t>. The Parties confirm that any compensation payable hereunder does not constitute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remuneration or other means to attempt to corruptly influence a Government Official (as such term is defined in the U.S. Foreign Corrupt Practices Act of 1977 (the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to act in his official capacity to assist either Seres or GenIbet in obtaining or retaining business. In connection with each Party’s obligations under this Agreement, and to the extent the FCPA applies to either Party’s obligations under this Agreement, neither Seres nor GenIbet has made or offered, or hereafter will make or offer, directly or indirectly, any payment or inducement to a Government Official with the intent to corruptly influence a Government Official to act in his official capacity to assist either Seres or GenIbet in obtaining or retaining business. In connection with this Agreement, neither Party will give to or accept from any other person anything of value in order to obtain an improper business advantage. Any breach of the foregoing provision will be deemed a material breach of this Agreement that is not capable of relief and will entitle the nonbreaching Party to terminate this Agreement with immediate effect.</w:t>
      </w:r>
    </w:p>
    <w:p>
      <w:pPr>
        <w:spacing w:after="0" w:line="182" w:lineRule="exact"/>
        <w:rPr>
          <w:sz w:val="20"/>
          <w:szCs w:val="20"/>
          <w:color w:val="auto"/>
        </w:rPr>
      </w:pPr>
    </w:p>
    <w:p>
      <w:pPr>
        <w:ind w:left="760" w:hanging="752"/>
        <w:spacing w:after="0"/>
        <w:tabs>
          <w:tab w:leader="none" w:pos="76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6" w:lineRule="exact"/>
        <w:rPr>
          <w:sz w:val="20"/>
          <w:szCs w:val="20"/>
          <w:color w:val="auto"/>
        </w:rPr>
      </w:pPr>
    </w:p>
    <w:p>
      <w:pPr>
        <w:ind w:left="760"/>
        <w:spacing w:after="0"/>
        <w:tabs>
          <w:tab w:leader="none" w:pos="3700" w:val="left"/>
        </w:tabs>
        <w:rPr>
          <w:sz w:val="20"/>
          <w:szCs w:val="20"/>
          <w:color w:val="auto"/>
        </w:rPr>
      </w:pPr>
      <w:r>
        <w:rPr>
          <w:rFonts w:ascii="Times New Roman" w:cs="Times New Roman" w:eastAsia="Times New Roman" w:hAnsi="Times New Roman"/>
          <w:sz w:val="20"/>
          <w:szCs w:val="20"/>
          <w:b w:val="1"/>
          <w:bCs w:val="1"/>
          <w:color w:val="auto"/>
        </w:rPr>
        <w:t>11.1Confidentiality Obligations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Each Party agrees that such Party will use reasonable efforts to keep confidential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Confidential Information of the other Party. The foregoing obligations will not apply to any information to the extent that:</w:t>
      </w:r>
    </w:p>
    <w:p>
      <w:pPr>
        <w:spacing w:after="0" w:line="190"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11.1.1</w:t>
      </w:r>
      <w:r>
        <w:rPr>
          <w:rFonts w:ascii="Times New Roman" w:cs="Times New Roman" w:eastAsia="Times New Roman" w:hAnsi="Times New Roman"/>
          <w:sz w:val="20"/>
          <w:szCs w:val="20"/>
          <w:color w:val="auto"/>
        </w:rPr>
        <w:t>Was already known to the receiving Party, other than under an obligation of confidentiality, at the time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4" w:name="page225"/>
    <w:bookmarkEnd w:id="224"/>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11.1.2</w:t>
      </w:r>
      <w:r>
        <w:rPr>
          <w:rFonts w:ascii="Times New Roman" w:cs="Times New Roman" w:eastAsia="Times New Roman" w:hAnsi="Times New Roman"/>
          <w:sz w:val="20"/>
          <w:szCs w:val="20"/>
          <w:color w:val="auto"/>
        </w:rPr>
        <w:t>Was generally available to the public or was otherwise part of the public domain at the time of its disclosure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receiving Party;</w:t>
      </w:r>
    </w:p>
    <w:p>
      <w:pPr>
        <w:spacing w:after="0" w:line="152"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11.1.3</w:t>
      </w:r>
      <w:r>
        <w:rPr>
          <w:rFonts w:ascii="Times New Roman" w:cs="Times New Roman" w:eastAsia="Times New Roman" w:hAnsi="Times New Roman"/>
          <w:sz w:val="20"/>
          <w:szCs w:val="20"/>
          <w:color w:val="auto"/>
        </w:rPr>
        <w:t>Became generally available to the public or otherwise becomes part of the public domain after its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other than through any act or omission of the receiving Party in breach of this Agreement; or</w:t>
      </w:r>
    </w:p>
    <w:p>
      <w:pPr>
        <w:spacing w:after="0" w:line="152" w:lineRule="exact"/>
        <w:rPr>
          <w:sz w:val="20"/>
          <w:szCs w:val="20"/>
          <w:color w:val="auto"/>
        </w:rPr>
      </w:pPr>
    </w:p>
    <w:p>
      <w:pPr>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11.1.4</w:t>
      </w:r>
      <w:r>
        <w:rPr>
          <w:rFonts w:ascii="Times New Roman" w:cs="Times New Roman" w:eastAsia="Times New Roman" w:hAnsi="Times New Roman"/>
          <w:sz w:val="20"/>
          <w:szCs w:val="20"/>
          <w:color w:val="auto"/>
        </w:rPr>
        <w:t>Was subsequently lawfully disclosed to the receiving Party by a third party other than in contravention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confidentiality obligation of such third party to the disclosing Party.</w:t>
      </w:r>
    </w:p>
    <w:p>
      <w:pPr>
        <w:spacing w:after="0" w:line="15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Each Party may disclose the other Party’s Confidential Information to the extent such disclosure is reasonably necessary for prosecuting or defending litigation, advising investors and the investment community of the results of activities hereunder (subject to the prior written consent of the other Party, which consent will not be unreasonably withheld), complying with applicable governmental regulations, granting a permitted sublicense of its rights hereunder or otherwise in performing its obligations or exercising its rights hereunder. If a Party is required to make any such disclosure of the other Party’s Confidential Information, it will give reasonable advance notice to that other Party of such disclosure requirement, will cooperate with the other Party in its efforts to secure confidential treatment of such Confidential Information prior to its disclosure, and, except to the extent inappropriate in the case of patent applications, will use all reasonable efforts to secure confidential treatment of such information prior to its disclosure (whether through protective orders or confidentiality agreements or otherwise).</w:t>
      </w:r>
    </w:p>
    <w:p>
      <w:pPr>
        <w:spacing w:after="0" w:line="182"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11.2Public Announcement; Agreement Terms</w:t>
      </w:r>
      <w:r>
        <w:rPr>
          <w:rFonts w:ascii="Times New Roman" w:cs="Times New Roman" w:eastAsia="Times New Roman" w:hAnsi="Times New Roman"/>
          <w:sz w:val="20"/>
          <w:szCs w:val="20"/>
          <w:color w:val="auto"/>
        </w:rPr>
        <w:t>. Except to the extent required by Applicable Law, neither Party shall make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announcements concerning this Agreement or the terms hereof without the prior written consent of the other Party. The terms and conditions of this Agreement shall be Confidential Information of the Parties.</w:t>
      </w:r>
    </w:p>
    <w:p>
      <w:pPr>
        <w:spacing w:after="0" w:line="169" w:lineRule="exact"/>
        <w:rPr>
          <w:sz w:val="20"/>
          <w:szCs w:val="20"/>
          <w:color w:val="auto"/>
        </w:rPr>
      </w:pPr>
    </w:p>
    <w:p>
      <w:pPr>
        <w:ind w:left="760" w:hanging="752"/>
        <w:spacing w:after="0"/>
        <w:tabs>
          <w:tab w:leader="none" w:pos="760"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WARRANTIES, UNDERTAKINGS, AND COVENANTS</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12.1By Each Party</w:t>
      </w:r>
      <w:r>
        <w:rPr>
          <w:rFonts w:ascii="Times New Roman" w:cs="Times New Roman" w:eastAsia="Times New Roman" w:hAnsi="Times New Roman"/>
          <w:sz w:val="19"/>
          <w:szCs w:val="19"/>
          <w:color w:val="auto"/>
        </w:rPr>
        <w:t>. Each Party represents, warrants, undertakes and covenants to the other that: (i) it is duly organized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validly existing under the laws of the jurisdiction of its incorporation and has full corporate power and authority to enter into this Agreement;</w:t>
      </w:r>
    </w:p>
    <w:p>
      <w:pPr>
        <w:spacing w:after="0" w:line="1" w:lineRule="exact"/>
        <w:rPr>
          <w:sz w:val="20"/>
          <w:szCs w:val="20"/>
          <w:color w:val="auto"/>
        </w:rPr>
      </w:pPr>
    </w:p>
    <w:p>
      <w:pPr>
        <w:jc w:val="both"/>
        <w:ind w:firstLine="8"/>
        <w:spacing w:after="0" w:line="241" w:lineRule="auto"/>
        <w:tabs>
          <w:tab w:leader="none" w:pos="30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all necessary power and authority to execute and deliver this Agreement, to perform its obligations hereunder and to consummate the transactions contemplated hereby; (c) its execution and delivery of this Agreement have been duly and validly authorized by all necessary action, and no other proceedings on its part are necessary to authorize this Agreement or to consummate the transactions contemplated hereby; and (iii) this Agreement has been duly authorized and validly executed and delivered by it and constitutes a legal, valid and binding obligation on it, enforceable against it in accordance with the terms of this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12.2By GenIbet</w:t>
      </w:r>
      <w:r>
        <w:rPr>
          <w:rFonts w:ascii="Times New Roman" w:cs="Times New Roman" w:eastAsia="Times New Roman" w:hAnsi="Times New Roman"/>
          <w:sz w:val="20"/>
          <w:szCs w:val="20"/>
          <w:color w:val="auto"/>
        </w:rPr>
        <w:t>. GenIbet represents, warrants, undertakes and covenants that: [***].</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12.3Disclaimer of Warranties. </w:t>
      </w:r>
      <w:r>
        <w:rPr>
          <w:rFonts w:ascii="Times New Roman" w:cs="Times New Roman" w:eastAsia="Times New Roman" w:hAnsi="Times New Roman"/>
          <w:sz w:val="20"/>
          <w:szCs w:val="20"/>
          <w:color w:val="auto"/>
        </w:rPr>
        <w:t>EXCEPT AS SPECIFICALLY SET FORTH IN THIS SECTION 12, NEITHER PARTY MAKES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REPRESENTATION OR WARRANTY, EXPRESS OR IMPLIED, INCLUDING ANY IMPLIED WARRANTY OF MERCHANTABILITY, FITNESS FOR A PARTICULAR PURPOSE OR USE, NON-INFRINGEMENT AND ANY OTHER STATUTORY WARRANTY.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5" w:name="page226"/>
    <w:bookmarkEnd w:id="225"/>
    <w:p>
      <w:pPr>
        <w:ind w:left="760" w:hanging="752"/>
        <w:spacing w:after="0"/>
        <w:tabs>
          <w:tab w:leader="none" w:pos="76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13.1Indemnification by Seres</w:t>
      </w:r>
      <w:r>
        <w:rPr>
          <w:rFonts w:ascii="Times New Roman" w:cs="Times New Roman" w:eastAsia="Times New Roman" w:hAnsi="Times New Roman"/>
          <w:sz w:val="20"/>
          <w:szCs w:val="20"/>
          <w:color w:val="auto"/>
        </w:rPr>
        <w:t>. Seres shall indemnify, defend and hold GenIbet and its Affiliates, agents, employees, officers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(the “</w:t>
      </w:r>
      <w:r>
        <w:rPr>
          <w:rFonts w:ascii="Times New Roman" w:cs="Times New Roman" w:eastAsia="Times New Roman" w:hAnsi="Times New Roman"/>
          <w:sz w:val="20"/>
          <w:szCs w:val="20"/>
          <w:b w:val="1"/>
          <w:bCs w:val="1"/>
          <w:color w:val="auto"/>
        </w:rPr>
        <w:t>GenIbet Indemnitees</w:t>
      </w:r>
      <w:r>
        <w:rPr>
          <w:rFonts w:ascii="Times New Roman" w:cs="Times New Roman" w:eastAsia="Times New Roman" w:hAnsi="Times New Roman"/>
          <w:sz w:val="20"/>
          <w:szCs w:val="20"/>
          <w:color w:val="auto"/>
        </w:rPr>
        <w:t>”) harmless from and against any and all liability, damage, loss, cost or expense (including reasonable attorneys’ fees) arising out of third party claims or suits related to: (a) Seres’ performance of, or failure to perform, its obligations under this Agreement; (b) breach by Seres of any of its representations, warranties, covenants and undertakings under this Agreement; and (c) GenIbet’s use of the Seres Intellectual Property in the manner expressly permitted under this Agreement; provided, however, that Seres’ obligations pursuant to this Section 13.1 will not apply to the extent such claims or suits result from the acts or omissions of any of the GenIbet Indemnitees or to the extent such claims or suits are the responsibility of GenIbet under Section 13.2.</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13.2Indemnification by GenIbet</w:t>
      </w:r>
      <w:r>
        <w:rPr>
          <w:rFonts w:ascii="Times New Roman" w:cs="Times New Roman" w:eastAsia="Times New Roman" w:hAnsi="Times New Roman"/>
          <w:sz w:val="20"/>
          <w:szCs w:val="20"/>
          <w:color w:val="auto"/>
        </w:rPr>
        <w:t>. GenIbet shall indemnify, defend and hold Seres and its Affiliates and business partners,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respective agents, employees, officers and directors (the “</w:t>
      </w:r>
      <w:r>
        <w:rPr>
          <w:rFonts w:ascii="Times New Roman" w:cs="Times New Roman" w:eastAsia="Times New Roman" w:hAnsi="Times New Roman"/>
          <w:sz w:val="20"/>
          <w:szCs w:val="20"/>
          <w:b w:val="1"/>
          <w:bCs w:val="1"/>
          <w:color w:val="auto"/>
        </w:rPr>
        <w:t>Seres Indemnitees</w:t>
      </w:r>
      <w:r>
        <w:rPr>
          <w:rFonts w:ascii="Times New Roman" w:cs="Times New Roman" w:eastAsia="Times New Roman" w:hAnsi="Times New Roman"/>
          <w:sz w:val="20"/>
          <w:szCs w:val="20"/>
          <w:color w:val="auto"/>
        </w:rPr>
        <w:t>”) harmless from and against any and all liability, damage, loss, cost or expense (including reasonable attorneys’ fees) arising out of Third Party claims or suits related to: (a) GenIbet’s performance of, or failure to perform, its obligations under this Agreement; (b) breach by GenIbet of any of its representations, warranties, covenants and undertakings under this Agreement; and (c) [***].</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13.3Notification of Claim </w:t>
      </w:r>
      <w:r>
        <w:rPr>
          <w:rFonts w:ascii="Times New Roman" w:cs="Times New Roman" w:eastAsia="Times New Roman" w:hAnsi="Times New Roman"/>
          <w:sz w:val="20"/>
          <w:szCs w:val="20"/>
          <w:color w:val="auto"/>
        </w:rPr>
        <w:t>. A Party seeking indemnification shall: (a) promptly notify (“</w:t>
      </w:r>
      <w:r>
        <w:rPr>
          <w:rFonts w:ascii="Times New Roman" w:cs="Times New Roman" w:eastAsia="Times New Roman" w:hAnsi="Times New Roman"/>
          <w:sz w:val="20"/>
          <w:szCs w:val="20"/>
          <w:b w:val="1"/>
          <w:bCs w:val="1"/>
          <w:color w:val="auto"/>
        </w:rPr>
        <w:t>Claim Notice</w:t>
      </w:r>
      <w:r>
        <w:rPr>
          <w:rFonts w:ascii="Times New Roman" w:cs="Times New Roman" w:eastAsia="Times New Roman" w:hAnsi="Times New Roman"/>
          <w:sz w:val="20"/>
          <w:szCs w:val="20"/>
          <w:color w:val="auto"/>
        </w:rPr>
        <w:t>”) the indemnifying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soon as it becomes aware of a claim or suit for which indemnification may be sought pursuant hereto (provided that the failure to give a Claim Notice promptly shall not prejudice the rights of an indemnified Party except to the extent that the failure to give such prompt notice materially adversely affects the ability of the indemnifying Party to defend the claim or suit); (b) cooperate with the indemnifying Party in the defense of such claim or suit, at the expense of the indemnifying Party; and (c) if the indemnifying Party confirms in writing to the indemnified Party its intention to defend such claim or suit within [***] after receipt of the Claim Notice, permit the indemnifying Party to control the defense of such claim or suit, including without limitation the right to select defense counsel; provided that if the indemnifying Party fails to (i) provide such confirmation in writing within the [***] period; or (ii) diligently and reasonably defend such suit or claim at any time, its right to defend the claim or suit shall terminate immediately upon [***] written notice to the indemnifying Party and the indemnified Party may assume the defense of such claim or suit [***]. In no event, however, may the indemnifying Party [***].</w:t>
      </w:r>
    </w:p>
    <w:p>
      <w:pPr>
        <w:spacing w:after="0" w:line="182" w:lineRule="exact"/>
        <w:rPr>
          <w:sz w:val="20"/>
          <w:szCs w:val="20"/>
          <w:color w:val="auto"/>
        </w:rPr>
      </w:pPr>
    </w:p>
    <w:p>
      <w:pPr>
        <w:ind w:left="760" w:hanging="752"/>
        <w:spacing w:after="0"/>
        <w:tabs>
          <w:tab w:leader="none" w:pos="760"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14.1</w:t>
      </w:r>
      <w:r>
        <w:rPr>
          <w:rFonts w:ascii="Times New Roman" w:cs="Times New Roman" w:eastAsia="Times New Roman" w:hAnsi="Times New Roman"/>
          <w:sz w:val="20"/>
          <w:szCs w:val="20"/>
          <w:color w:val="auto"/>
        </w:rPr>
        <w:t>Any dispute arising out of or in connection with this Agreement, including any question regarding its existence, validity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shall be referred to and finally resolved by arbitration under the [***], which Rules are deemed to be incorporated by reference into this clause.</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14.2</w:t>
      </w:r>
      <w:r>
        <w:rPr>
          <w:rFonts w:ascii="Times New Roman" w:cs="Times New Roman" w:eastAsia="Times New Roman" w:hAnsi="Times New Roman"/>
          <w:sz w:val="20"/>
          <w:szCs w:val="20"/>
          <w:color w:val="auto"/>
        </w:rPr>
        <w:t>The number of arbitrators shall be [***]. The seat, or legal place, of arbitration shall be [***]. The language to be used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arbitral proceedings shall be English.</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14.3</w:t>
      </w:r>
      <w:r>
        <w:rPr>
          <w:rFonts w:ascii="Times New Roman" w:cs="Times New Roman" w:eastAsia="Times New Roman" w:hAnsi="Times New Roman"/>
          <w:sz w:val="20"/>
          <w:szCs w:val="20"/>
          <w:color w:val="auto"/>
        </w:rPr>
        <w:t>The Parties further consent to the jurisdiction of any state court located within a district that encompasses assets of a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which a judgment has been rendered for the enforcement of such judgment or award against the assets of such Party.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6" w:name="page227"/>
    <w:bookmarkEnd w:id="226"/>
    <w:p>
      <w:pPr>
        <w:ind w:left="760" w:hanging="752"/>
        <w:spacing w:after="0"/>
        <w:tabs>
          <w:tab w:leader="none" w:pos="76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15.1Term</w:t>
      </w:r>
      <w:r>
        <w:rPr>
          <w:rFonts w:ascii="Times New Roman" w:cs="Times New Roman" w:eastAsia="Times New Roman" w:hAnsi="Times New Roman"/>
          <w:sz w:val="20"/>
          <w:szCs w:val="20"/>
          <w:color w:val="auto"/>
        </w:rPr>
        <w:t>.  This Agreement will commence upon the Effective Date and shall continue in full force and effect for the period of</w:t>
      </w:r>
    </w:p>
    <w:p>
      <w:pPr>
        <w:spacing w:after="0" w:line="26" w:lineRule="exact"/>
        <w:rPr>
          <w:sz w:val="20"/>
          <w:szCs w:val="20"/>
          <w:color w:val="auto"/>
        </w:rPr>
      </w:pPr>
    </w:p>
    <w:p>
      <w:pPr>
        <w:ind w:right="20" w:firstLine="8"/>
        <w:spacing w:after="0" w:line="246" w:lineRule="auto"/>
        <w:tabs>
          <w:tab w:leader="none" w:pos="48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Effective Date, unless terminated earlier in accordance with this Agreement or extended in accordance with this Section 15.1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Seres may extend the Term [***] on the then-current terms and conditions.</w:t>
      </w:r>
    </w:p>
    <w:p>
      <w:pPr>
        <w:spacing w:after="0" w:line="178"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15.2Termination for Convenience</w:t>
      </w:r>
      <w:r>
        <w:rPr>
          <w:rFonts w:ascii="Times New Roman" w:cs="Times New Roman" w:eastAsia="Times New Roman" w:hAnsi="Times New Roman"/>
          <w:sz w:val="20"/>
          <w:szCs w:val="20"/>
          <w:color w:val="auto"/>
        </w:rPr>
        <w:t>. Subject to the early termination fees in Section 15.3 of this Agreement, Seres may terminate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15.3Early Termination Fees. </w:t>
      </w:r>
      <w:r>
        <w:rPr>
          <w:rFonts w:ascii="Times New Roman" w:cs="Times New Roman" w:eastAsia="Times New Roman" w:hAnsi="Times New Roman"/>
          <w:sz w:val="20"/>
          <w:szCs w:val="20"/>
          <w:color w:val="auto"/>
        </w:rPr>
        <w:t>In the event that Seres terminates the Agreement under Section 15.2 prior to the third anniversary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 Date has expired, the following early termination fees will apply:</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15.3.1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15.3.2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15.3.3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15.4Termination for Cause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15.4.1</w:t>
      </w:r>
      <w:r>
        <w:rPr>
          <w:rFonts w:ascii="Times New Roman" w:cs="Times New Roman" w:eastAsia="Times New Roman" w:hAnsi="Times New Roman"/>
          <w:sz w:val="20"/>
          <w:szCs w:val="20"/>
          <w:color w:val="auto"/>
        </w:rPr>
        <w:t>Seres may terminate this Agreement upon a date set forth in a notice of termination if GenIbet breaches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obligation under this Agreement and fails to cure it within [***] after notice of termination by Seres. Any such notice shall describe, in detail, the breach of the material obligation.</w:t>
      </w:r>
    </w:p>
    <w:p>
      <w:pPr>
        <w:spacing w:after="0" w:line="169"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15.4.2</w:t>
      </w:r>
      <w:r>
        <w:rPr>
          <w:rFonts w:ascii="Times New Roman" w:cs="Times New Roman" w:eastAsia="Times New Roman" w:hAnsi="Times New Roman"/>
          <w:sz w:val="20"/>
          <w:szCs w:val="20"/>
          <w:color w:val="auto"/>
        </w:rPr>
        <w:t>GenIbet may terminate this Agreement upon a date set forth in a notice of termination if Seres fails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payment in accordance with Section 10.3 and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 xml:space="preserve"> and fails to cure such failure within [***] after notice of termination.</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15.5Termination for Insolvency</w:t>
      </w:r>
      <w:r>
        <w:rPr>
          <w:rFonts w:ascii="Times New Roman" w:cs="Times New Roman" w:eastAsia="Times New Roman" w:hAnsi="Times New Roman"/>
          <w:sz w:val="20"/>
          <w:szCs w:val="20"/>
          <w:color w:val="auto"/>
        </w:rPr>
        <w:t>. To the extent permitted under Applicable Law, within [***] after receiving notice of any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events, GenIbet with respect to Seres, and Seres with respect to GenIbet, shall have the right to terminate this Agreement forthwith on written notice: (a) dissolving or ceasing to do business; (b) making an assignment for the benefit of creditors; (c) being subject to the institution of insolvency, receivership, bankruptcy or other proceedings for settlement of debts, provided such proceedings have not been vacated within [***] and are being actively contested by such other Party; or (d) effecting a reorganization of its business or affairs using any creditor protection legislation.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15.6Termination for Change of Control</w:t>
      </w:r>
      <w:r>
        <w:rPr>
          <w:rFonts w:ascii="Times New Roman" w:cs="Times New Roman" w:eastAsia="Times New Roman" w:hAnsi="Times New Roman"/>
          <w:sz w:val="20"/>
          <w:szCs w:val="20"/>
          <w:color w:val="auto"/>
        </w:rPr>
        <w:t>. Seres may [***] if there is a Change of Control of GenIbet.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15.7Effect of Expiration or Termination.</w:t>
      </w:r>
    </w:p>
    <w:p>
      <w:pPr>
        <w:spacing w:after="0" w:line="216" w:lineRule="exact"/>
        <w:rPr>
          <w:sz w:val="20"/>
          <w:szCs w:val="20"/>
          <w:color w:val="auto"/>
        </w:rPr>
      </w:pPr>
    </w:p>
    <w:p>
      <w:pPr>
        <w:jc w:val="both"/>
        <w:ind w:left="12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1.1.1</w:t>
      </w:r>
      <w:r>
        <w:rPr>
          <w:rFonts w:ascii="Times New Roman" w:cs="Times New Roman" w:eastAsia="Times New Roman" w:hAnsi="Times New Roman"/>
          <w:sz w:val="20"/>
          <w:szCs w:val="20"/>
          <w:color w:val="auto"/>
        </w:rPr>
        <w:t>In the event of termination or expiration of this Agreement, the Parties will endeavor to transition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services and technology transfer in such a manner as to not cause unreasonable inconvenience to either Party. The Parties will reasonably cooperate during such period to continue any such ongoing services and GenIbet shall perform such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7" w:name="page228"/>
    <w:bookmarkEnd w:id="227"/>
    <w:p>
      <w:pPr>
        <w:jc w:val="both"/>
        <w:ind w:left="1200" w:right="20"/>
        <w:spacing w:after="0" w:line="269" w:lineRule="auto"/>
        <w:rPr>
          <w:sz w:val="20"/>
          <w:szCs w:val="20"/>
          <w:color w:val="auto"/>
        </w:rPr>
      </w:pPr>
      <w:r>
        <w:rPr>
          <w:rFonts w:ascii="Times New Roman" w:cs="Times New Roman" w:eastAsia="Times New Roman" w:hAnsi="Times New Roman"/>
          <w:sz w:val="20"/>
          <w:szCs w:val="20"/>
          <w:color w:val="auto"/>
        </w:rPr>
        <w:t>functions reasonably necessary or required in connection with the orderly wind-down of any active project as required by the terms of this Agreement and Applicable Law.</w:t>
      </w:r>
    </w:p>
    <w:p>
      <w:pPr>
        <w:spacing w:after="0" w:line="155" w:lineRule="exact"/>
        <w:rPr>
          <w:sz w:val="20"/>
          <w:szCs w:val="20"/>
          <w:color w:val="auto"/>
        </w:rPr>
      </w:pPr>
    </w:p>
    <w:p>
      <w:pPr>
        <w:jc w:val="both"/>
        <w:ind w:left="12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1.1.1</w:t>
      </w:r>
      <w:r>
        <w:rPr>
          <w:rFonts w:ascii="Times New Roman" w:cs="Times New Roman" w:eastAsia="Times New Roman" w:hAnsi="Times New Roman"/>
          <w:sz w:val="20"/>
          <w:szCs w:val="20"/>
          <w:color w:val="auto"/>
        </w:rPr>
        <w:t>Promptly upon a termination of this Agreement or at the request of the disclosing Party, the receiving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return to the disclosing Party all Confidential Information of the disclosing Party in its possession, except for one copy that may be retained solely for archive purposes in a confidential legal file. Furthermore, GenIbet shall promptly return all Seres-supplied Materials, Seres-supplied or paid-for equipment (including the Specialized Equipment), records, Product, retained samples, reference standards, data, reports and other property, information and/or know-how in recorded form that was provided by Seres, or generated in the performance of the services under this Agreement, that are owned by or licensed to Seres, excepting that required to be retained by Applicable Law, litigation holds or for regulatory compliance.</w:t>
      </w:r>
    </w:p>
    <w:p>
      <w:pPr>
        <w:spacing w:after="0" w:line="179"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1.1.2</w:t>
      </w:r>
      <w:r>
        <w:rPr>
          <w:rFonts w:ascii="Times New Roman" w:cs="Times New Roman" w:eastAsia="Times New Roman" w:hAnsi="Times New Roman"/>
          <w:sz w:val="20"/>
          <w:szCs w:val="20"/>
          <w:color w:val="auto"/>
        </w:rPr>
        <w:t>In the event of termination by GenIbet pursuant to Section 15.4 (Termination for Cause), Seres shall pay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GenIbet for Manufacturing and other services completed up to the effective date of such termination within [***] of Seres' receipt of all results, reports, data, samples, and other deliverables to be provided pursuant to this Agreement. In the event the funds received by GenIbet prior to such termination exceed costs incurred to the date of termination, GenIbet shall refund the difference to Seres within [***] after the effective date of termination.</w:t>
      </w:r>
    </w:p>
    <w:p>
      <w:pPr>
        <w:spacing w:after="0" w:line="180" w:lineRule="exact"/>
        <w:rPr>
          <w:sz w:val="20"/>
          <w:szCs w:val="20"/>
          <w:color w:val="auto"/>
        </w:rPr>
      </w:pPr>
    </w:p>
    <w:p>
      <w:pPr>
        <w:jc w:val="both"/>
        <w:ind w:left="120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1.1.3</w:t>
      </w:r>
      <w:r>
        <w:rPr>
          <w:rFonts w:ascii="Times New Roman" w:cs="Times New Roman" w:eastAsia="Times New Roman" w:hAnsi="Times New Roman"/>
          <w:sz w:val="20"/>
          <w:szCs w:val="20"/>
          <w:color w:val="auto"/>
        </w:rPr>
        <w:t>Upon any termination of this Agreement other than for GenIbet’s material breach, Seres: (i) shall purchase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GenIbet any existing inventories of Product conforming to the Master Batch Record and Manufactured in accordance with cGMP and the Master Batch Record, at the then-current per-Batch charge for the Manufacture of such Product under Section 3 of </w:t>
      </w:r>
      <w:r>
        <w:rPr>
          <w:rFonts w:ascii="Times New Roman" w:cs="Times New Roman" w:eastAsia="Times New Roman" w:hAnsi="Times New Roman"/>
          <w:sz w:val="20"/>
          <w:szCs w:val="20"/>
          <w:u w:val="single" w:color="auto"/>
          <w:color w:val="auto"/>
        </w:rPr>
        <w:t>Exhibit 4</w:t>
      </w:r>
      <w:r>
        <w:rPr>
          <w:rFonts w:ascii="Times New Roman" w:cs="Times New Roman" w:eastAsia="Times New Roman" w:hAnsi="Times New Roman"/>
          <w:sz w:val="20"/>
          <w:szCs w:val="20"/>
          <w:color w:val="auto"/>
        </w:rPr>
        <w:t xml:space="preserve">; and (ii) may either: (a) purchase any Product in process held by GenIbet as of the date of the termination, at a price to be mutually agreed (it being understood that such price shall reflect,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work performed and non-cancelable, out-of-pocket expenses actually incurred by GenIbet with respect to the Manufacture of such in-process Product); or (b) reimburse GenIbet for all work performed and non-cancelable costs, and out-of-pocket expenses incurred by GenIbet and direct GenIbet to dispose of such material at [***] cost.</w:t>
      </w:r>
    </w:p>
    <w:p>
      <w:pPr>
        <w:spacing w:after="0" w:line="182" w:lineRule="exact"/>
        <w:rPr>
          <w:sz w:val="20"/>
          <w:szCs w:val="20"/>
          <w:color w:val="auto"/>
        </w:rPr>
      </w:pPr>
    </w:p>
    <w:p>
      <w:pPr>
        <w:jc w:val="both"/>
        <w:ind w:left="12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1.1.4</w:t>
      </w:r>
      <w:r>
        <w:rPr>
          <w:rFonts w:ascii="Times New Roman" w:cs="Times New Roman" w:eastAsia="Times New Roman" w:hAnsi="Times New Roman"/>
          <w:sz w:val="20"/>
          <w:szCs w:val="20"/>
          <w:color w:val="auto"/>
        </w:rPr>
        <w:t>Upon a termination of this Agreement under Section 15.6, GenIbet (or its successor) shall: (i) continue to fill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orders for Products submitted during the Run-Down Period; and (ii) fill a final order (the “</w:t>
      </w:r>
      <w:r>
        <w:rPr>
          <w:rFonts w:ascii="Times New Roman" w:cs="Times New Roman" w:eastAsia="Times New Roman" w:hAnsi="Times New Roman"/>
          <w:sz w:val="20"/>
          <w:szCs w:val="20"/>
          <w:b w:val="1"/>
          <w:bCs w:val="1"/>
          <w:color w:val="auto"/>
        </w:rPr>
        <w:t>Last Time Buy</w:t>
      </w:r>
      <w:r>
        <w:rPr>
          <w:rFonts w:ascii="Times New Roman" w:cs="Times New Roman" w:eastAsia="Times New Roman" w:hAnsi="Times New Roman"/>
          <w:sz w:val="20"/>
          <w:szCs w:val="20"/>
          <w:color w:val="auto"/>
        </w:rPr>
        <w:t>”) for Products notwithstanding the then-current forecast. GenIbet or its successor will maintain the ability to produce up to 24 Drug Substance and 24 Drug Product lots for a Last Time Buy during the Run-Down Period. The “</w:t>
      </w:r>
      <w:r>
        <w:rPr>
          <w:rFonts w:ascii="Times New Roman" w:cs="Times New Roman" w:eastAsia="Times New Roman" w:hAnsi="Times New Roman"/>
          <w:sz w:val="20"/>
          <w:szCs w:val="20"/>
          <w:b w:val="1"/>
          <w:bCs w:val="1"/>
          <w:color w:val="auto"/>
        </w:rPr>
        <w:t>Run-Down Period</w:t>
      </w:r>
      <w:r>
        <w:rPr>
          <w:rFonts w:ascii="Times New Roman" w:cs="Times New Roman" w:eastAsia="Times New Roman" w:hAnsi="Times New Roman"/>
          <w:sz w:val="20"/>
          <w:szCs w:val="20"/>
          <w:color w:val="auto"/>
        </w:rPr>
        <w:t>” means the 12 month period commencing on the effective date of termination.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1.2Survival</w:t>
      </w:r>
      <w:r>
        <w:rPr>
          <w:rFonts w:ascii="Times New Roman" w:cs="Times New Roman" w:eastAsia="Times New Roman" w:hAnsi="Times New Roman"/>
          <w:sz w:val="20"/>
          <w:szCs w:val="20"/>
          <w:color w:val="auto"/>
        </w:rPr>
        <w:t>. The following Sections of this Agreement shall survive its termination for any reason: 2.1.4, 2.3, 6.6, 7, 9, 10, 11, 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 14, 15, 16, 17.3, 17.5, 17.6, 17.7, 17.8, 17.9, 17.10, 17.11, and 17.12.</w:t>
      </w:r>
    </w:p>
    <w:p>
      <w:pPr>
        <w:spacing w:after="0" w:line="190" w:lineRule="exact"/>
        <w:rPr>
          <w:sz w:val="20"/>
          <w:szCs w:val="20"/>
          <w:color w:val="auto"/>
        </w:rPr>
      </w:pPr>
    </w:p>
    <w:p>
      <w:pPr>
        <w:ind w:left="760" w:hanging="752"/>
        <w:spacing w:after="0"/>
        <w:tabs>
          <w:tab w:leader="none" w:pos="76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15" w:lineRule="exact"/>
        <w:rPr>
          <w:rFonts w:ascii="Times New Roman" w:cs="Times New Roman" w:eastAsia="Times New Roman" w:hAnsi="Times New Roman"/>
          <w:sz w:val="20"/>
          <w:szCs w:val="20"/>
          <w:b w:val="1"/>
          <w:bCs w:val="1"/>
          <w:color w:val="auto"/>
        </w:rPr>
      </w:pPr>
    </w:p>
    <w:p>
      <w:pPr>
        <w:ind w:left="1960" w:right="3700" w:hanging="1198"/>
        <w:spacing w:after="0" w:line="46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15.8</w:t>
      </w:r>
      <w:r>
        <w:rPr>
          <w:rFonts w:ascii="Times New Roman" w:cs="Times New Roman" w:eastAsia="Times New Roman" w:hAnsi="Times New Roman"/>
          <w:sz w:val="20"/>
          <w:szCs w:val="20"/>
          <w:color w:val="auto"/>
        </w:rPr>
        <w:t>GenIbet shall provide the following insurance coverage in the amounts specified:</w:t>
      </w:r>
      <w:r>
        <w:rPr>
          <w:rFonts w:ascii="Times New Roman" w:cs="Times New Roman" w:eastAsia="Times New Roman" w:hAnsi="Times New Roman"/>
          <w:sz w:val="20"/>
          <w:szCs w:val="20"/>
          <w:b w:val="1"/>
          <w:bCs w:val="1"/>
          <w:color w:val="auto"/>
        </w:rPr>
        <w:t xml:space="preserve"> 2.1.1</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8" w:name="page229"/>
    <w:bookmarkEnd w:id="228"/>
    <w:p>
      <w:pPr>
        <w:ind w:left="1960"/>
        <w:spacing w:after="0"/>
        <w:rPr>
          <w:sz w:val="20"/>
          <w:szCs w:val="20"/>
          <w:color w:val="auto"/>
        </w:rPr>
      </w:pPr>
      <w:r>
        <w:rPr>
          <w:rFonts w:ascii="Times New Roman" w:cs="Times New Roman" w:eastAsia="Times New Roman" w:hAnsi="Times New Roman"/>
          <w:sz w:val="20"/>
          <w:szCs w:val="20"/>
          <w:b w:val="1"/>
          <w:bCs w:val="1"/>
          <w:color w:val="auto"/>
        </w:rPr>
        <w:t>2.1.2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2.1.3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15.9</w:t>
      </w:r>
      <w:r>
        <w:rPr>
          <w:rFonts w:ascii="Times New Roman" w:cs="Times New Roman" w:eastAsia="Times New Roman" w:hAnsi="Times New Roman"/>
          <w:sz w:val="20"/>
          <w:szCs w:val="20"/>
          <w:color w:val="auto"/>
        </w:rPr>
        <w:t>The foregoing insurance covers shall be primary and non-contributing with respect to any other insurance or self-insurance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maintained by Seres and its Affiliates. [***]. GenIbet shall cause its insurers to issue a letter from the applicable insurer that evidences that the covers and policy endorsements required under this Agreement are maintained in force. The insurers selected by GenIbet shall have an [***] rating of [***] or better.</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15.10</w:t>
      </w:r>
      <w:r>
        <w:rPr>
          <w:rFonts w:ascii="Times New Roman" w:cs="Times New Roman" w:eastAsia="Times New Roman" w:hAnsi="Times New Roman"/>
          <w:sz w:val="20"/>
          <w:szCs w:val="20"/>
          <w:color w:val="auto"/>
        </w:rPr>
        <w:t>In the event that any of the required policies of insurance are written on a claims made basis, then such policies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during the entire Term and for a period of not less than [***] following the termination or expiration of the Term. During the Term and such [***] period, GenIbet shall use Commercially Reasonable Efforts not to permit any insurance set forth in Section 16.1 to be reduced, expired or canceled without the prior written consent of Seres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hanging="752"/>
        <w:spacing w:after="0"/>
        <w:tabs>
          <w:tab w:leader="none" w:pos="76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3.1Independent Contractors</w:t>
      </w:r>
      <w:r>
        <w:rPr>
          <w:rFonts w:ascii="Times New Roman" w:cs="Times New Roman" w:eastAsia="Times New Roman" w:hAnsi="Times New Roman"/>
          <w:sz w:val="19"/>
          <w:szCs w:val="19"/>
          <w:color w:val="auto"/>
        </w:rPr>
        <w:t>. This Agreement does not create a joint venture, partnership, employment relationship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agency relationship between the Parties or their Affiliates. Neither Party shall be obligated with respect to any transaction and no obligation or rights or liabilities of any kind whatsoever are created (or shall be deemed to be created) as a result of this Agreement, or any other written or oral statement or any further actions by the Parties, except in the case of this Agreement for the provisions expressly contained herein.</w:t>
      </w:r>
    </w:p>
    <w:p>
      <w:pPr>
        <w:spacing w:after="0" w:line="15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3.2Assignment</w:t>
      </w:r>
      <w:r>
        <w:rPr>
          <w:rFonts w:ascii="Times New Roman" w:cs="Times New Roman" w:eastAsia="Times New Roman" w:hAnsi="Times New Roman"/>
          <w:sz w:val="20"/>
          <w:szCs w:val="20"/>
          <w:color w:val="auto"/>
        </w:rPr>
        <w:t>. Except to the extent and in the manner provided in this Section 17.2, the Parties agree that their rights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under this Agreement may not be transferred or assigned to a third party without the prior written consent of the other Parties, which consent may be withheld in each such other Party’s sole discretion. Any assignment not in conformance with this Section 17.2 shall be null, void and of no legal effect. Notwithstanding the foregoing:</w:t>
      </w:r>
    </w:p>
    <w:p>
      <w:pPr>
        <w:spacing w:after="0" w:line="176" w:lineRule="exact"/>
        <w:rPr>
          <w:sz w:val="20"/>
          <w:szCs w:val="20"/>
          <w:color w:val="auto"/>
        </w:rPr>
      </w:pPr>
    </w:p>
    <w:p>
      <w:pPr>
        <w:jc w:val="both"/>
        <w:ind w:left="12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3.2.1</w:t>
      </w:r>
      <w:r>
        <w:rPr>
          <w:rFonts w:ascii="Times New Roman" w:cs="Times New Roman" w:eastAsia="Times New Roman" w:hAnsi="Times New Roman"/>
          <w:sz w:val="20"/>
          <w:szCs w:val="20"/>
          <w:color w:val="auto"/>
        </w:rPr>
        <w:t>a Party may transfer or assign its rights and obligations under this Agreement, without consent, to a successor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or substantially all of its business or assets relating to this Agreement whether by sale, merger, operation of law or otherwise;</w:t>
      </w:r>
    </w:p>
    <w:p>
      <w:pPr>
        <w:spacing w:after="0" w:line="1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b w:val="1"/>
          <w:bCs w:val="1"/>
          <w:color w:val="auto"/>
        </w:rPr>
        <w:t>3.2.2</w:t>
      </w:r>
      <w:r>
        <w:rPr>
          <w:rFonts w:ascii="Times New Roman" w:cs="Times New Roman" w:eastAsia="Times New Roman" w:hAnsi="Times New Roman"/>
          <w:sz w:val="19"/>
          <w:szCs w:val="19"/>
          <w:color w:val="auto"/>
        </w:rPr>
        <w:t>Seres may transfer or assign its rights and obligations under this Agreement without consent to an Affiliate; and</w:t>
      </w:r>
    </w:p>
    <w:p>
      <w:pPr>
        <w:spacing w:after="0" w:line="227" w:lineRule="exact"/>
        <w:rPr>
          <w:sz w:val="20"/>
          <w:szCs w:val="20"/>
          <w:color w:val="auto"/>
        </w:rPr>
      </w:pPr>
    </w:p>
    <w:p>
      <w:pPr>
        <w:jc w:val="both"/>
        <w:ind w:left="1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3.2.3</w:t>
      </w:r>
      <w:r>
        <w:rPr>
          <w:rFonts w:ascii="Times New Roman" w:cs="Times New Roman" w:eastAsia="Times New Roman" w:hAnsi="Times New Roman"/>
          <w:sz w:val="20"/>
          <w:szCs w:val="20"/>
          <w:color w:val="auto"/>
        </w:rPr>
        <w:t>GenIbet may transfer or assign its rights and obligations under this Agreement without consent to an Affiliate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at least as creditworthy as GenIbet.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3.3Further Actions</w:t>
      </w:r>
      <w:r>
        <w:rPr>
          <w:rFonts w:ascii="Times New Roman" w:cs="Times New Roman" w:eastAsia="Times New Roman" w:hAnsi="Times New Roman"/>
          <w:sz w:val="20"/>
          <w:szCs w:val="20"/>
          <w:color w:val="auto"/>
        </w:rPr>
        <w:t>. Each Party agrees to execute, acknowledge and deliver such further instruments and to do all such other acts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may be necessary or appropriate in order to carry out the express provisions of this Agreement.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3.4Force Majeure</w:t>
      </w:r>
      <w:r>
        <w:rPr>
          <w:rFonts w:ascii="Times New Roman" w:cs="Times New Roman" w:eastAsia="Times New Roman" w:hAnsi="Times New Roman"/>
          <w:sz w:val="20"/>
          <w:szCs w:val="20"/>
          <w:color w:val="auto"/>
        </w:rPr>
        <w:t>. Neither Party shall be liable to the other Party for failure or delay in the performance of any of its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Agreement for the time and to the extent such failure or delay is caused by earthquake, riot, civil commotion, war, terrorist acts, flood, the other Party’s non-performance, or other event that is both beyond the reasonable control of the respective Party and could not be avoided through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9" w:name="page230"/>
    <w:bookmarkEnd w:id="229"/>
    <w:p>
      <w:pPr>
        <w:jc w:val="both"/>
        <w:spacing w:after="0" w:line="243" w:lineRule="auto"/>
        <w:rPr>
          <w:sz w:val="20"/>
          <w:szCs w:val="20"/>
          <w:color w:val="auto"/>
        </w:rPr>
      </w:pPr>
      <w:r>
        <w:rPr>
          <w:rFonts w:ascii="Times New Roman" w:cs="Times New Roman" w:eastAsia="Times New Roman" w:hAnsi="Times New Roman"/>
          <w:sz w:val="20"/>
          <w:szCs w:val="20"/>
          <w:color w:val="auto"/>
        </w:rPr>
        <w:t>reasonable precautions. The Party affected by such force majeure event will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as soon as practicable. If there is a force majeure event, the Party affected by the force majeure event is excused from any default or delay for as long as and to the extent that: (i) such circumstances prevail; (ii) the affected Party is not at fault in causing the force majeure event and could not have avoided the default or delay through the use of reasonable precautions; (iii) the affected Party continues to use its Commercially Reasonable Efforts to recommence performance. If the performance by GenIbet of any obligation under this Agreement is delayed owing to a force majeure for any continuous period of more than [***], Seres shall have the right to either (i) [***]; or (ii) [***].</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3.5Entire Agreement of the Parties; Amendments; Waiver</w:t>
      </w:r>
      <w:r>
        <w:rPr>
          <w:rFonts w:ascii="Times New Roman" w:cs="Times New Roman" w:eastAsia="Times New Roman" w:hAnsi="Times New Roman"/>
          <w:sz w:val="20"/>
          <w:szCs w:val="20"/>
          <w:color w:val="auto"/>
        </w:rPr>
        <w:t>. This Agreement constitutes and contains the entire understanding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agreement of the Parties respecting the subject matter hereof and cancels and supersedes any and all prior and contemporaneous negotiations, correspondence, understandings and agreements between the Parties, whether oral or written, regarding such subject matter. No waiver, modification or amendment of this Agreement will be valid or effective unless made in writing and signed by each of the Parties. No waiver, modification or amendment of any other provision of this Agreement will be valid or effective unless made in writing and signed by both Parties. A waiver by either Party of any of the terms and conditions of this Agreement in any instance will not be deemed or construed to be a waiver of such term or condition for the future, or of any subsequent breach hereof.</w:t>
      </w:r>
    </w:p>
    <w:p>
      <w:pPr>
        <w:spacing w:after="0" w:line="17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3.6Captions</w:t>
      </w:r>
      <w:r>
        <w:rPr>
          <w:rFonts w:ascii="Times New Roman" w:cs="Times New Roman" w:eastAsia="Times New Roman" w:hAnsi="Times New Roman"/>
          <w:sz w:val="20"/>
          <w:szCs w:val="20"/>
          <w:color w:val="auto"/>
        </w:rPr>
        <w:t>. The captions to this Agreement are for convenience only, and are to be of no force or effect in construing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interpreting any of the provisions of this Agreement.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3.7Governing Law</w:t>
      </w:r>
      <w:r>
        <w:rPr>
          <w:rFonts w:ascii="Times New Roman" w:cs="Times New Roman" w:eastAsia="Times New Roman" w:hAnsi="Times New Roman"/>
          <w:sz w:val="20"/>
          <w:szCs w:val="20"/>
          <w:color w:val="auto"/>
        </w:rPr>
        <w:t>. This Agreement shall be governed by, and construed and interpreted, in accordance with the internal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 without giving effect to any choice of law rule that would cause the application of the laws of any jurisdiction. It is hereby agreed that the United Nations’ Convention on Contracts for the International Sale of goods shall have no application to this Agreement and it is hereby specifically excluded.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3.8Notices and Deliveries</w:t>
      </w:r>
      <w:r>
        <w:rPr>
          <w:rFonts w:ascii="Times New Roman" w:cs="Times New Roman" w:eastAsia="Times New Roman" w:hAnsi="Times New Roman"/>
          <w:sz w:val="20"/>
          <w:szCs w:val="20"/>
          <w:color w:val="auto"/>
        </w:rPr>
        <w:t>. Any notice, request, delivery, approval or consent required or permitted to be given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 will be in writing and will be deemed to have been sufficiently given if delivered in person, transmitted by facsimile (receipt verified) or by express courier service (signature required) or [***] after it was sent by registered letter, return receipt requested (or its equivalent),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postal strike or other disruption is then in effect or comes into effect within [***] after such mailing, to the Party to which it is directed at its address or facsimile number shown below or such other address or facsimile number as such Party will have last given by notice to the other Parties.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to Seres, addressed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Seres Therapeutics, Inc.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215 First St., Suite 100</w:t>
      </w:r>
    </w:p>
    <w:p>
      <w:pPr>
        <w:ind w:left="1500"/>
        <w:spacing w:after="0"/>
        <w:rPr>
          <w:sz w:val="20"/>
          <w:szCs w:val="20"/>
          <w:color w:val="auto"/>
        </w:rPr>
      </w:pPr>
      <w:r>
        <w:rPr>
          <w:rFonts w:ascii="Times New Roman" w:cs="Times New Roman" w:eastAsia="Times New Roman" w:hAnsi="Times New Roman"/>
          <w:sz w:val="20"/>
          <w:szCs w:val="20"/>
          <w:color w:val="auto"/>
        </w:rPr>
        <w:t>Cambridge, MA 02142, USA</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Fax:+16179450268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0" w:name="page231"/>
    <w:bookmarkEnd w:id="230"/>
    <w:p>
      <w:pPr>
        <w:ind w:left="760"/>
        <w:spacing w:after="0"/>
        <w:rPr>
          <w:sz w:val="20"/>
          <w:szCs w:val="20"/>
          <w:color w:val="auto"/>
        </w:rPr>
      </w:pPr>
      <w:r>
        <w:rPr>
          <w:rFonts w:ascii="Times New Roman" w:cs="Times New Roman" w:eastAsia="Times New Roman" w:hAnsi="Times New Roman"/>
          <w:sz w:val="20"/>
          <w:szCs w:val="20"/>
          <w:color w:val="auto"/>
        </w:rPr>
        <w:t>If to GenIbet, addressed to:</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GenIbet Biopharmaceuticals</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Estação Agronómica Nacional</w:t>
      </w:r>
    </w:p>
    <w:p>
      <w:pPr>
        <w:ind w:left="1500"/>
        <w:spacing w:after="0"/>
        <w:rPr>
          <w:sz w:val="20"/>
          <w:szCs w:val="20"/>
          <w:color w:val="auto"/>
        </w:rPr>
      </w:pPr>
      <w:r>
        <w:rPr>
          <w:rFonts w:ascii="Times New Roman" w:cs="Times New Roman" w:eastAsia="Times New Roman" w:hAnsi="Times New Roman"/>
          <w:sz w:val="20"/>
          <w:szCs w:val="20"/>
          <w:color w:val="auto"/>
        </w:rPr>
        <w:t>Avenida da Rebública, 2780-157 Oeiras,Portugal</w:t>
      </w:r>
    </w:p>
    <w:p>
      <w:pPr>
        <w:ind w:left="1500"/>
        <w:spacing w:after="0"/>
        <w:rPr>
          <w:sz w:val="20"/>
          <w:szCs w:val="20"/>
          <w:color w:val="auto"/>
        </w:rPr>
      </w:pPr>
      <w:r>
        <w:rPr>
          <w:rFonts w:ascii="Times New Roman" w:cs="Times New Roman" w:eastAsia="Times New Roman" w:hAnsi="Times New Roman"/>
          <w:sz w:val="20"/>
          <w:szCs w:val="20"/>
          <w:color w:val="auto"/>
        </w:rPr>
        <w:t>Attention: [***]</w:t>
      </w:r>
    </w:p>
    <w:p>
      <w:pPr>
        <w:ind w:left="1500"/>
        <w:spacing w:after="0"/>
        <w:rPr>
          <w:sz w:val="20"/>
          <w:szCs w:val="20"/>
          <w:color w:val="auto"/>
        </w:rPr>
      </w:pPr>
      <w:r>
        <w:rPr>
          <w:rFonts w:ascii="Times New Roman" w:cs="Times New Roman" w:eastAsia="Times New Roman" w:hAnsi="Times New Roman"/>
          <w:sz w:val="20"/>
          <w:szCs w:val="20"/>
          <w:color w:val="auto"/>
        </w:rPr>
        <w:t>Fax:+351214469480</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3.9No Consequential Damages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0" w:firstLine="749"/>
        <w:spacing w:after="0" w:line="264" w:lineRule="auto"/>
        <w:rPr>
          <w:sz w:val="20"/>
          <w:szCs w:val="20"/>
          <w:color w:val="auto"/>
        </w:rPr>
      </w:pPr>
      <w:r>
        <w:rPr>
          <w:rFonts w:ascii="Times New Roman" w:cs="Times New Roman" w:eastAsia="Times New Roman" w:hAnsi="Times New Roman"/>
          <w:sz w:val="19"/>
          <w:szCs w:val="19"/>
          <w:b w:val="1"/>
          <w:bCs w:val="1"/>
          <w:color w:val="auto"/>
        </w:rPr>
        <w:t>3.9.1</w:t>
      </w:r>
      <w:r>
        <w:rPr>
          <w:rFonts w:ascii="Times New Roman" w:cs="Times New Roman" w:eastAsia="Times New Roman" w:hAnsi="Times New Roman"/>
          <w:sz w:val="19"/>
          <w:szCs w:val="19"/>
          <w:color w:val="auto"/>
        </w:rPr>
        <w:t>SUBJECT TO SECTION 17.9.2, IN NO EVENT WILL ANY PARTY OR ANY OF ITS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BE LIABLE TO THE ANY OTHER PARTY OR ANY OF ITS AFFILIATES FOR: (I) SPECIAL, INDIRECT, CONSEQUENTIAL OR PUNITIVE DAMAGES, WHETHER IN CONTRACT, WARRANTY, TORT, NEGLIGENCE, STRICT LIABILITY OR OTHERWISE, INCLUDING BUT NOT LIMITED TO, LOSS OF PROFITS OR REVENUE; OR (II) DIRECT DAMAGES IN EXCESS OF THE AMOUNTS PAID OR PAYABLE UNDER THIS AGREEMENT.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b w:val="1"/>
          <w:bCs w:val="1"/>
          <w:color w:val="auto"/>
        </w:rPr>
        <w:t>15.10.1</w:t>
      </w:r>
      <w:r>
        <w:rPr>
          <w:rFonts w:ascii="Times New Roman" w:cs="Times New Roman" w:eastAsia="Times New Roman" w:hAnsi="Times New Roman"/>
          <w:sz w:val="20"/>
          <w:szCs w:val="20"/>
          <w:color w:val="auto"/>
        </w:rPr>
        <w:t>Section 17.9.1 shall not apply to a Party’s obligations under [***].</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3.10Cumulative Remedies</w:t>
      </w:r>
      <w:r>
        <w:rPr>
          <w:rFonts w:ascii="Times New Roman" w:cs="Times New Roman" w:eastAsia="Times New Roman" w:hAnsi="Times New Roman"/>
          <w:sz w:val="20"/>
          <w:szCs w:val="20"/>
          <w:color w:val="auto"/>
        </w:rPr>
        <w:t>. All rights, remedies, undertakings, obligations and agreements contained in this Agreement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cumulative and none of them will be in limitation of any other remedy, right, undertaking, obligation or agreement of either Party.</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3.11Severability</w:t>
      </w:r>
      <w:r>
        <w:rPr>
          <w:rFonts w:ascii="Times New Roman" w:cs="Times New Roman" w:eastAsia="Times New Roman" w:hAnsi="Times New Roman"/>
          <w:sz w:val="20"/>
          <w:szCs w:val="20"/>
          <w:color w:val="auto"/>
        </w:rPr>
        <w:t>. When possible, each provision of this Agreement will be interpreted in such manner as to be effective and 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Applicable Law, but if any provision of this Agreement is held to be prohibited by or invalid under Applicable Law, such provision will be ineffective only to the extent of such prohibition or invalidity, without invalidating the remainder of this Agreement. The Parties will make a good faith effort to replace the invalid or unenforceable provision with a valid one so long as the essential benefits of this Agreement remain enforceable and obtainable.</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3.12Counterparts</w:t>
      </w:r>
      <w:r>
        <w:rPr>
          <w:rFonts w:ascii="Times New Roman" w:cs="Times New Roman" w:eastAsia="Times New Roman" w:hAnsi="Times New Roman"/>
          <w:sz w:val="20"/>
          <w:szCs w:val="20"/>
          <w:color w:val="auto"/>
        </w:rPr>
        <w:t>. This Agreement may be executed simultaneously in any number of counterparts, any one of which need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contain the signature of more than one Party but all such counterparts taken together will constitute one and the same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color w:val="auto"/>
        </w:rPr>
        <w:t>, the Parties have caused this Agreement to be executed by their respective duly authorized officers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each copy of which will for all purposes be deemed to be an original.</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eres</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Roger Pomerantz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-10795</wp:posOffset>
            </wp:positionV>
            <wp:extent cx="2305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230505" cy="8890"/>
                    </a:xfrm>
                    <a:prstGeom prst="rect">
                      <a:avLst/>
                    </a:prstGeom>
                    <a:noFill/>
                  </pic:spPr>
                </pic:pic>
              </a:graphicData>
            </a:graphic>
          </wp:anchor>
        </w:drawing>
      </w:r>
    </w:p>
    <w:p>
      <w:pPr>
        <w:spacing w:after="0" w:line="19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u w:val="single" w:color="auto"/>
          <w:color w:val="auto"/>
        </w:rPr>
        <w:t>Roger Pomerantz, M.D.</w:t>
      </w:r>
    </w:p>
    <w:p>
      <w:pPr>
        <w:spacing w:after="0" w:line="2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u w:val="single" w:color="auto"/>
          <w:color w:val="auto"/>
        </w:rPr>
        <w:t>President and Chief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en</w:t>
      </w: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bet</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w:t>
      </w: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harmaceuticals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5410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5410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3873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38735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-10795</wp:posOffset>
            </wp:positionV>
            <wp:extent cx="4546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5410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54102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38735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1475740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-10795</wp:posOffset>
            </wp:positionV>
            <wp:extent cx="4546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454660" cy="825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the Agreement, the following terms are defined as indicated:</w:t>
      </w:r>
    </w:p>
    <w:p>
      <w:pPr>
        <w:spacing w:after="0" w:line="212"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“Active Pharmaceutical Ingredient”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“API” </w:t>
      </w:r>
      <w:r>
        <w:rPr>
          <w:rFonts w:ascii="Times New Roman" w:cs="Times New Roman" w:eastAsia="Times New Roman" w:hAnsi="Times New Roman"/>
          <w:sz w:val="20"/>
          <w:szCs w:val="20"/>
          <w:color w:val="auto"/>
        </w:rPr>
        <w:t>means the active pharmaceutical or biological ingredient as further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Product Manufacturing Plan.</w:t>
      </w:r>
    </w:p>
    <w:p>
      <w:pPr>
        <w:spacing w:after="0" w:line="152"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“Affiliate” </w:t>
      </w:r>
      <w:r>
        <w:rPr>
          <w:rFonts w:ascii="Times New Roman" w:cs="Times New Roman" w:eastAsia="Times New Roman" w:hAnsi="Times New Roman"/>
          <w:sz w:val="20"/>
          <w:szCs w:val="20"/>
          <w:color w:val="auto"/>
        </w:rPr>
        <w:t>means with respect to either Party, any business entity controlling, controlled by, or under common control with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For the purpose of this definition only, “control” means (a) the possession, directly or indirectly, of the power to direct the management or policies of a business entity, whether through the ownership of voting securities, by contract or otherwise, or (b) the ownership, directly or indirectly, of at least fifty percent (50%) of the voting securities or other ownership interest of a business entity; provided that, if local law requires a minimum percentage of local ownership, control will be established by direct or indirect beneficial ownership of one hundred per cent (100%) of the maximum ownership percentage that may, under such local law, be owned by foreign interests.</w:t>
      </w:r>
    </w:p>
    <w:p>
      <w:pPr>
        <w:spacing w:after="0" w:line="17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Law</w:t>
      </w:r>
      <w:r>
        <w:rPr>
          <w:rFonts w:ascii="Times New Roman" w:cs="Times New Roman" w:eastAsia="Times New Roman" w:hAnsi="Times New Roman"/>
          <w:sz w:val="20"/>
          <w:szCs w:val="20"/>
          <w:color w:val="auto"/>
        </w:rPr>
        <w:t>” shall mean all international, national, federal, state, provincial and local laws, statutes, codes, guidelines, rules, regulations, ordinances, orders, decrees or other pronouncements of any governmental, administrative or judicial authority that apply to either of the Parties’ respective obligations hereunder, including cGMP.</w:t>
      </w:r>
    </w:p>
    <w:p>
      <w:pPr>
        <w:spacing w:after="0" w:line="16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“Batch” </w:t>
      </w:r>
      <w:r>
        <w:rPr>
          <w:rFonts w:ascii="Times New Roman" w:cs="Times New Roman" w:eastAsia="Times New Roman" w:hAnsi="Times New Roman"/>
          <w:sz w:val="20"/>
          <w:szCs w:val="20"/>
          <w:color w:val="auto"/>
        </w:rPr>
        <w:t>shall mean a specific quantity of product that (a) is intended to have uniform character and quality within specified limits,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 is Manufactured according to a single manufacturing order during the same cycle of manufacture as further specified in the applicable Product Manufacturing Plan.</w:t>
      </w:r>
    </w:p>
    <w:p>
      <w:pPr>
        <w:spacing w:after="0" w:line="169" w:lineRule="exact"/>
        <w:rPr>
          <w:sz w:val="20"/>
          <w:szCs w:val="20"/>
          <w:color w:val="auto"/>
        </w:rPr>
      </w:pPr>
    </w:p>
    <w:p>
      <w:pPr>
        <w:jc w:val="both"/>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“Certificate of Compliance” </w:t>
      </w:r>
      <w:r>
        <w:rPr>
          <w:rFonts w:ascii="Times New Roman" w:cs="Times New Roman" w:eastAsia="Times New Roman" w:hAnsi="Times New Roman"/>
          <w:sz w:val="20"/>
          <w:szCs w:val="20"/>
          <w:color w:val="auto"/>
        </w:rPr>
        <w:t>means a document signed by the designated quality manager of GenIbet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 of a Batch of Product that evidences such Batch’s compliance with cGMPs and Master Batch Record.</w:t>
      </w:r>
    </w:p>
    <w:p>
      <w:pPr>
        <w:spacing w:after="0" w:line="152"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“Change of Control” </w:t>
      </w:r>
      <w:r>
        <w:rPr>
          <w:rFonts w:ascii="Times New Roman" w:cs="Times New Roman" w:eastAsia="Times New Roman" w:hAnsi="Times New Roman"/>
          <w:sz w:val="20"/>
          <w:szCs w:val="20"/>
          <w:color w:val="auto"/>
        </w:rPr>
        <w:t>means the occurrence of any one of the following: (a) any person (as the term is used in Sections 13(d)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14(d) of the Securities Exchange Act of 1934, as amended (the Exchange Act)) is or becomes the beneficial owner (as defined in Rule 13d-3 under the Exchange Act), directly or indirectly, of voting securities of GenIbet representing more than 50% of GenIbet’s outstanding voting securities or rights to acquire such securities; (b) any sale, lease, exchange or other transfer (in one transaction or a series of transactions) of the Facility or all or substantially all of the assets of GenIbet; or (c) a plan of liquidation of the Company or an agreement for the sale or liquidation of the Company is approved and completed.</w:t>
      </w:r>
    </w:p>
    <w:p>
      <w:pPr>
        <w:spacing w:after="0" w:line="17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“Commercially Reasonable Efforts” </w:t>
      </w:r>
      <w:r>
        <w:rPr>
          <w:rFonts w:ascii="Times New Roman" w:cs="Times New Roman" w:eastAsia="Times New Roman" w:hAnsi="Times New Roman"/>
          <w:sz w:val="20"/>
          <w:szCs w:val="20"/>
          <w:color w:val="auto"/>
        </w:rPr>
        <w:t>mean taking such steps and performing in such a manner as a well-managed company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undertake where such company was acting in a determined, prudent, and reasonable manner to achieve the particular result provided always that such steps are within the reasonable control of the Party required to exert such efforts.</w:t>
      </w:r>
    </w:p>
    <w:p>
      <w:pPr>
        <w:spacing w:after="0" w:line="169" w:lineRule="exact"/>
        <w:rPr>
          <w:sz w:val="20"/>
          <w:szCs w:val="20"/>
          <w:color w:val="auto"/>
        </w:rPr>
      </w:pPr>
    </w:p>
    <w:p>
      <w:pPr>
        <w:jc w:val="both"/>
        <w:ind w:left="760"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means any and all non-public and proprietary information that is specifically designated as such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disclosed by any Party to any other Party in written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3" w:name="page234"/>
    <w:bookmarkEnd w:id="233"/>
    <w:p>
      <w:pPr>
        <w:jc w:val="both"/>
        <w:ind w:left="760" w:right="20"/>
        <w:spacing w:after="0" w:line="269" w:lineRule="auto"/>
        <w:rPr>
          <w:sz w:val="20"/>
          <w:szCs w:val="20"/>
          <w:color w:val="auto"/>
        </w:rPr>
      </w:pPr>
      <w:r>
        <w:rPr>
          <w:rFonts w:ascii="Times New Roman" w:cs="Times New Roman" w:eastAsia="Times New Roman" w:hAnsi="Times New Roman"/>
          <w:sz w:val="20"/>
          <w:szCs w:val="20"/>
          <w:color w:val="auto"/>
        </w:rPr>
        <w:t>similar form in connection with this Agreement; provided, however, that in the case of such information that is disclosed orally, the disclosing party shall deliver the required designation in writing to the receiving Party within 30 days after such disclosure.</w:t>
      </w:r>
    </w:p>
    <w:p>
      <w:pPr>
        <w:spacing w:after="0" w:line="15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shall mean the consumable products and packaging supplies and components, including, without limitation, all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raw materials and packaging supplied required by GenIbet to Manufacture a Product as set forth in the applicable Product Manufacturing Plan.</w:t>
      </w:r>
    </w:p>
    <w:p>
      <w:pPr>
        <w:spacing w:after="0" w:line="182" w:lineRule="exact"/>
        <w:rPr>
          <w:sz w:val="20"/>
          <w:szCs w:val="20"/>
          <w:color w:val="auto"/>
        </w:rPr>
      </w:pPr>
    </w:p>
    <w:p>
      <w:pPr>
        <w:jc w:val="both"/>
        <w:ind w:left="760"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“Control” </w:t>
      </w:r>
      <w:r>
        <w:rPr>
          <w:rFonts w:ascii="Times New Roman" w:cs="Times New Roman" w:eastAsia="Times New Roman" w:hAnsi="Times New Roman"/>
          <w:sz w:val="20"/>
          <w:szCs w:val="20"/>
          <w:color w:val="auto"/>
        </w:rPr>
        <w:t>means, with respect to an item or an intellectual property right, possession of the ability, whether arising by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license, to grant a license or sublicense as provided for in this Agreement under such item or right without violating the terms of any written agreement with any Third Party.</w:t>
      </w:r>
    </w:p>
    <w:p>
      <w:pPr>
        <w:spacing w:after="0" w:line="169"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“Current Good Manufacturing Practices”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“cGMP” </w:t>
      </w:r>
      <w:r>
        <w:rPr>
          <w:rFonts w:ascii="Times New Roman" w:cs="Times New Roman" w:eastAsia="Times New Roman" w:hAnsi="Times New Roman"/>
          <w:sz w:val="20"/>
          <w:szCs w:val="20"/>
          <w:color w:val="auto"/>
        </w:rPr>
        <w:t>shall mean the following to the extent having jurisdiction over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 of a Product and/or the Facility and Seres Dedicated Area: (a) the good manufacturing practices required by the FDA and set forth in the FD&amp;C Act or FDA regulations (including without limitation 21 CFR 210 and 211); (b) the Commission Directive 2003/94/EC, laying down the principles and guidelines of good manufacturing practice in respect of medicinal products for human use and investigational medicinal products for human use, and any amendment thereto; (c) the Commission Directive 2005/28/EC laying down principles and detailed guidelines for good clinical practice as regards investigational medicinal products for human use, as well as the requirements for authorisation of the manufacturing or importation of such products, and any amendment thereto; (d) the Directive 2001/83/EC of the European Parliament and of the Council of 6 November 2001, on the Community code relating to medicinal products for human use, and any amendment thereto; (e) the Guidelines on Good Manufacturing Practice for Medicinal Products for Human and Veterinary Use, approved by the European Commission and currently provided for at Eudralex - Volume 4 and any amendment thereto; (f) any local laws, statutes, codes, guidelines, rules, regulations, ordinances, orders, decrees or other pronouncements of any governmental, administrative authority enacting and/or implementing and/or regulating the provisions of (b) to (e), and (f) the PICS guidelines to good manufacturing practices in effect at any time during the Term of this Agreement. For the avoidance of doubt, when reference is made herein to “any amendment thereto” it shall include acts which supersede and replace the ones expressly provided for.</w:t>
      </w:r>
    </w:p>
    <w:p>
      <w:pPr>
        <w:spacing w:after="0" w:line="194" w:lineRule="exact"/>
        <w:rPr>
          <w:sz w:val="20"/>
          <w:szCs w:val="20"/>
          <w:color w:val="auto"/>
        </w:rPr>
      </w:pPr>
    </w:p>
    <w:p>
      <w:pPr>
        <w:ind w:left="760" w:right="2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“Drug Product” </w:t>
      </w:r>
      <w:r>
        <w:rPr>
          <w:rFonts w:ascii="Times New Roman" w:cs="Times New Roman" w:eastAsia="Times New Roman" w:hAnsi="Times New Roman"/>
          <w:sz w:val="20"/>
          <w:szCs w:val="20"/>
          <w:color w:val="auto"/>
        </w:rPr>
        <w:t>shall mean the Drug Substance in its finished dosage form that is produced in accordance with the Master Batch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w:t>
      </w:r>
    </w:p>
    <w:p>
      <w:pPr>
        <w:spacing w:after="0" w:line="152" w:lineRule="exact"/>
        <w:rPr>
          <w:sz w:val="20"/>
          <w:szCs w:val="20"/>
          <w:color w:val="auto"/>
        </w:rPr>
      </w:pPr>
    </w:p>
    <w:p>
      <w:pPr>
        <w:ind w:left="760" w:right="1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“Drug Substance” </w:t>
      </w:r>
      <w:r>
        <w:rPr>
          <w:rFonts w:ascii="Times New Roman" w:cs="Times New Roman" w:eastAsia="Times New Roman" w:hAnsi="Times New Roman"/>
          <w:sz w:val="20"/>
          <w:szCs w:val="20"/>
          <w:color w:val="auto"/>
        </w:rPr>
        <w:t>shall mean the substance that is produced in accordance with the Master Batch Record and intended to be used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manufacture of a drug product.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“FDA” </w:t>
      </w:r>
      <w:r>
        <w:rPr>
          <w:rFonts w:ascii="Times New Roman" w:cs="Times New Roman" w:eastAsia="Times New Roman" w:hAnsi="Times New Roman"/>
          <w:sz w:val="20"/>
          <w:szCs w:val="20"/>
          <w:color w:val="auto"/>
        </w:rPr>
        <w:t>shall mean the United States Food and Drug Administration or any successor entity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“FD&amp;C Act” </w:t>
      </w:r>
      <w:r>
        <w:rPr>
          <w:rFonts w:ascii="Times New Roman" w:cs="Times New Roman" w:eastAsia="Times New Roman" w:hAnsi="Times New Roman"/>
          <w:sz w:val="20"/>
          <w:szCs w:val="20"/>
          <w:color w:val="auto"/>
        </w:rPr>
        <w:t>shall mean the United States Federal Food, Drug and Cosmetic Act, as may be amended from time to time.</w:t>
      </w:r>
    </w:p>
    <w:p>
      <w:pPr>
        <w:spacing w:after="0" w:line="216" w:lineRule="exact"/>
        <w:rPr>
          <w:sz w:val="20"/>
          <w:szCs w:val="20"/>
          <w:color w:val="auto"/>
        </w:rPr>
      </w:pPr>
    </w:p>
    <w:p>
      <w:pPr>
        <w:ind w:left="760" w:right="28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“Government Authority TC "Government Authority" \f C \l “5” ” </w:t>
      </w:r>
      <w:r>
        <w:rPr>
          <w:rFonts w:ascii="Times New Roman" w:cs="Times New Roman" w:eastAsia="Times New Roman" w:hAnsi="Times New Roman"/>
          <w:sz w:val="20"/>
          <w:szCs w:val="20"/>
          <w:color w:val="auto"/>
        </w:rPr>
        <w:t>means any supranational, national, regional, state or local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 court, governmental agency, authority, board, bureau, instrumentality, or regulatory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ind w:left="760" w:right="140"/>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“Intellectual Property” </w:t>
      </w:r>
      <w:r>
        <w:rPr>
          <w:rFonts w:ascii="Times New Roman" w:cs="Times New Roman" w:eastAsia="Times New Roman" w:hAnsi="Times New Roman"/>
          <w:sz w:val="19"/>
          <w:szCs w:val="19"/>
          <w:color w:val="auto"/>
        </w:rPr>
        <w:t>shall mean ideas, concepts, discoveries, inventions, developments, know-how, trade secrets, techniques,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methodologies, modifications, innovations, improvements, writings, documentation,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158" w:lineRule="exact"/>
        <w:rPr>
          <w:sz w:val="20"/>
          <w:szCs w:val="20"/>
          <w:color w:val="auto"/>
        </w:rPr>
      </w:pPr>
    </w:p>
    <w:p>
      <w:pPr>
        <w:ind w:left="760" w:right="8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“Inventions” </w:t>
      </w:r>
      <w:r>
        <w:rPr>
          <w:rFonts w:ascii="Times New Roman" w:cs="Times New Roman" w:eastAsia="Times New Roman" w:hAnsi="Times New Roman"/>
          <w:sz w:val="20"/>
          <w:szCs w:val="20"/>
          <w:color w:val="auto"/>
        </w:rPr>
        <w:t>shall mean any inventions, discoveries, innovations, methods, improvements, processes, techniques 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developments, whether patentable or copyrightable or not, relating to Product, the API or their manufacture, arising out of the performance of services under this Agreement by GenIbet and/or any use of either Seres Intellectual Property and/or the API. For the avoidance of doubt, Inventions include Process Inventions, as defined below.</w:t>
      </w:r>
    </w:p>
    <w:p>
      <w:pPr>
        <w:spacing w:after="0" w:line="176" w:lineRule="exact"/>
        <w:rPr>
          <w:sz w:val="20"/>
          <w:szCs w:val="20"/>
          <w:color w:val="auto"/>
        </w:rPr>
      </w:pPr>
    </w:p>
    <w:p>
      <w:pPr>
        <w:jc w:val="both"/>
        <w:ind w:left="760" w:right="4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“Licensed Know-How TC "Government Authority" \f C \l “5” ” </w:t>
      </w:r>
      <w:r>
        <w:rPr>
          <w:rFonts w:ascii="Times New Roman" w:cs="Times New Roman" w:eastAsia="Times New Roman" w:hAnsi="Times New Roman"/>
          <w:sz w:val="20"/>
          <w:szCs w:val="20"/>
          <w:color w:val="auto"/>
        </w:rPr>
        <w:t>shall mean any and all technology, information, expertise,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know-how, and/or trade secrets Controlled by GenIbet that is necessary or useful for the manufacture of the Product and/or the manufacture, use, sale, offer for sale, and importation of the Products.</w:t>
      </w:r>
    </w:p>
    <w:p>
      <w:pPr>
        <w:spacing w:after="0" w:line="169" w:lineRule="exact"/>
        <w:rPr>
          <w:sz w:val="20"/>
          <w:szCs w:val="20"/>
          <w:color w:val="auto"/>
        </w:rPr>
      </w:pPr>
    </w:p>
    <w:p>
      <w:pPr>
        <w:ind w:left="760" w:right="1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“Manufacture,” “Manufacturing,”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“Manufactured</w:t>
      </w:r>
      <w:r>
        <w:rPr>
          <w:rFonts w:ascii="Times New Roman" w:cs="Times New Roman" w:eastAsia="Times New Roman" w:hAnsi="Times New Roman"/>
          <w:sz w:val="20"/>
          <w:szCs w:val="20"/>
          <w:color w:val="auto"/>
        </w:rPr>
        <w:t>” shall mean all operations of GenIbet in the scheduling, production,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manufacturing, processing, packaging, labeling, testing, storage, quality control testing (including in-process, release, and stability testing when applicable) and release of Product.</w:t>
      </w:r>
    </w:p>
    <w:p>
      <w:pPr>
        <w:spacing w:after="0" w:line="169" w:lineRule="exact"/>
        <w:rPr>
          <w:sz w:val="20"/>
          <w:szCs w:val="20"/>
          <w:color w:val="auto"/>
        </w:rPr>
      </w:pPr>
    </w:p>
    <w:p>
      <w:pPr>
        <w:ind w:left="760" w:right="2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“Master Batch Record”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“MBR” </w:t>
      </w:r>
      <w:r>
        <w:rPr>
          <w:rFonts w:ascii="Times New Roman" w:cs="Times New Roman" w:eastAsia="Times New Roman" w:hAnsi="Times New Roman"/>
          <w:sz w:val="20"/>
          <w:szCs w:val="20"/>
          <w:color w:val="auto"/>
        </w:rPr>
        <w:t>shall mean, with respect to each Product to be Manufactured hereunder, a formal set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instructions given by Seres for the Manufacture of each such Product. The MBR shall be developed and maintained in GenIbet’s standard format by GenIbet, as per Seres’ instructions and using master formulation and technical support.</w:t>
      </w:r>
    </w:p>
    <w:p>
      <w:pPr>
        <w:spacing w:after="0" w:line="169"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“Materials” </w:t>
      </w:r>
      <w:r>
        <w:rPr>
          <w:rFonts w:ascii="Times New Roman" w:cs="Times New Roman" w:eastAsia="Times New Roman" w:hAnsi="Times New Roman"/>
          <w:sz w:val="20"/>
          <w:szCs w:val="20"/>
          <w:color w:val="auto"/>
        </w:rPr>
        <w:t>as used in this Agreement shall collectively mean all materials required for Manufacture of Product, including the API,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Consumables, and Raw Materials.</w:t>
      </w:r>
    </w:p>
    <w:p>
      <w:pPr>
        <w:spacing w:after="0" w:line="152" w:lineRule="exact"/>
        <w:rPr>
          <w:sz w:val="20"/>
          <w:szCs w:val="20"/>
          <w:color w:val="auto"/>
        </w:rPr>
      </w:pPr>
    </w:p>
    <w:p>
      <w:pPr>
        <w:ind w:left="760" w:right="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“Process Inventions” </w:t>
      </w:r>
      <w:r>
        <w:rPr>
          <w:rFonts w:ascii="Times New Roman" w:cs="Times New Roman" w:eastAsia="Times New Roman" w:hAnsi="Times New Roman"/>
          <w:sz w:val="20"/>
          <w:szCs w:val="20"/>
          <w:color w:val="auto"/>
        </w:rPr>
        <w:t>shall mean any Inventions that are new manufacturing technologies, methods, processes or techniques, or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improvements to existing manufacturing technologies, methods, processes or techniques, and that are generally applicable to pharmaceutical products. For purposes of clarity, Process Inventions shall not include such Inventions that (i) are only applicable to Product, Seres Technology, the intellectual property of a collaborator and/or the API and/or (ii) require the use of Product, Seres Technology, the intellectual property of a collaborator and/or the API.</w:t>
      </w:r>
    </w:p>
    <w:p>
      <w:pPr>
        <w:spacing w:after="0" w:line="180" w:lineRule="exact"/>
        <w:rPr>
          <w:sz w:val="20"/>
          <w:szCs w:val="20"/>
          <w:color w:val="auto"/>
        </w:rPr>
      </w:pPr>
    </w:p>
    <w:p>
      <w:pPr>
        <w:ind w:left="760"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“Product Manufacturing Plan” </w:t>
      </w:r>
      <w:r>
        <w:rPr>
          <w:rFonts w:ascii="Times New Roman" w:cs="Times New Roman" w:eastAsia="Times New Roman" w:hAnsi="Times New Roman"/>
          <w:sz w:val="20"/>
          <w:szCs w:val="20"/>
          <w:color w:val="auto"/>
        </w:rPr>
        <w:t>shall mean an addendum to this Agreement for each Product Manufactured hereunder, which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 without limitation, the Product, Product Specifications, Materials, Materials Specifications, Regulatory Authorities, the countries where such Product will be used in clinical trials, and pricing for such Product Manufactured under this Agreement.</w:t>
      </w:r>
    </w:p>
    <w:p>
      <w:pPr>
        <w:spacing w:after="0" w:line="169" w:lineRule="exact"/>
        <w:rPr>
          <w:sz w:val="20"/>
          <w:szCs w:val="20"/>
          <w:color w:val="auto"/>
        </w:rPr>
      </w:pPr>
    </w:p>
    <w:p>
      <w:pPr>
        <w:ind w:left="760" w:right="8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“Purchase Order” </w:t>
      </w:r>
      <w:r>
        <w:rPr>
          <w:rFonts w:ascii="Times New Roman" w:cs="Times New Roman" w:eastAsia="Times New Roman" w:hAnsi="Times New Roman"/>
          <w:sz w:val="20"/>
          <w:szCs w:val="20"/>
          <w:color w:val="auto"/>
        </w:rPr>
        <w:t>shall mean written orders from Seres to GenIbet which shall specify (a) the quantity of Product ordered, (b)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minimum number of employees and their status (e.g., full-time dedicated or part-time dedicated) to be engaged, (c) shipping instructions (e.g. choice of container, temperature requirements), (d) requested delivery dates, and (e) delivery destinations.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5" w:name="page236"/>
    <w:bookmarkEnd w:id="235"/>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“Quality Agreement” </w:t>
      </w:r>
      <w:r>
        <w:rPr>
          <w:rFonts w:ascii="Times New Roman" w:cs="Times New Roman" w:eastAsia="Times New Roman" w:hAnsi="Times New Roman"/>
          <w:sz w:val="20"/>
          <w:szCs w:val="20"/>
          <w:color w:val="auto"/>
        </w:rPr>
        <w:t>shall mean individually, either the Clinical Quality Agreement or Commercial Quality Agreement and</w:t>
      </w:r>
    </w:p>
    <w:p>
      <w:pPr>
        <w:spacing w:after="0" w:line="26" w:lineRule="exact"/>
        <w:rPr>
          <w:sz w:val="20"/>
          <w:szCs w:val="20"/>
          <w:color w:val="auto"/>
        </w:rPr>
      </w:pPr>
    </w:p>
    <w:p>
      <w:pPr>
        <w:ind w:left="76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Quality Agreements</w:t>
      </w:r>
      <w:r>
        <w:rPr>
          <w:rFonts w:ascii="Times New Roman" w:cs="Times New Roman" w:eastAsia="Times New Roman" w:hAnsi="Times New Roman"/>
          <w:sz w:val="20"/>
          <w:szCs w:val="20"/>
          <w:color w:val="auto"/>
        </w:rPr>
        <w:t>” shall mean the Clinical Quality Agreement and Commercial Quality Agreement collectively, both of which are addenda to this Agreement under which the Parties allocate the pharmaceutical responsibilities, as further set forth in Section 8.2.</w:t>
      </w:r>
    </w:p>
    <w:p>
      <w:pPr>
        <w:spacing w:after="0" w:line="183" w:lineRule="exact"/>
        <w:rPr>
          <w:sz w:val="20"/>
          <w:szCs w:val="20"/>
          <w:color w:val="auto"/>
        </w:rPr>
      </w:pPr>
    </w:p>
    <w:p>
      <w:pPr>
        <w:ind w:left="760" w:right="3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“Raw Materials” </w:t>
      </w:r>
      <w:r>
        <w:rPr>
          <w:rFonts w:ascii="Times New Roman" w:cs="Times New Roman" w:eastAsia="Times New Roman" w:hAnsi="Times New Roman"/>
          <w:sz w:val="20"/>
          <w:szCs w:val="20"/>
          <w:color w:val="auto"/>
        </w:rPr>
        <w:t>shall mean all excipients, inactive ingredients and other substances used by GenIbet in the Manufacture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with the exception of API and Consumables, as specified in the applicable Product Manufacturing Plan.</w:t>
      </w:r>
    </w:p>
    <w:p>
      <w:pPr>
        <w:spacing w:after="0" w:line="152" w:lineRule="exact"/>
        <w:rPr>
          <w:sz w:val="20"/>
          <w:szCs w:val="20"/>
          <w:color w:val="auto"/>
        </w:rPr>
      </w:pPr>
    </w:p>
    <w:p>
      <w:pPr>
        <w:ind w:left="760" w:right="200" w:firstLine="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“Regulatory Authority” </w:t>
      </w:r>
      <w:r>
        <w:rPr>
          <w:rFonts w:ascii="Times New Roman" w:cs="Times New Roman" w:eastAsia="Times New Roman" w:hAnsi="Times New Roman"/>
          <w:sz w:val="20"/>
          <w:szCs w:val="20"/>
          <w:color w:val="auto"/>
        </w:rPr>
        <w:t>shall mean those agencies or authorities responsible for regulation of the Product in the country where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Product is Manufactured and/or used in clinical trials.</w:t>
      </w:r>
    </w:p>
    <w:p>
      <w:pPr>
        <w:spacing w:after="0" w:line="152" w:lineRule="exact"/>
        <w:rPr>
          <w:sz w:val="20"/>
          <w:szCs w:val="20"/>
          <w:color w:val="auto"/>
        </w:rPr>
      </w:pPr>
    </w:p>
    <w:p>
      <w:pPr>
        <w:jc w:val="both"/>
        <w:ind w:left="760" w:right="6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“Site Master File” </w:t>
      </w:r>
      <w:r>
        <w:rPr>
          <w:rFonts w:ascii="Times New Roman" w:cs="Times New Roman" w:eastAsia="Times New Roman" w:hAnsi="Times New Roman"/>
          <w:sz w:val="20"/>
          <w:szCs w:val="20"/>
          <w:color w:val="auto"/>
        </w:rPr>
        <w:t>shall mean a document prepared by GenIbet containing specific and factual GMP information about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production and/or control of pharmaceutical manufacturing operations carried out at the Facility and any closely integrated operations at adjacent and nearby buildings.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“SOP” </w:t>
      </w:r>
      <w:r>
        <w:rPr>
          <w:rFonts w:ascii="Times New Roman" w:cs="Times New Roman" w:eastAsia="Times New Roman" w:hAnsi="Times New Roman"/>
          <w:sz w:val="20"/>
          <w:szCs w:val="20"/>
          <w:color w:val="auto"/>
        </w:rPr>
        <w:t>means GenIbet’s standard operating procedures applicable to the Manufacture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9" w:right="419" w:bottom="1440" w:gutter="0" w:footer="0" w:header="0"/>
        </w:sectPr>
      </w:pPr>
    </w:p>
    <w:bookmarkStart w:id="236" w:name="page237"/>
    <w:bookmarkEnd w:id="236"/>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2</w:t>
      </w:r>
    </w:p>
    <w:p>
      <w:pPr>
        <w:spacing w:after="0" w:line="229"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20"/>
          <w:szCs w:val="20"/>
          <w:b w:val="1"/>
          <w:bCs w:val="1"/>
          <w:color w:val="auto"/>
        </w:rPr>
        <w:t>Seres Dedicated Area Project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37" w:name="page238"/>
    <w:bookmarkEnd w:id="237"/>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Attachment 2-1</w:t>
      </w: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Dedicated Area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1316355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9" w:right="1440" w:bottom="1440" w:gutter="0" w:footer="0" w:header="0"/>
        </w:sectPr>
      </w:pPr>
    </w:p>
    <w:bookmarkStart w:id="238" w:name="page239"/>
    <w:bookmarkEnd w:id="238"/>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Attachment 3</w:t>
      </w:r>
    </w:p>
    <w:p>
      <w:pPr>
        <w:spacing w:after="0" w:line="229"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0"/>
          <w:szCs w:val="20"/>
          <w:b w:val="1"/>
          <w:bCs w:val="1"/>
          <w:color w:val="auto"/>
        </w:rPr>
        <w:t>Product Manufacturing Plan for SER-109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39" w:name="page240"/>
    <w:bookmarkEnd w:id="239"/>
    <w:p>
      <w:pPr>
        <w:jc w:val="right"/>
        <w:ind w:right="4119"/>
        <w:spacing w:after="0"/>
        <w:rPr>
          <w:sz w:val="20"/>
          <w:szCs w:val="20"/>
          <w:color w:val="auto"/>
        </w:rPr>
      </w:pPr>
      <w:r>
        <w:rPr>
          <w:rFonts w:ascii="Times New Roman" w:cs="Times New Roman" w:eastAsia="Times New Roman" w:hAnsi="Times New Roman"/>
          <w:sz w:val="20"/>
          <w:szCs w:val="20"/>
          <w:b w:val="1"/>
          <w:bCs w:val="1"/>
          <w:color w:val="auto"/>
        </w:rPr>
        <w:t>Exhibit 4</w:t>
      </w: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color w:val="auto"/>
        </w:rPr>
        <w:t>Charges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240" w:name="page241"/>
    <w:bookmarkEnd w:id="2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946150</wp:posOffset>
            </wp:positionV>
            <wp:extent cx="1585595" cy="651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200 Sidney Street</w:t>
      </w:r>
    </w:p>
    <w:p>
      <w:pPr>
        <w:spacing w:after="0" w:line="1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Cambridge, MA 02139</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Tel: 617-945-9626</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www.serestherapeutics.com</w:t>
      </w: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September 14, 2020</w:t>
      </w:r>
    </w:p>
    <w:p>
      <w:pPr>
        <w:spacing w:after="0" w:line="200" w:lineRule="exact"/>
        <w:rPr>
          <w:sz w:val="20"/>
          <w:szCs w:val="20"/>
          <w:color w:val="auto"/>
        </w:rPr>
      </w:pPr>
    </w:p>
    <w:p>
      <w:pPr>
        <w:spacing w:after="0" w:line="244" w:lineRule="exact"/>
        <w:rPr>
          <w:sz w:val="20"/>
          <w:szCs w:val="20"/>
          <w:color w:val="auto"/>
        </w:rPr>
      </w:pPr>
    </w:p>
    <w:p>
      <w:pPr>
        <w:spacing w:after="0"/>
        <w:tabs>
          <w:tab w:leader="none" w:pos="2920" w:val="left"/>
        </w:tabs>
        <w:rPr>
          <w:sz w:val="20"/>
          <w:szCs w:val="20"/>
          <w:color w:val="auto"/>
        </w:rPr>
      </w:pPr>
      <w:r>
        <w:rPr>
          <w:rFonts w:ascii="Calibri" w:cs="Calibri" w:eastAsia="Calibri" w:hAnsi="Calibri"/>
          <w:sz w:val="20"/>
          <w:szCs w:val="20"/>
          <w:color w:val="auto"/>
        </w:rPr>
        <w:t>GenIbet Biopharmaceutcals SA</w:t>
      </w:r>
      <w:r>
        <w:rPr>
          <w:sz w:val="20"/>
          <w:szCs w:val="20"/>
          <w:color w:val="auto"/>
        </w:rPr>
        <w:tab/>
      </w:r>
      <w:r>
        <w:rPr>
          <w:rFonts w:ascii="Calibri" w:cs="Calibri" w:eastAsia="Calibri" w:hAnsi="Calibri"/>
          <w:sz w:val="20"/>
          <w:szCs w:val="20"/>
          <w:color w:val="auto"/>
        </w:rPr>
        <w:t>Via Email: [***]</w:t>
      </w:r>
    </w:p>
    <w:p>
      <w:pPr>
        <w:spacing w:after="0" w:line="238" w:lineRule="auto"/>
        <w:rPr>
          <w:sz w:val="20"/>
          <w:szCs w:val="20"/>
          <w:color w:val="auto"/>
        </w:rPr>
      </w:pPr>
      <w:r>
        <w:rPr>
          <w:rFonts w:ascii="Calibri" w:cs="Calibri" w:eastAsia="Calibri" w:hAnsi="Calibri"/>
          <w:sz w:val="20"/>
          <w:szCs w:val="20"/>
          <w:color w:val="auto"/>
        </w:rPr>
        <w:t>Estação Acronómica Nacional</w:t>
      </w:r>
    </w:p>
    <w:p>
      <w:pPr>
        <w:spacing w:after="0"/>
        <w:rPr>
          <w:sz w:val="20"/>
          <w:szCs w:val="20"/>
          <w:color w:val="auto"/>
        </w:rPr>
      </w:pPr>
      <w:r>
        <w:rPr>
          <w:rFonts w:ascii="Calibri" w:cs="Calibri" w:eastAsia="Calibri" w:hAnsi="Calibri"/>
          <w:sz w:val="20"/>
          <w:szCs w:val="20"/>
          <w:color w:val="auto"/>
        </w:rPr>
        <w:t>Avenida da República ACKNOWLEDGEMENT REQUESTED</w:t>
      </w:r>
    </w:p>
    <w:p>
      <w:pPr>
        <w:spacing w:after="0" w:line="238" w:lineRule="auto"/>
        <w:rPr>
          <w:sz w:val="20"/>
          <w:szCs w:val="20"/>
          <w:color w:val="auto"/>
        </w:rPr>
      </w:pPr>
      <w:r>
        <w:rPr>
          <w:rFonts w:ascii="Calibri" w:cs="Calibri" w:eastAsia="Calibri" w:hAnsi="Calibri"/>
          <w:sz w:val="20"/>
          <w:szCs w:val="20"/>
          <w:color w:val="auto"/>
        </w:rPr>
        <w:t>2780-157 Oeiras, PORTUGAL</w:t>
      </w: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Atenton: [***]</w:t>
      </w:r>
    </w:p>
    <w:p>
      <w:pPr>
        <w:spacing w:after="0" w:line="252" w:lineRule="exact"/>
        <w:rPr>
          <w:sz w:val="20"/>
          <w:szCs w:val="20"/>
          <w:color w:val="auto"/>
        </w:rPr>
      </w:pPr>
    </w:p>
    <w:p>
      <w:pPr>
        <w:ind w:right="500"/>
        <w:spacing w:after="0" w:line="234" w:lineRule="auto"/>
        <w:rPr>
          <w:sz w:val="20"/>
          <w:szCs w:val="20"/>
          <w:color w:val="auto"/>
        </w:rPr>
      </w:pPr>
      <w:r>
        <w:rPr>
          <w:rFonts w:ascii="Calibri" w:cs="Calibri" w:eastAsia="Calibri" w:hAnsi="Calibri"/>
          <w:sz w:val="20"/>
          <w:szCs w:val="20"/>
          <w:color w:val="auto"/>
        </w:rPr>
        <w:t>Re: Supply Agreement efectve September 15, 2015, as subsequently amended and extended (the "Agreement") by and between Seres Therapeutcs, Inc. ("Seres") and Genlbet BioPharmaceutcals SA ("Genlbet").</w:t>
      </w: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Dear [***]:</w:t>
      </w:r>
    </w:p>
    <w:p>
      <w:pPr>
        <w:spacing w:after="0" w:line="309" w:lineRule="exact"/>
        <w:rPr>
          <w:sz w:val="20"/>
          <w:szCs w:val="20"/>
          <w:color w:val="auto"/>
        </w:rPr>
      </w:pPr>
    </w:p>
    <w:p>
      <w:pPr>
        <w:spacing w:after="0"/>
        <w:rPr>
          <w:sz w:val="20"/>
          <w:szCs w:val="20"/>
          <w:color w:val="auto"/>
        </w:rPr>
      </w:pPr>
      <w:r>
        <w:rPr>
          <w:rFonts w:ascii="Calibri" w:cs="Calibri" w:eastAsia="Calibri" w:hAnsi="Calibri"/>
          <w:sz w:val="20"/>
          <w:szCs w:val="20"/>
          <w:color w:val="auto"/>
        </w:rPr>
        <w:t>Pursuant to Secton 15.1 of the Agreement, this leter serves as notce that Seres will extend the Term of the Agreement for an additonal</w:t>
      </w:r>
    </w:p>
    <w:p>
      <w:pPr>
        <w:spacing w:after="0" w:line="9" w:lineRule="exact"/>
        <w:rPr>
          <w:sz w:val="20"/>
          <w:szCs w:val="20"/>
          <w:color w:val="auto"/>
        </w:rPr>
      </w:pPr>
    </w:p>
    <w:p>
      <w:pPr>
        <w:ind w:right="6880" w:firstLine="8"/>
        <w:spacing w:after="0" w:line="495" w:lineRule="auto"/>
        <w:tabs>
          <w:tab w:leader="none" w:pos="473" w:val="left"/>
        </w:tabs>
        <w:numPr>
          <w:ilvl w:val="0"/>
          <w:numId w:val="173"/>
        </w:numPr>
        <w:rPr>
          <w:rFonts w:ascii="Calibri" w:cs="Calibri" w:eastAsia="Calibri" w:hAnsi="Calibri"/>
          <w:sz w:val="20"/>
          <w:szCs w:val="20"/>
          <w:color w:val="auto"/>
        </w:rPr>
      </w:pPr>
      <w:r>
        <w:rPr>
          <w:rFonts w:ascii="Calibri" w:cs="Calibri" w:eastAsia="Calibri" w:hAnsi="Calibri"/>
          <w:sz w:val="20"/>
          <w:szCs w:val="20"/>
          <w:color w:val="auto"/>
        </w:rPr>
        <w:t>on the now-current terms and conditons. Please confrm receipt of this leter via email to [***] Regards,</w:t>
      </w:r>
    </w:p>
    <w:p>
      <w:pPr>
        <w:ind w:left="60"/>
        <w:spacing w:after="0" w:line="231" w:lineRule="auto"/>
        <w:rPr>
          <w:sz w:val="20"/>
          <w:szCs w:val="20"/>
          <w:color w:val="auto"/>
        </w:rPr>
      </w:pPr>
      <w:r>
        <w:rPr>
          <w:rFonts w:ascii="Calibri" w:cs="Calibri" w:eastAsia="Calibri" w:hAnsi="Calibri"/>
          <w:sz w:val="20"/>
          <w:szCs w:val="20"/>
          <w:color w:val="auto"/>
        </w:rPr>
        <w:t>/s/John G. Aunins</w:t>
      </w:r>
    </w:p>
    <w:p>
      <w:pPr>
        <w:spacing w:after="0"/>
        <w:rPr>
          <w:sz w:val="20"/>
          <w:szCs w:val="20"/>
          <w:color w:val="auto"/>
        </w:rPr>
      </w:pPr>
      <w:r>
        <w:rPr>
          <w:rFonts w:ascii="Calibri" w:cs="Calibri" w:eastAsia="Calibri" w:hAnsi="Calibri"/>
          <w:sz w:val="20"/>
          <w:szCs w:val="20"/>
          <w:color w:val="auto"/>
        </w:rPr>
        <w:t>John Auniņš, Ph.D.</w:t>
      </w:r>
    </w:p>
    <w:p>
      <w:pPr>
        <w:spacing w:after="0" w:line="238" w:lineRule="auto"/>
        <w:rPr>
          <w:sz w:val="20"/>
          <w:szCs w:val="20"/>
          <w:color w:val="auto"/>
        </w:rPr>
      </w:pPr>
      <w:r>
        <w:rPr>
          <w:rFonts w:ascii="Calibri" w:cs="Calibri" w:eastAsia="Calibri" w:hAnsi="Calibri"/>
          <w:sz w:val="20"/>
          <w:szCs w:val="20"/>
          <w:color w:val="auto"/>
        </w:rPr>
        <w:t>Chief Technical Ofcer and Executve Vice President, CMC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946150</wp:posOffset>
            </wp:positionV>
            <wp:extent cx="1585595" cy="6515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200 Sidney Street</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Cambridge, MA 02139</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Tel: 617-945-9626</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www.serestherapeutics.com</w:t>
      </w:r>
    </w:p>
    <w:p>
      <w:pPr>
        <w:spacing w:after="0" w:line="205" w:lineRule="exact"/>
        <w:rPr>
          <w:sz w:val="20"/>
          <w:szCs w:val="20"/>
          <w:color w:val="auto"/>
        </w:rPr>
      </w:pPr>
    </w:p>
    <w:p>
      <w:pPr>
        <w:ind w:left="6500"/>
        <w:spacing w:after="0"/>
        <w:rPr>
          <w:sz w:val="20"/>
          <w:szCs w:val="20"/>
          <w:color w:val="auto"/>
        </w:rPr>
      </w:pPr>
      <w:r>
        <w:rPr>
          <w:rFonts w:ascii="Calibri" w:cs="Calibri" w:eastAsia="Calibri" w:hAnsi="Calibri"/>
          <w:sz w:val="20"/>
          <w:szCs w:val="20"/>
          <w:color w:val="auto"/>
        </w:rPr>
        <w:t>September 07, 2021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40" w:type="dxa"/>
            <w:vAlign w:val="bottom"/>
          </w:tcPr>
          <w:p>
            <w:pPr>
              <w:spacing w:after="0"/>
              <w:rPr>
                <w:sz w:val="20"/>
                <w:szCs w:val="20"/>
                <w:color w:val="auto"/>
              </w:rPr>
            </w:pPr>
            <w:r>
              <w:rPr>
                <w:rFonts w:ascii="Calibri" w:cs="Calibri" w:eastAsia="Calibri" w:hAnsi="Calibri"/>
                <w:sz w:val="20"/>
                <w:szCs w:val="20"/>
                <w:color w:val="auto"/>
              </w:rPr>
              <w:t>GenIbet Biopharmaceutcals SA</w:t>
            </w:r>
          </w:p>
        </w:tc>
        <w:tc>
          <w:tcPr>
            <w:tcW w:w="1300" w:type="dxa"/>
            <w:vAlign w:val="bottom"/>
            <w:gridSpan w:val="2"/>
          </w:tcPr>
          <w:p>
            <w:pPr>
              <w:spacing w:after="0"/>
              <w:rPr>
                <w:sz w:val="20"/>
                <w:szCs w:val="20"/>
                <w:color w:val="auto"/>
              </w:rPr>
            </w:pPr>
            <w:r>
              <w:rPr>
                <w:rFonts w:ascii="Calibri" w:cs="Calibri" w:eastAsia="Calibri" w:hAnsi="Calibri"/>
                <w:sz w:val="20"/>
                <w:szCs w:val="20"/>
                <w:b w:val="1"/>
                <w:bCs w:val="1"/>
                <w:color w:val="auto"/>
                <w:w w:val="99"/>
              </w:rPr>
              <w:t xml:space="preserve">Via Email: </w:t>
            </w:r>
            <w:r>
              <w:rPr>
                <w:rFonts w:ascii="Calibri" w:cs="Calibri" w:eastAsia="Calibri" w:hAnsi="Calibri"/>
                <w:sz w:val="20"/>
                <w:szCs w:val="20"/>
                <w:color w:val="auto"/>
                <w:w w:val="99"/>
              </w:rPr>
              <w:t>[***]</w:t>
            </w:r>
          </w:p>
        </w:tc>
      </w:tr>
      <w:tr>
        <w:trPr>
          <w:trHeight w:val="258"/>
        </w:trPr>
        <w:tc>
          <w:tcPr>
            <w:tcW w:w="2940" w:type="dxa"/>
            <w:vAlign w:val="bottom"/>
          </w:tcPr>
          <w:p>
            <w:pPr>
              <w:spacing w:after="0"/>
              <w:rPr>
                <w:sz w:val="20"/>
                <w:szCs w:val="20"/>
                <w:color w:val="auto"/>
              </w:rPr>
            </w:pPr>
            <w:r>
              <w:rPr>
                <w:rFonts w:ascii="Calibri" w:cs="Calibri" w:eastAsia="Calibri" w:hAnsi="Calibri"/>
                <w:sz w:val="20"/>
                <w:szCs w:val="20"/>
                <w:color w:val="auto"/>
              </w:rPr>
              <w:t>Estação Acronómica Nacional</w:t>
            </w:r>
          </w:p>
        </w:tc>
        <w:tc>
          <w:tcPr>
            <w:tcW w:w="320" w:type="dxa"/>
            <w:vAlign w:val="bottom"/>
            <w:tcBorders>
              <w:top w:val="single" w:sz="8" w:color="auto"/>
            </w:tcBorders>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Avenida da República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2780-157 Oeiras, PORTUGAL</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Atenton: [***]</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b w:val="1"/>
          <w:bCs w:val="1"/>
          <w:color w:val="auto"/>
        </w:rPr>
        <w:t>Re: Supply Agreement efectve September 15, 2015, as subsequently amended and extended (the "Agreement") by and between Seres Therapeutcs, Inc. ("Seres") and Genlbet BioPharmaceutcals SA ("Genlbet").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Dear [***]:</w:t>
      </w:r>
    </w:p>
    <w:p>
      <w:pPr>
        <w:spacing w:after="0" w:line="188"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Pursuant to Secton 15.1 of the Agreement, this leter serves as notce that Seres will extend the</w:t>
      </w:r>
    </w:p>
    <w:p>
      <w:pPr>
        <w:spacing w:after="0" w:line="238" w:lineRule="auto"/>
        <w:rPr>
          <w:sz w:val="20"/>
          <w:szCs w:val="20"/>
          <w:color w:val="auto"/>
        </w:rPr>
      </w:pPr>
      <w:r>
        <w:rPr>
          <w:rFonts w:ascii="Calibri" w:cs="Calibri" w:eastAsia="Calibri" w:hAnsi="Calibri"/>
          <w:sz w:val="20"/>
          <w:szCs w:val="20"/>
          <w:color w:val="auto"/>
        </w:rPr>
        <w:t>Term of</w:t>
      </w:r>
    </w:p>
    <w:p>
      <w:pPr>
        <w:spacing w:after="0"/>
        <w:rPr>
          <w:sz w:val="20"/>
          <w:szCs w:val="20"/>
          <w:color w:val="auto"/>
        </w:rPr>
      </w:pPr>
      <w:r>
        <w:rPr>
          <w:rFonts w:ascii="Calibri" w:cs="Calibri" w:eastAsia="Calibri" w:hAnsi="Calibri"/>
          <w:sz w:val="20"/>
          <w:szCs w:val="20"/>
          <w:color w:val="auto"/>
        </w:rPr>
        <w:t>the Agreement through [***], on the now-current terms and conditons.</w:t>
      </w:r>
    </w:p>
    <w:p>
      <w:pPr>
        <w:spacing w:after="0" w:line="242" w:lineRule="exact"/>
        <w:rPr>
          <w:sz w:val="20"/>
          <w:szCs w:val="20"/>
          <w:color w:val="auto"/>
        </w:rPr>
      </w:pPr>
    </w:p>
    <w:p>
      <w:pPr>
        <w:ind w:left="1480"/>
        <w:spacing w:after="0"/>
        <w:rPr>
          <w:sz w:val="20"/>
          <w:szCs w:val="20"/>
          <w:color w:val="auto"/>
        </w:rPr>
      </w:pPr>
      <w:r>
        <w:rPr>
          <w:rFonts w:ascii="Calibri" w:cs="Calibri" w:eastAsia="Calibri" w:hAnsi="Calibri"/>
          <w:sz w:val="20"/>
          <w:szCs w:val="20"/>
          <w:color w:val="auto"/>
        </w:rPr>
        <w:t>Please confrm receipt of this leter by providing your e-signature below.</w:t>
      </w:r>
    </w:p>
    <w:p>
      <w:pPr>
        <w:spacing w:after="0" w:line="242" w:lineRule="exact"/>
        <w:rPr>
          <w:sz w:val="20"/>
          <w:szCs w:val="20"/>
          <w:color w:val="auto"/>
        </w:rPr>
      </w:pPr>
    </w:p>
    <w:p>
      <w:pPr>
        <w:jc w:val="center"/>
        <w:ind w:left="340"/>
        <w:spacing w:after="0"/>
        <w:rPr>
          <w:sz w:val="20"/>
          <w:szCs w:val="20"/>
          <w:color w:val="auto"/>
        </w:rPr>
      </w:pPr>
      <w:r>
        <w:rPr>
          <w:rFonts w:ascii="Calibri" w:cs="Calibri" w:eastAsia="Calibri" w:hAnsi="Calibri"/>
          <w:sz w:val="20"/>
          <w:szCs w:val="20"/>
          <w:color w:val="auto"/>
        </w:rPr>
        <w:t>Best Regards,</w:t>
      </w:r>
    </w:p>
    <w:p>
      <w:pPr>
        <w:spacing w:after="0" w:line="242" w:lineRule="exact"/>
        <w:rPr>
          <w:sz w:val="20"/>
          <w:szCs w:val="20"/>
          <w:color w:val="auto"/>
        </w:rPr>
      </w:pPr>
    </w:p>
    <w:p>
      <w:pPr>
        <w:ind w:left="5240"/>
        <w:spacing w:after="0"/>
        <w:rPr>
          <w:sz w:val="20"/>
          <w:szCs w:val="20"/>
          <w:color w:val="auto"/>
        </w:rPr>
      </w:pPr>
      <w:r>
        <w:rPr>
          <w:rFonts w:ascii="Calibri" w:cs="Calibri" w:eastAsia="Calibri" w:hAnsi="Calibri"/>
          <w:sz w:val="20"/>
          <w:szCs w:val="20"/>
          <w:color w:val="auto"/>
        </w:rPr>
        <w:t>/s/ David S. Ege</w:t>
      </w:r>
    </w:p>
    <w:p>
      <w:pPr>
        <w:ind w:left="5240"/>
        <w:spacing w:after="0" w:line="238" w:lineRule="auto"/>
        <w:rPr>
          <w:sz w:val="20"/>
          <w:szCs w:val="20"/>
          <w:color w:val="auto"/>
        </w:rPr>
      </w:pPr>
      <w:r>
        <w:rPr>
          <w:rFonts w:ascii="Calibri" w:cs="Calibri" w:eastAsia="Calibri" w:hAnsi="Calibri"/>
          <w:sz w:val="20"/>
          <w:szCs w:val="20"/>
          <w:color w:val="auto"/>
        </w:rPr>
        <w:t>David S. Ege</w:t>
      </w:r>
    </w:p>
    <w:p>
      <w:pPr>
        <w:ind w:left="5240"/>
        <w:spacing w:after="0"/>
        <w:rPr>
          <w:sz w:val="20"/>
          <w:szCs w:val="20"/>
          <w:color w:val="auto"/>
        </w:rPr>
      </w:pPr>
      <w:r>
        <w:rPr>
          <w:rFonts w:ascii="Calibri" w:cs="Calibri" w:eastAsia="Calibri" w:hAnsi="Calibri"/>
          <w:sz w:val="20"/>
          <w:szCs w:val="20"/>
          <w:color w:val="auto"/>
        </w:rPr>
        <w:t>EVP &amp; Chief Technical Ofcer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Accepted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/s/[***]</w:t>
      </w:r>
    </w:p>
    <w:p>
      <w:pPr>
        <w:spacing w:after="0" w:line="238" w:lineRule="auto"/>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946150</wp:posOffset>
            </wp:positionV>
            <wp:extent cx="1585595" cy="6515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200 Sidney Street</w:t>
      </w:r>
    </w:p>
    <w:p>
      <w:pPr>
        <w:spacing w:after="0" w:line="1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Cambridge, MA 02139</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Tel: 617-945-9626</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www.serestherapeutics.com</w:t>
      </w:r>
    </w:p>
    <w:p>
      <w:pPr>
        <w:spacing w:after="0" w:line="200" w:lineRule="exact"/>
        <w:rPr>
          <w:sz w:val="20"/>
          <w:szCs w:val="20"/>
          <w:color w:val="auto"/>
        </w:rPr>
      </w:pPr>
    </w:p>
    <w:p>
      <w:pPr>
        <w:spacing w:after="0" w:line="248" w:lineRule="exact"/>
        <w:rPr>
          <w:sz w:val="20"/>
          <w:szCs w:val="20"/>
          <w:color w:val="auto"/>
        </w:rPr>
      </w:pPr>
    </w:p>
    <w:p>
      <w:pPr>
        <w:ind w:left="6500"/>
        <w:spacing w:after="0"/>
        <w:rPr>
          <w:sz w:val="20"/>
          <w:szCs w:val="20"/>
          <w:color w:val="auto"/>
        </w:rPr>
      </w:pPr>
      <w:r>
        <w:rPr>
          <w:rFonts w:ascii="Calibri" w:cs="Calibri" w:eastAsia="Calibri" w:hAnsi="Calibri"/>
          <w:sz w:val="20"/>
          <w:szCs w:val="20"/>
          <w:color w:val="auto"/>
        </w:rPr>
        <w:t>December 6, 2021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940" w:type="dxa"/>
            <w:vAlign w:val="bottom"/>
          </w:tcPr>
          <w:p>
            <w:pPr>
              <w:spacing w:after="0"/>
              <w:rPr>
                <w:sz w:val="20"/>
                <w:szCs w:val="20"/>
                <w:color w:val="auto"/>
              </w:rPr>
            </w:pPr>
            <w:r>
              <w:rPr>
                <w:rFonts w:ascii="Calibri" w:cs="Calibri" w:eastAsia="Calibri" w:hAnsi="Calibri"/>
                <w:sz w:val="20"/>
                <w:szCs w:val="20"/>
                <w:color w:val="auto"/>
              </w:rPr>
              <w:t>GenIbet Biopharmaceutcals SA</w:t>
            </w:r>
          </w:p>
        </w:tc>
        <w:tc>
          <w:tcPr>
            <w:tcW w:w="1300" w:type="dxa"/>
            <w:vAlign w:val="bottom"/>
            <w:gridSpan w:val="2"/>
          </w:tcPr>
          <w:p>
            <w:pPr>
              <w:spacing w:after="0"/>
              <w:rPr>
                <w:sz w:val="20"/>
                <w:szCs w:val="20"/>
                <w:color w:val="auto"/>
              </w:rPr>
            </w:pPr>
            <w:r>
              <w:rPr>
                <w:rFonts w:ascii="Calibri" w:cs="Calibri" w:eastAsia="Calibri" w:hAnsi="Calibri"/>
                <w:sz w:val="20"/>
                <w:szCs w:val="20"/>
                <w:b w:val="1"/>
                <w:bCs w:val="1"/>
                <w:color w:val="auto"/>
                <w:w w:val="99"/>
              </w:rPr>
              <w:t xml:space="preserve">Via Email: </w:t>
            </w:r>
            <w:r>
              <w:rPr>
                <w:rFonts w:ascii="Calibri" w:cs="Calibri" w:eastAsia="Calibri" w:hAnsi="Calibri"/>
                <w:sz w:val="20"/>
                <w:szCs w:val="20"/>
                <w:color w:val="auto"/>
                <w:w w:val="99"/>
              </w:rPr>
              <w:t>[***]</w:t>
            </w:r>
          </w:p>
        </w:tc>
      </w:tr>
      <w:tr>
        <w:trPr>
          <w:trHeight w:val="258"/>
        </w:trPr>
        <w:tc>
          <w:tcPr>
            <w:tcW w:w="2940" w:type="dxa"/>
            <w:vAlign w:val="bottom"/>
          </w:tcPr>
          <w:p>
            <w:pPr>
              <w:spacing w:after="0"/>
              <w:rPr>
                <w:sz w:val="20"/>
                <w:szCs w:val="20"/>
                <w:color w:val="auto"/>
              </w:rPr>
            </w:pPr>
            <w:r>
              <w:rPr>
                <w:rFonts w:ascii="Calibri" w:cs="Calibri" w:eastAsia="Calibri" w:hAnsi="Calibri"/>
                <w:sz w:val="20"/>
                <w:szCs w:val="20"/>
                <w:color w:val="auto"/>
              </w:rPr>
              <w:t>Estação Acronómica Nacional</w:t>
            </w:r>
          </w:p>
        </w:tc>
        <w:tc>
          <w:tcPr>
            <w:tcW w:w="320" w:type="dxa"/>
            <w:vAlign w:val="bottom"/>
            <w:tcBorders>
              <w:top w:val="single" w:sz="8" w:color="auto"/>
            </w:tcBorders>
          </w:tcPr>
          <w:p>
            <w:pPr>
              <w:spacing w:after="0"/>
              <w:rPr>
                <w:sz w:val="22"/>
                <w:szCs w:val="22"/>
                <w:color w:val="auto"/>
              </w:rPr>
            </w:pPr>
          </w:p>
        </w:tc>
        <w:tc>
          <w:tcPr>
            <w:tcW w:w="980" w:type="dxa"/>
            <w:vAlign w:val="bottom"/>
          </w:tcPr>
          <w:p>
            <w:pPr>
              <w:spacing w:after="0"/>
              <w:rPr>
                <w:sz w:val="22"/>
                <w:szCs w:val="22"/>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Avenida da República</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2780-157 Oeiras, PORTUGAL</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2940" w:type="dxa"/>
            <w:vAlign w:val="bottom"/>
          </w:tcPr>
          <w:p>
            <w:pPr>
              <w:spacing w:after="0" w:line="243" w:lineRule="exact"/>
              <w:rPr>
                <w:sz w:val="20"/>
                <w:szCs w:val="20"/>
                <w:color w:val="auto"/>
              </w:rPr>
            </w:pPr>
            <w:r>
              <w:rPr>
                <w:rFonts w:ascii="Calibri" w:cs="Calibri" w:eastAsia="Calibri" w:hAnsi="Calibri"/>
                <w:sz w:val="20"/>
                <w:szCs w:val="20"/>
                <w:color w:val="auto"/>
              </w:rPr>
              <w:t>Atenton: [***]</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52" w:lineRule="exact"/>
        <w:rPr>
          <w:sz w:val="20"/>
          <w:szCs w:val="20"/>
          <w:color w:val="auto"/>
        </w:rPr>
      </w:pPr>
    </w:p>
    <w:p>
      <w:pPr>
        <w:ind w:right="120" w:firstLine="749"/>
        <w:spacing w:after="0" w:line="234" w:lineRule="auto"/>
        <w:rPr>
          <w:sz w:val="20"/>
          <w:szCs w:val="20"/>
          <w:color w:val="auto"/>
        </w:rPr>
      </w:pPr>
      <w:r>
        <w:rPr>
          <w:rFonts w:ascii="Calibri" w:cs="Calibri" w:eastAsia="Calibri" w:hAnsi="Calibri"/>
          <w:sz w:val="20"/>
          <w:szCs w:val="20"/>
          <w:b w:val="1"/>
          <w:bCs w:val="1"/>
          <w:color w:val="auto"/>
        </w:rPr>
        <w:t>Re: Supply Agreement efectve September 15, 2015, as subsequently amended and extended (the "Agreement") by and between Seres Therapeutcs, Inc. ("Seres") and Genlbet BioPharmaceutcals SA ("Genlbet").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Dear [***]:</w:t>
      </w:r>
    </w:p>
    <w:p>
      <w:pPr>
        <w:spacing w:after="0" w:line="252"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color w:val="auto"/>
        </w:rPr>
        <w:t>Pursuant to Secton 15.1 of the Agreement, this leter serves as notce that Seres will extend the Term of the Agreement through [***], on the now-current terms and conditons.</w:t>
      </w:r>
    </w:p>
    <w:p>
      <w:pPr>
        <w:spacing w:after="0" w:line="243" w:lineRule="exact"/>
        <w:rPr>
          <w:sz w:val="20"/>
          <w:szCs w:val="20"/>
          <w:color w:val="auto"/>
        </w:rPr>
      </w:pPr>
    </w:p>
    <w:p>
      <w:pPr>
        <w:ind w:left="1480"/>
        <w:spacing w:after="0"/>
        <w:rPr>
          <w:sz w:val="20"/>
          <w:szCs w:val="20"/>
          <w:color w:val="auto"/>
        </w:rPr>
      </w:pPr>
      <w:r>
        <w:rPr>
          <w:rFonts w:ascii="Calibri" w:cs="Calibri" w:eastAsia="Calibri" w:hAnsi="Calibri"/>
          <w:sz w:val="20"/>
          <w:szCs w:val="20"/>
          <w:color w:val="auto"/>
        </w:rPr>
        <w:t>Please confrm receipt of this leter by providing your e-signature below.</w:t>
      </w:r>
    </w:p>
    <w:p>
      <w:pPr>
        <w:spacing w:after="0" w:line="242" w:lineRule="exact"/>
        <w:rPr>
          <w:sz w:val="20"/>
          <w:szCs w:val="20"/>
          <w:color w:val="auto"/>
        </w:rPr>
      </w:pPr>
    </w:p>
    <w:p>
      <w:pPr>
        <w:ind w:left="6000"/>
        <w:spacing w:after="0"/>
        <w:rPr>
          <w:sz w:val="20"/>
          <w:szCs w:val="20"/>
          <w:color w:val="auto"/>
        </w:rPr>
      </w:pPr>
      <w:r>
        <w:rPr>
          <w:rFonts w:ascii="Calibri" w:cs="Calibri" w:eastAsia="Calibri" w:hAnsi="Calibri"/>
          <w:sz w:val="20"/>
          <w:szCs w:val="20"/>
          <w:color w:val="auto"/>
        </w:rPr>
        <w:t>Best Regards,</w:t>
      </w:r>
    </w:p>
    <w:p>
      <w:pPr>
        <w:spacing w:after="0" w:line="242" w:lineRule="exact"/>
        <w:rPr>
          <w:sz w:val="20"/>
          <w:szCs w:val="20"/>
          <w:color w:val="auto"/>
        </w:rPr>
      </w:pPr>
    </w:p>
    <w:p>
      <w:pPr>
        <w:ind w:left="6000"/>
        <w:spacing w:after="0"/>
        <w:rPr>
          <w:sz w:val="20"/>
          <w:szCs w:val="20"/>
          <w:color w:val="auto"/>
        </w:rPr>
      </w:pPr>
      <w:r>
        <w:rPr>
          <w:rFonts w:ascii="Calibri" w:cs="Calibri" w:eastAsia="Calibri" w:hAnsi="Calibri"/>
          <w:sz w:val="20"/>
          <w:szCs w:val="20"/>
          <w:color w:val="auto"/>
        </w:rPr>
        <w:t>/s/David S. Ege</w:t>
      </w:r>
    </w:p>
    <w:p>
      <w:pPr>
        <w:ind w:left="6000"/>
        <w:spacing w:after="0" w:line="238" w:lineRule="auto"/>
        <w:rPr>
          <w:sz w:val="20"/>
          <w:szCs w:val="20"/>
          <w:color w:val="auto"/>
        </w:rPr>
      </w:pPr>
      <w:r>
        <w:rPr>
          <w:rFonts w:ascii="Calibri" w:cs="Calibri" w:eastAsia="Calibri" w:hAnsi="Calibri"/>
          <w:sz w:val="20"/>
          <w:szCs w:val="20"/>
          <w:color w:val="auto"/>
        </w:rPr>
        <w:t>David S. Ege</w:t>
      </w:r>
    </w:p>
    <w:p>
      <w:pPr>
        <w:ind w:left="6000"/>
        <w:spacing w:after="0"/>
        <w:rPr>
          <w:sz w:val="20"/>
          <w:szCs w:val="20"/>
          <w:color w:val="auto"/>
        </w:rPr>
      </w:pPr>
      <w:r>
        <w:rPr>
          <w:rFonts w:ascii="Calibri" w:cs="Calibri" w:eastAsia="Calibri" w:hAnsi="Calibri"/>
          <w:sz w:val="20"/>
          <w:szCs w:val="20"/>
          <w:color w:val="auto"/>
        </w:rPr>
        <w:t>EVP &amp; Chief Technical Ofcer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Accepted and Agreed: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/s/[***]</w:t>
      </w:r>
    </w:p>
    <w:p>
      <w:pPr>
        <w:spacing w:after="0" w:line="238" w:lineRule="auto"/>
        <w:rPr>
          <w:sz w:val="20"/>
          <w:szCs w:val="20"/>
          <w:color w:val="auto"/>
        </w:rPr>
      </w:pPr>
      <w:r>
        <w:rPr>
          <w:rFonts w:ascii="Calibri" w:cs="Calibri" w:eastAsia="Calibri" w:hAnsi="Calibri"/>
          <w:sz w:val="20"/>
          <w:szCs w:val="20"/>
          <w:color w:val="auto"/>
        </w:rPr>
        <w:t>[***]</w:t>
      </w:r>
    </w:p>
    <w:p>
      <w:pPr>
        <w:spacing w:after="0"/>
        <w:rPr>
          <w:sz w:val="20"/>
          <w:szCs w:val="20"/>
          <w:color w:val="auto"/>
        </w:rPr>
      </w:pPr>
      <w:r>
        <w:rPr>
          <w:rFonts w:ascii="Calibri" w:cs="Calibri" w:eastAsia="Calibri" w:hAnsi="Calibri"/>
          <w:sz w:val="20"/>
          <w:szCs w:val="20"/>
          <w:color w:val="auto"/>
        </w:rPr>
        <w:t>12/9/2021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946150</wp:posOffset>
            </wp:positionV>
            <wp:extent cx="1585595" cy="6515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200 Sidney Street</w:t>
      </w:r>
    </w:p>
    <w:p>
      <w:pPr>
        <w:spacing w:after="0" w:line="1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Cambridge, MA 02139</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Tel: 617-945-9626</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www.serestherapeutics.com</w:t>
      </w:r>
    </w:p>
    <w:p>
      <w:pPr>
        <w:spacing w:after="0" w:line="200" w:lineRule="exact"/>
        <w:rPr>
          <w:sz w:val="20"/>
          <w:szCs w:val="20"/>
          <w:color w:val="auto"/>
        </w:rPr>
      </w:pPr>
    </w:p>
    <w:p>
      <w:pPr>
        <w:spacing w:after="0" w:line="248" w:lineRule="exact"/>
        <w:rPr>
          <w:sz w:val="20"/>
          <w:szCs w:val="20"/>
          <w:color w:val="auto"/>
        </w:rPr>
      </w:pPr>
    </w:p>
    <w:p>
      <w:pPr>
        <w:ind w:left="6920"/>
        <w:spacing w:after="0"/>
        <w:rPr>
          <w:sz w:val="20"/>
          <w:szCs w:val="20"/>
          <w:color w:val="auto"/>
        </w:rPr>
      </w:pPr>
      <w:r>
        <w:rPr>
          <w:rFonts w:ascii="Calibri" w:cs="Calibri" w:eastAsia="Calibri" w:hAnsi="Calibri"/>
          <w:sz w:val="20"/>
          <w:szCs w:val="20"/>
          <w:color w:val="auto"/>
        </w:rPr>
        <w:t>March 22, 2022</w:t>
      </w:r>
    </w:p>
    <w:p>
      <w:pPr>
        <w:spacing w:after="0" w:line="242" w:lineRule="exact"/>
        <w:rPr>
          <w:sz w:val="20"/>
          <w:szCs w:val="20"/>
          <w:color w:val="auto"/>
        </w:rPr>
      </w:pPr>
    </w:p>
    <w:p>
      <w:pPr>
        <w:ind w:left="1500"/>
        <w:spacing w:after="0"/>
        <w:rPr>
          <w:sz w:val="20"/>
          <w:szCs w:val="20"/>
          <w:color w:val="auto"/>
        </w:rPr>
      </w:pPr>
      <w:r>
        <w:rPr>
          <w:rFonts w:ascii="Calibri" w:cs="Calibri" w:eastAsia="Calibri" w:hAnsi="Calibri"/>
          <w:sz w:val="20"/>
          <w:szCs w:val="20"/>
          <w:b w:val="1"/>
          <w:bCs w:val="1"/>
          <w:u w:val="single" w:color="auto"/>
          <w:color w:val="auto"/>
        </w:rPr>
        <w:t>Sent via email: [***]</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GenIbet Biopharmaceutcals SA</w:t>
      </w:r>
    </w:p>
    <w:p>
      <w:pPr>
        <w:spacing w:after="0" w:line="238" w:lineRule="auto"/>
        <w:rPr>
          <w:sz w:val="20"/>
          <w:szCs w:val="20"/>
          <w:color w:val="auto"/>
        </w:rPr>
      </w:pPr>
      <w:r>
        <w:rPr>
          <w:rFonts w:ascii="Calibri" w:cs="Calibri" w:eastAsia="Calibri" w:hAnsi="Calibri"/>
          <w:sz w:val="20"/>
          <w:szCs w:val="20"/>
          <w:color w:val="auto"/>
        </w:rPr>
        <w:t>Estação Acronómica Nacional</w:t>
      </w:r>
    </w:p>
    <w:p>
      <w:pPr>
        <w:spacing w:after="0"/>
        <w:rPr>
          <w:sz w:val="20"/>
          <w:szCs w:val="20"/>
          <w:color w:val="auto"/>
        </w:rPr>
      </w:pPr>
      <w:r>
        <w:rPr>
          <w:rFonts w:ascii="Calibri" w:cs="Calibri" w:eastAsia="Calibri" w:hAnsi="Calibri"/>
          <w:sz w:val="20"/>
          <w:szCs w:val="20"/>
          <w:color w:val="auto"/>
        </w:rPr>
        <w:t>Avenida da República</w:t>
      </w:r>
    </w:p>
    <w:p>
      <w:pPr>
        <w:spacing w:after="0" w:line="238" w:lineRule="auto"/>
        <w:rPr>
          <w:sz w:val="20"/>
          <w:szCs w:val="20"/>
          <w:color w:val="auto"/>
        </w:rPr>
      </w:pPr>
      <w:r>
        <w:rPr>
          <w:rFonts w:ascii="Calibri" w:cs="Calibri" w:eastAsia="Calibri" w:hAnsi="Calibri"/>
          <w:sz w:val="20"/>
          <w:szCs w:val="20"/>
          <w:color w:val="auto"/>
        </w:rPr>
        <w:t>2780-157 Oeiras, PORTUGAL</w:t>
      </w:r>
    </w:p>
    <w:p>
      <w:pPr>
        <w:spacing w:after="0"/>
        <w:rPr>
          <w:sz w:val="20"/>
          <w:szCs w:val="20"/>
          <w:color w:val="auto"/>
        </w:rPr>
      </w:pPr>
      <w:r>
        <w:rPr>
          <w:rFonts w:ascii="Calibri" w:cs="Calibri" w:eastAsia="Calibri" w:hAnsi="Calibri"/>
          <w:sz w:val="20"/>
          <w:szCs w:val="20"/>
          <w:color w:val="auto"/>
        </w:rPr>
        <w:t>Atenton: [***]</w:t>
      </w:r>
    </w:p>
    <w:p>
      <w:pPr>
        <w:spacing w:after="0" w:line="251" w:lineRule="exact"/>
        <w:rPr>
          <w:sz w:val="20"/>
          <w:szCs w:val="20"/>
          <w:color w:val="auto"/>
        </w:rPr>
      </w:pPr>
    </w:p>
    <w:p>
      <w:pPr>
        <w:ind w:right="20" w:firstLine="749"/>
        <w:spacing w:after="0" w:line="234" w:lineRule="auto"/>
        <w:rPr>
          <w:sz w:val="20"/>
          <w:szCs w:val="20"/>
          <w:color w:val="auto"/>
        </w:rPr>
      </w:pPr>
      <w:r>
        <w:rPr>
          <w:rFonts w:ascii="Calibri" w:cs="Calibri" w:eastAsia="Calibri" w:hAnsi="Calibri"/>
          <w:sz w:val="20"/>
          <w:szCs w:val="20"/>
          <w:b w:val="1"/>
          <w:bCs w:val="1"/>
          <w:color w:val="auto"/>
        </w:rPr>
        <w:t>Re: Supply Agreement efectve September 15, 2015, as subsequently amended and extended (the "Agreement") by and between Seres Therapeutcs, Inc. ("Seres") and Genlbet BioPharmaceutcals SA ("Genlbet").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Dear [***]:</w:t>
      </w:r>
    </w:p>
    <w:p>
      <w:pPr>
        <w:spacing w:after="0" w:line="252"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color w:val="auto"/>
        </w:rPr>
        <w:t>Pursuant to Secton 15.1 of the Agreement, this leter serves as notce that Seres will extend the Term of the Agreement through June 30, 2023, on the now-current terms and conditons.</w:t>
      </w:r>
    </w:p>
    <w:p>
      <w:pPr>
        <w:spacing w:after="0" w:line="243" w:lineRule="exact"/>
        <w:rPr>
          <w:sz w:val="20"/>
          <w:szCs w:val="20"/>
          <w:color w:val="auto"/>
        </w:rPr>
      </w:pPr>
    </w:p>
    <w:p>
      <w:pPr>
        <w:ind w:left="5820"/>
        <w:spacing w:after="0"/>
        <w:rPr>
          <w:sz w:val="20"/>
          <w:szCs w:val="20"/>
          <w:color w:val="auto"/>
        </w:rPr>
      </w:pPr>
      <w:r>
        <w:rPr>
          <w:rFonts w:ascii="Calibri" w:cs="Calibri" w:eastAsia="Calibri" w:hAnsi="Calibri"/>
          <w:sz w:val="20"/>
          <w:szCs w:val="20"/>
          <w:color w:val="auto"/>
        </w:rPr>
        <w:t>Best Regards,</w:t>
      </w:r>
    </w:p>
    <w:p>
      <w:pPr>
        <w:spacing w:after="0" w:line="242" w:lineRule="exact"/>
        <w:rPr>
          <w:sz w:val="20"/>
          <w:szCs w:val="20"/>
          <w:color w:val="auto"/>
        </w:rPr>
      </w:pPr>
    </w:p>
    <w:p>
      <w:pPr>
        <w:ind w:left="5820"/>
        <w:spacing w:after="0"/>
        <w:rPr>
          <w:sz w:val="20"/>
          <w:szCs w:val="20"/>
          <w:color w:val="auto"/>
        </w:rPr>
      </w:pPr>
      <w:r>
        <w:rPr>
          <w:rFonts w:ascii="Calibri" w:cs="Calibri" w:eastAsia="Calibri" w:hAnsi="Calibri"/>
          <w:sz w:val="20"/>
          <w:szCs w:val="20"/>
          <w:color w:val="auto"/>
        </w:rPr>
        <w:t>/s/David S. Ege</w:t>
      </w:r>
    </w:p>
    <w:p>
      <w:pPr>
        <w:ind w:left="5820"/>
        <w:spacing w:after="0" w:line="238" w:lineRule="auto"/>
        <w:rPr>
          <w:sz w:val="20"/>
          <w:szCs w:val="20"/>
          <w:color w:val="auto"/>
        </w:rPr>
      </w:pPr>
      <w:r>
        <w:rPr>
          <w:rFonts w:ascii="Calibri" w:cs="Calibri" w:eastAsia="Calibri" w:hAnsi="Calibri"/>
          <w:sz w:val="20"/>
          <w:szCs w:val="20"/>
          <w:color w:val="auto"/>
        </w:rPr>
        <w:t>David S. Ege</w:t>
      </w:r>
    </w:p>
    <w:p>
      <w:pPr>
        <w:ind w:left="5820"/>
        <w:spacing w:after="0"/>
        <w:rPr>
          <w:sz w:val="20"/>
          <w:szCs w:val="20"/>
          <w:color w:val="auto"/>
        </w:rPr>
      </w:pPr>
      <w:r>
        <w:rPr>
          <w:rFonts w:ascii="Calibri" w:cs="Calibri" w:eastAsia="Calibri" w:hAnsi="Calibri"/>
          <w:sz w:val="20"/>
          <w:szCs w:val="20"/>
          <w:color w:val="auto"/>
        </w:rPr>
        <w:t>EVP &amp; Chief Technical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1100455</wp:posOffset>
            </wp:positionV>
            <wp:extent cx="1585595" cy="6515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200 Sidney Street</w:t>
      </w:r>
    </w:p>
    <w:p>
      <w:pPr>
        <w:spacing w:after="0" w:line="1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Cambridge, MA 02139</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Tel: 617-945-9626</w:t>
      </w:r>
    </w:p>
    <w:p>
      <w:pPr>
        <w:spacing w:after="0" w:line="1"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www.serestherapeutics.com</w:t>
      </w:r>
    </w:p>
    <w:p>
      <w:pPr>
        <w:spacing w:after="0" w:line="200" w:lineRule="exact"/>
        <w:rPr>
          <w:sz w:val="20"/>
          <w:szCs w:val="20"/>
          <w:color w:val="auto"/>
        </w:rPr>
      </w:pPr>
    </w:p>
    <w:p>
      <w:pPr>
        <w:spacing w:after="0" w:line="248" w:lineRule="exact"/>
        <w:rPr>
          <w:sz w:val="20"/>
          <w:szCs w:val="20"/>
          <w:color w:val="auto"/>
        </w:rPr>
      </w:pPr>
    </w:p>
    <w:p>
      <w:pPr>
        <w:ind w:left="6960"/>
        <w:spacing w:after="0"/>
        <w:rPr>
          <w:sz w:val="20"/>
          <w:szCs w:val="20"/>
          <w:color w:val="auto"/>
        </w:rPr>
      </w:pPr>
      <w:r>
        <w:rPr>
          <w:rFonts w:ascii="Calibri" w:cs="Calibri" w:eastAsia="Calibri" w:hAnsi="Calibri"/>
          <w:sz w:val="20"/>
          <w:szCs w:val="20"/>
          <w:color w:val="auto"/>
        </w:rPr>
        <w:t>March 6, 2023</w:t>
      </w:r>
    </w:p>
    <w:p>
      <w:pPr>
        <w:spacing w:after="0" w:line="252" w:lineRule="exact"/>
        <w:rPr>
          <w:sz w:val="20"/>
          <w:szCs w:val="20"/>
          <w:color w:val="auto"/>
        </w:rPr>
      </w:pPr>
    </w:p>
    <w:p>
      <w:pPr>
        <w:ind w:right="3240"/>
        <w:spacing w:after="0"/>
        <w:rPr>
          <w:sz w:val="20"/>
          <w:szCs w:val="20"/>
          <w:color w:val="auto"/>
        </w:rPr>
      </w:pPr>
      <w:r>
        <w:rPr>
          <w:rFonts w:ascii="Calibri" w:cs="Calibri" w:eastAsia="Calibri" w:hAnsi="Calibri"/>
          <w:sz w:val="20"/>
          <w:szCs w:val="20"/>
          <w:color w:val="auto"/>
        </w:rPr>
        <w:t xml:space="preserve">GenIbet Biopharmaceutcals SA </w:t>
      </w:r>
      <w:r>
        <w:rPr>
          <w:rFonts w:ascii="Calibri" w:cs="Calibri" w:eastAsia="Calibri" w:hAnsi="Calibri"/>
          <w:sz w:val="20"/>
          <w:szCs w:val="20"/>
          <w:b w:val="1"/>
          <w:bCs w:val="1"/>
          <w:u w:val="single" w:color="auto"/>
          <w:color w:val="auto"/>
        </w:rPr>
        <w:t>Via Email:</w:t>
      </w:r>
      <w:r>
        <w:rPr>
          <w:rFonts w:ascii="Calibri" w:cs="Calibri" w:eastAsia="Calibri" w:hAnsi="Calibri"/>
          <w:sz w:val="20"/>
          <w:szCs w:val="20"/>
          <w:color w:val="auto"/>
        </w:rPr>
        <w:t xml:space="preserve"> </w:t>
      </w:r>
      <w:r>
        <w:rPr>
          <w:rFonts w:ascii="Calibri" w:cs="Calibri" w:eastAsia="Calibri" w:hAnsi="Calibri"/>
          <w:sz w:val="20"/>
          <w:szCs w:val="20"/>
          <w:b w:val="1"/>
          <w:bCs w:val="1"/>
          <w:color w:val="0462C1"/>
        </w:rPr>
        <w:t>raquel.fortunato@genibet.eu</w:t>
      </w:r>
      <w:r>
        <w:rPr>
          <w:rFonts w:ascii="Calibri" w:cs="Calibri" w:eastAsia="Calibri" w:hAnsi="Calibri"/>
          <w:sz w:val="20"/>
          <w:szCs w:val="20"/>
          <w:color w:val="auto"/>
        </w:rPr>
        <w:t xml:space="preserve"> </w:t>
      </w:r>
      <w:r>
        <w:rPr>
          <w:rFonts w:ascii="Calibri" w:cs="Calibri" w:eastAsia="Calibri" w:hAnsi="Calibri"/>
          <w:sz w:val="20"/>
          <w:szCs w:val="20"/>
          <w:b w:val="1"/>
          <w:bCs w:val="1"/>
          <w:u w:val="single" w:color="auto"/>
          <w:color w:val="auto"/>
        </w:rPr>
        <w:t>and Federal Express</w:t>
      </w:r>
      <w:r>
        <w:rPr>
          <w:rFonts w:ascii="Calibri" w:cs="Calibri" w:eastAsia="Calibri" w:hAnsi="Calibri"/>
          <w:sz w:val="20"/>
          <w:szCs w:val="20"/>
          <w:color w:val="auto"/>
        </w:rPr>
        <w:t xml:space="preserve"> Estação Acronómica Nacional Avenida da República 2780-157 Oeiras, PORTUGAL</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color w:val="auto"/>
        </w:rPr>
        <w:t>Atenton: Raquel Fortunato</w:t>
      </w:r>
    </w:p>
    <w:p>
      <w:pPr>
        <w:spacing w:after="0" w:line="252" w:lineRule="exact"/>
        <w:rPr>
          <w:sz w:val="20"/>
          <w:szCs w:val="20"/>
          <w:color w:val="auto"/>
        </w:rPr>
      </w:pPr>
    </w:p>
    <w:p>
      <w:pPr>
        <w:ind w:right="20" w:firstLine="749"/>
        <w:spacing w:after="0" w:line="234" w:lineRule="auto"/>
        <w:rPr>
          <w:sz w:val="20"/>
          <w:szCs w:val="20"/>
          <w:color w:val="auto"/>
        </w:rPr>
      </w:pPr>
      <w:r>
        <w:rPr>
          <w:rFonts w:ascii="Calibri" w:cs="Calibri" w:eastAsia="Calibri" w:hAnsi="Calibri"/>
          <w:sz w:val="20"/>
          <w:szCs w:val="20"/>
          <w:b w:val="1"/>
          <w:bCs w:val="1"/>
          <w:color w:val="auto"/>
        </w:rPr>
        <w:t>Re: Supply Agreement efectve September 15, 2015, as subsequently amended and extended (the "Agreement") by and between Seres Therapeutcs, Inc. ("Seres") and Genlbet BioPharmaceutcals SA ("Genlbet").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Dear [***]:</w:t>
      </w:r>
    </w:p>
    <w:p>
      <w:pPr>
        <w:spacing w:after="0" w:line="252" w:lineRule="exact"/>
        <w:rPr>
          <w:sz w:val="20"/>
          <w:szCs w:val="20"/>
          <w:color w:val="auto"/>
        </w:rPr>
      </w:pPr>
    </w:p>
    <w:p>
      <w:pPr>
        <w:ind w:firstLine="749"/>
        <w:spacing w:after="0" w:line="234" w:lineRule="auto"/>
        <w:rPr>
          <w:sz w:val="20"/>
          <w:szCs w:val="20"/>
          <w:color w:val="auto"/>
        </w:rPr>
      </w:pPr>
      <w:r>
        <w:rPr>
          <w:rFonts w:ascii="Calibri" w:cs="Calibri" w:eastAsia="Calibri" w:hAnsi="Calibri"/>
          <w:sz w:val="20"/>
          <w:szCs w:val="20"/>
          <w:color w:val="auto"/>
        </w:rPr>
        <w:t>Pursuant to Secton 15.1 of the Agreement, this leter serves as notce that Seres will extend the Term of the Agreement through June 30, 2024, on the now-current terms and conditons.</w:t>
      </w:r>
    </w:p>
    <w:p>
      <w:pPr>
        <w:spacing w:after="0" w:line="243" w:lineRule="exact"/>
        <w:rPr>
          <w:sz w:val="20"/>
          <w:szCs w:val="20"/>
          <w:color w:val="auto"/>
        </w:rPr>
      </w:pPr>
    </w:p>
    <w:p>
      <w:pPr>
        <w:ind w:left="5820"/>
        <w:spacing w:after="0"/>
        <w:rPr>
          <w:sz w:val="20"/>
          <w:szCs w:val="20"/>
          <w:color w:val="auto"/>
        </w:rPr>
      </w:pPr>
      <w:r>
        <w:rPr>
          <w:rFonts w:ascii="Calibri" w:cs="Calibri" w:eastAsia="Calibri" w:hAnsi="Calibri"/>
          <w:sz w:val="20"/>
          <w:szCs w:val="20"/>
          <w:color w:val="auto"/>
        </w:rPr>
        <w:t>Best Regards,</w:t>
      </w:r>
    </w:p>
    <w:p>
      <w:pPr>
        <w:spacing w:after="0" w:line="242" w:lineRule="exact"/>
        <w:rPr>
          <w:sz w:val="20"/>
          <w:szCs w:val="20"/>
          <w:color w:val="auto"/>
        </w:rPr>
      </w:pPr>
    </w:p>
    <w:p>
      <w:pPr>
        <w:ind w:left="5820"/>
        <w:spacing w:after="0"/>
        <w:rPr>
          <w:sz w:val="20"/>
          <w:szCs w:val="20"/>
          <w:color w:val="auto"/>
        </w:rPr>
      </w:pPr>
      <w:r>
        <w:rPr>
          <w:rFonts w:ascii="Calibri" w:cs="Calibri" w:eastAsia="Calibri" w:hAnsi="Calibri"/>
          <w:sz w:val="20"/>
          <w:szCs w:val="20"/>
          <w:color w:val="auto"/>
        </w:rPr>
        <w:t>/s/David S. Ege</w:t>
      </w:r>
    </w:p>
    <w:p>
      <w:pPr>
        <w:ind w:left="5820"/>
        <w:spacing w:after="0" w:line="238" w:lineRule="auto"/>
        <w:rPr>
          <w:sz w:val="20"/>
          <w:szCs w:val="20"/>
          <w:color w:val="auto"/>
        </w:rPr>
      </w:pPr>
      <w:r>
        <w:rPr>
          <w:rFonts w:ascii="Calibri" w:cs="Calibri" w:eastAsia="Calibri" w:hAnsi="Calibri"/>
          <w:sz w:val="20"/>
          <w:szCs w:val="20"/>
          <w:color w:val="auto"/>
        </w:rPr>
        <w:t>David S. Ege</w:t>
      </w:r>
    </w:p>
    <w:p>
      <w:pPr>
        <w:ind w:left="5820"/>
        <w:spacing w:after="0"/>
        <w:rPr>
          <w:sz w:val="20"/>
          <w:szCs w:val="20"/>
          <w:color w:val="auto"/>
        </w:rPr>
      </w:pPr>
      <w:r>
        <w:rPr>
          <w:rFonts w:ascii="Calibri" w:cs="Calibri" w:eastAsia="Calibri" w:hAnsi="Calibri"/>
          <w:sz w:val="20"/>
          <w:szCs w:val="20"/>
          <w:color w:val="auto"/>
        </w:rPr>
        <w:t>EVP &amp; Chief Technical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ind w:left="10280"/>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333-273794) and S-8 (No. 333-205253, 333-210171, 333-223514, 333-230092, 333-236824, 333-253776, 333-263134, and 333-270319) of Seres Therapeutics, Inc. of our report dated March 5, 2024 relating to the financial statements,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5, 2024</w:t>
      </w:r>
    </w:p>
    <w:p>
      <w:pPr>
        <w:spacing w:after="0" w:line="186" w:lineRule="exact"/>
        <w:rPr>
          <w:sz w:val="20"/>
          <w:szCs w:val="20"/>
          <w:color w:val="auto"/>
        </w:rPr>
      </w:pPr>
    </w:p>
    <w:p>
      <w:pPr>
        <w:ind w:left="11160"/>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D. Shaff, certify that:</w:t>
      </w:r>
    </w:p>
    <w:p>
      <w:pPr>
        <w:spacing w:after="0" w:line="117" w:lineRule="exact"/>
        <w:rPr>
          <w:sz w:val="20"/>
          <w:szCs w:val="20"/>
          <w:color w:val="auto"/>
        </w:rPr>
      </w:pPr>
    </w:p>
    <w:p>
      <w:pPr>
        <w:ind w:left="700" w:hanging="183"/>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D. Shaff</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Arkowitz, certify that:</w:t>
      </w:r>
    </w:p>
    <w:p>
      <w:pPr>
        <w:spacing w:after="0" w:line="117" w:lineRule="exact"/>
        <w:rPr>
          <w:sz w:val="20"/>
          <w:szCs w:val="20"/>
          <w:color w:val="auto"/>
        </w:rPr>
      </w:pPr>
    </w:p>
    <w:p>
      <w:pPr>
        <w:ind w:left="700" w:hanging="183"/>
        <w:spacing w:after="0"/>
        <w:tabs>
          <w:tab w:leader="none" w:pos="7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Seres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40" w:firstLine="517"/>
        <w:spacing w:after="0" w:line="282" w:lineRule="auto"/>
        <w:tabs>
          <w:tab w:leader="none" w:pos="68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Arkowitz</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Business Development</w:t>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1377315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67" w:lineRule="exact"/>
        <w:rPr>
          <w:sz w:val="20"/>
          <w:szCs w:val="20"/>
          <w:color w:val="auto"/>
        </w:rPr>
      </w:pPr>
    </w:p>
    <w:p>
      <w:pPr>
        <w:ind w:left="1020" w:right="800" w:hanging="503"/>
        <w:spacing w:after="0" w:line="282"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March 5, 2024</w:t>
      </w:r>
      <w:r>
        <w:rPr>
          <w:sz w:val="20"/>
          <w:szCs w:val="20"/>
          <w:color w:val="auto"/>
        </w:rPr>
        <w:tab/>
      </w:r>
      <w:r>
        <w:rPr>
          <w:rFonts w:ascii="Times New Roman" w:cs="Times New Roman" w:eastAsia="Times New Roman" w:hAnsi="Times New Roman"/>
          <w:sz w:val="17"/>
          <w:szCs w:val="17"/>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D. Shaff</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I, David Arkowitz, Executive Vice President, Chief Financial Officer and Head of Business Development of Seres Therapeutics, Inc. (the “Company”), hereby certify, pursuant to 18 U.S.C. §1350, as adopted pursuant to §906 of the Sarbanes-Oxley Act of 2002, that, to the best of my knowledge:</w:t>
      </w:r>
    </w:p>
    <w:p>
      <w:pPr>
        <w:spacing w:after="0" w:line="45" w:lineRule="exact"/>
        <w:rPr>
          <w:sz w:val="20"/>
          <w:szCs w:val="20"/>
          <w:color w:val="auto"/>
        </w:rPr>
      </w:pPr>
    </w:p>
    <w:p>
      <w:pPr>
        <w:ind w:left="1020" w:right="800" w:hanging="503"/>
        <w:spacing w:after="0" w:line="282" w:lineRule="auto"/>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2023 (the “Report”)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March 5, 2024</w:t>
      </w:r>
      <w:r>
        <w:rPr>
          <w:sz w:val="20"/>
          <w:szCs w:val="20"/>
          <w:color w:val="auto"/>
        </w:rPr>
        <w:tab/>
      </w:r>
      <w:r>
        <w:rPr>
          <w:rFonts w:ascii="Times New Roman" w:cs="Times New Roman" w:eastAsia="Times New Roman" w:hAnsi="Times New Roman"/>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Arkowitz</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Financial Officer and Head of Business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SERES THERAPEUTICS,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Seres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66" w:lineRule="exact"/>
        <w:rPr>
          <w:sz w:val="20"/>
          <w:szCs w:val="20"/>
          <w:color w:val="auto"/>
        </w:rPr>
      </w:pPr>
    </w:p>
    <w:p>
      <w:pPr>
        <w:ind w:left="760" w:hanging="752"/>
        <w:spacing w:after="0"/>
        <w:tabs>
          <w:tab w:leader="none" w:pos="760" w:val="left"/>
        </w:tabs>
        <w:numPr>
          <w:ilvl w:val="0"/>
          <w:numId w:val="17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69" w:lineRule="exact"/>
        <w:rPr>
          <w:sz w:val="20"/>
          <w:szCs w:val="20"/>
          <w:color w:val="auto"/>
        </w:rPr>
      </w:pPr>
    </w:p>
    <w:p>
      <w:pPr>
        <w:ind w:left="440" w:hanging="432"/>
        <w:spacing w:after="0"/>
        <w:tabs>
          <w:tab w:leader="none" w:pos="44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440" w:hanging="432"/>
        <w:spacing w:after="0"/>
        <w:tabs>
          <w:tab w:leader="none" w:pos="44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4" w:lineRule="exact"/>
        <w:rPr>
          <w:sz w:val="20"/>
          <w:szCs w:val="20"/>
          <w:color w:val="auto"/>
        </w:rPr>
      </w:pPr>
    </w:p>
    <w:p>
      <w:pPr>
        <w:ind w:left="440" w:hanging="432"/>
        <w:spacing w:after="0"/>
        <w:tabs>
          <w:tab w:leader="none" w:pos="44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jc w:val="both"/>
        <w:spacing w:after="0" w:line="236" w:lineRule="auto"/>
        <w:rPr>
          <w:sz w:val="20"/>
          <w:szCs w:val="20"/>
          <w:color w:val="auto"/>
        </w:rPr>
      </w:pPr>
      <w:r>
        <w:rPr>
          <w:rFonts w:ascii="Times New Roman" w:cs="Times New Roman" w:eastAsia="Times New Roman" w:hAnsi="Times New Roman"/>
          <w:sz w:val="22"/>
          <w:szCs w:val="22"/>
          <w:color w:val="auto"/>
        </w:rPr>
        <w:t>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7" w:lineRule="exact"/>
        <w:rPr>
          <w:sz w:val="20"/>
          <w:szCs w:val="20"/>
          <w:color w:val="auto"/>
        </w:rPr>
      </w:pPr>
    </w:p>
    <w:p>
      <w:pPr>
        <w:ind w:left="440" w:hanging="432"/>
        <w:spacing w:after="0"/>
        <w:tabs>
          <w:tab w:leader="none" w:pos="44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68" w:lineRule="exact"/>
        <w:rPr>
          <w:sz w:val="20"/>
          <w:szCs w:val="20"/>
          <w:color w:val="auto"/>
        </w:rPr>
      </w:pPr>
    </w:p>
    <w:p>
      <w:pPr>
        <w:ind w:left="440" w:hanging="432"/>
        <w:spacing w:after="0"/>
        <w:tabs>
          <w:tab w:leader="none" w:pos="440"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440" w:hanging="432"/>
        <w:spacing w:after="0"/>
        <w:tabs>
          <w:tab w:leader="none" w:pos="44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73" w:lineRule="exact"/>
        <w:rPr>
          <w:sz w:val="20"/>
          <w:szCs w:val="20"/>
          <w:color w:val="auto"/>
        </w:rPr>
      </w:pPr>
    </w:p>
    <w:p>
      <w:pPr>
        <w:ind w:left="440" w:hanging="432"/>
        <w:spacing w:after="0"/>
        <w:tabs>
          <w:tab w:leader="none" w:pos="44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1062990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2"/>
          <w:szCs w:val="22"/>
          <w:color w:val="auto"/>
        </w:rPr>
        <w:t>right or remedy at law or in equity that may be available to the Company or an affiliate of the Company.</w:t>
      </w:r>
    </w:p>
    <w:p>
      <w:pPr>
        <w:spacing w:after="0" w:line="202" w:lineRule="exact"/>
        <w:rPr>
          <w:sz w:val="20"/>
          <w:szCs w:val="20"/>
          <w:color w:val="auto"/>
        </w:rPr>
      </w:pPr>
    </w:p>
    <w:p>
      <w:pPr>
        <w:ind w:left="440" w:hanging="432"/>
        <w:spacing w:after="0"/>
        <w:tabs>
          <w:tab w:leader="none" w:pos="44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40" w:hanging="432"/>
        <w:spacing w:after="0"/>
        <w:tabs>
          <w:tab w:leader="none" w:pos="44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40" w:hanging="432"/>
        <w:spacing w:after="0"/>
        <w:tabs>
          <w:tab w:leader="none" w:pos="44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36" w:lineRule="exact"/>
        <w:rPr>
          <w:rFonts w:ascii="Times New Roman" w:cs="Times New Roman" w:eastAsia="Times New Roman" w:hAnsi="Times New Roman"/>
          <w:sz w:val="22"/>
          <w:szCs w:val="22"/>
          <w:b w:val="1"/>
          <w:bCs w:val="1"/>
          <w:color w:val="auto"/>
        </w:rPr>
      </w:pPr>
    </w:p>
    <w:p>
      <w:pPr>
        <w:jc w:val="both"/>
        <w:ind w:firstLine="432"/>
        <w:spacing w:after="0" w:line="24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91" w:lineRule="exact"/>
        <w:rPr>
          <w:sz w:val="20"/>
          <w:szCs w:val="20"/>
          <w:color w:val="auto"/>
        </w:rPr>
      </w:pPr>
    </w:p>
    <w:p>
      <w:pPr>
        <w:jc w:val="both"/>
        <w:ind w:right="20" w:firstLine="749"/>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43" w:lineRule="exact"/>
        <w:rPr>
          <w:sz w:val="20"/>
          <w:szCs w:val="20"/>
          <w:color w:val="auto"/>
        </w:rPr>
      </w:pPr>
    </w:p>
    <w:p>
      <w:pPr>
        <w:jc w:val="both"/>
        <w:ind w:right="20" w:firstLine="749"/>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37" w:lineRule="auto"/>
        <w:tabs>
          <w:tab w:leader="none" w:pos="31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spacing w:after="0" w:line="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254" w:name="page255"/>
    <w:bookmarkEnd w:id="2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1)"/>
      <w:numFmt w:val="lowerRoman"/>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endash "/>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1)"/>
      <w:numFmt w:val="lowerLetter"/>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
      <w:numFmt w:val="bullet"/>
      <w:start w:val="1"/>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
      <w:numFmt w:val="bullet"/>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1)"/>
      <w:numFmt w:val="lowerRoman"/>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
      <w:numFmt w:val="bullet"/>
      <w:start w:val="1"/>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1)"/>
      <w:numFmt w:val="lowerLetter"/>
      <w:start w:val="1"/>
    </w:lvl>
  </w:abstractNum>
  <w:abstractNum w:abstractNumId="61">
    <w:nsid w:val="56438D15"/>
    <w:multiLevelType w:val="hybridMultilevel"/>
    <w:lvl w:ilvl="0">
      <w:lvlJc w:val="left"/>
      <w:lvlText w:val="(%1)"/>
      <w:numFmt w:val="decimal"/>
      <w:start w:val="1"/>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
      <w:numFmt w:val="bullet"/>
      <w:start w:val="1"/>
    </w:lvl>
  </w:abstractNum>
  <w:abstractNum w:abstractNumId="64">
    <w:nsid w:val="17A1B582"/>
    <w:multiLevelType w:val="hybridMultilevel"/>
    <w:lvl w:ilvl="0">
      <w:lvlJc w:val="left"/>
      <w:lvlText w:val="[%1]"/>
      <w:numFmt w:val="decimal"/>
      <w:start w:val="1"/>
    </w:lvl>
  </w:abstractNum>
  <w:abstractNum w:abstractNumId="65">
    <w:nsid w:val="4DF72E4E"/>
    <w:multiLevelType w:val="hybridMultilevel"/>
    <w:lvl w:ilvl="0">
      <w:lvlJc w:val="left"/>
      <w:lvlText w:val="[%1]"/>
      <w:numFmt w:val="decimal"/>
      <w:start w:val="3"/>
    </w:lvl>
  </w:abstractNum>
  <w:abstractNum w:abstractNumId="66">
    <w:nsid w:val="5046B5A9"/>
    <w:multiLevelType w:val="hybridMultilevel"/>
    <w:lvl w:ilvl="0">
      <w:lvlJc w:val="left"/>
      <w:lvlText w:val="%1."/>
      <w:numFmt w:val="decimal"/>
      <w:start w:val="1"/>
    </w:lvl>
  </w:abstractNum>
  <w:abstractNum w:abstractNumId="67">
    <w:nsid w:val="5D888A08"/>
    <w:multiLevelType w:val="hybridMultilevel"/>
    <w:lvl w:ilvl="0">
      <w:lvlJc w:val="left"/>
      <w:lvlText w:val="%1."/>
      <w:numFmt w:val="decimal"/>
      <w:start w:val="2"/>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1."/>
      <w:numFmt w:val="lowerLetter"/>
      <w:start w:val="1"/>
    </w:lvl>
  </w:abstractNum>
  <w:abstractNum w:abstractNumId="70">
    <w:nsid w:val="19E21BB2"/>
    <w:multiLevelType w:val="hybridMultilevel"/>
    <w:lvl w:ilvl="0">
      <w:lvlJc w:val="left"/>
      <w:lvlText w:val="%1."/>
      <w:numFmt w:val="decimal"/>
      <w:start w:val="3"/>
    </w:lvl>
  </w:abstractNum>
  <w:abstractNum w:abstractNumId="71">
    <w:nsid w:val="75E0858A"/>
    <w:multiLevelType w:val="hybridMultilevel"/>
    <w:lvl w:ilvl="0">
      <w:lvlJc w:val="left"/>
      <w:lvlText w:val="%1."/>
      <w:numFmt w:val="decimal"/>
      <w:start w:val="4"/>
    </w:lvl>
  </w:abstractNum>
  <w:abstractNum w:abstractNumId="72">
    <w:nsid w:val="57A61A29"/>
    <w:multiLevelType w:val="hybridMultilevel"/>
    <w:lvl w:ilvl="0">
      <w:lvlJc w:val="left"/>
      <w:lvlText w:val="%1."/>
      <w:numFmt w:val="decimal"/>
      <w:start w:val="5"/>
    </w:lvl>
  </w:abstractNum>
  <w:abstractNum w:abstractNumId="73">
    <w:nsid w:val="5399C654"/>
    <w:multiLevelType w:val="hybridMultilevel"/>
    <w:lvl w:ilvl="0">
      <w:lvlJc w:val="left"/>
      <w:lvlText w:val="%1."/>
      <w:numFmt w:val="decimal"/>
      <w:start w:val="6"/>
    </w:lvl>
  </w:abstractNum>
  <w:abstractNum w:abstractNumId="74">
    <w:nsid w:val="20EE1348"/>
    <w:multiLevelType w:val="hybridMultilevel"/>
    <w:lvl w:ilvl="0">
      <w:lvlJc w:val="left"/>
      <w:lvlText w:val="%1."/>
      <w:numFmt w:val="decimal"/>
      <w:start w:val="7"/>
    </w:lvl>
  </w:abstractNum>
  <w:abstractNum w:abstractNumId="75">
    <w:nsid w:val="4427069A"/>
    <w:multiLevelType w:val="hybridMultilevel"/>
    <w:lvl w:ilvl="0">
      <w:lvlJc w:val="left"/>
      <w:lvlText w:val="%1."/>
      <w:numFmt w:val="decimal"/>
      <w:start w:val="8"/>
    </w:lvl>
  </w:abstractNum>
  <w:abstractNum w:abstractNumId="76">
    <w:nsid w:val="B37E80A"/>
    <w:multiLevelType w:val="hybridMultilevel"/>
    <w:lvl w:ilvl="0">
      <w:lvlJc w:val="left"/>
      <w:lvlText w:val="%1."/>
      <w:numFmt w:val="decimal"/>
      <w:start w:val="9"/>
    </w:lvl>
  </w:abstractNum>
  <w:abstractNum w:abstractNumId="77">
    <w:nsid w:val="2157F6BC"/>
    <w:multiLevelType w:val="hybridMultilevel"/>
    <w:lvl w:ilvl="0">
      <w:lvlJc w:val="left"/>
      <w:lvlText w:val="%1."/>
      <w:numFmt w:val="decimal"/>
      <w:start w:val="606"/>
    </w:lvl>
  </w:abstractNum>
  <w:abstractNum w:abstractNumId="78">
    <w:nsid w:val="704E1DD5"/>
    <w:multiLevelType w:val="hybridMultilevel"/>
    <w:lvl w:ilvl="0">
      <w:lvlJc w:val="left"/>
      <w:lvlText w:val="•"/>
      <w:numFmt w:val="bullet"/>
      <w:start w:val="1"/>
    </w:lvl>
  </w:abstractNum>
  <w:abstractNum w:abstractNumId="79">
    <w:nsid w:val="57D2F1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0">
    <w:nsid w:val="BFFAE1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E3E47A8"/>
    <w:multiLevelType w:val="hybridMultilevel"/>
    <w:lvl w:ilvl="0">
      <w:lvlJc w:val="left"/>
      <w:lvlText w:val="(%1)"/>
      <w:numFmt w:val="lowerLetter"/>
      <w:start w:val="1"/>
    </w:lvl>
  </w:abstractNum>
  <w:abstractNum w:abstractNumId="82">
    <w:nsid w:val="2E48F044"/>
    <w:multiLevelType w:val="hybridMultilevel"/>
    <w:lvl w:ilvl="0">
      <w:lvlJc w:val="left"/>
      <w:lvlText w:val="(%1)"/>
      <w:numFmt w:val="lowerLetter"/>
      <w:start w:val="1"/>
    </w:lvl>
  </w:abstractNum>
  <w:abstractNum w:abstractNumId="83">
    <w:nsid w:val="49D0FEAC"/>
    <w:multiLevelType w:val="hybridMultilevel"/>
    <w:lvl w:ilvl="0">
      <w:lvlJc w:val="left"/>
      <w:lvlText w:val="(%1)"/>
      <w:numFmt w:val="lowerLetter"/>
      <w:start w:val="3"/>
    </w:lvl>
    <w:lvl w:ilvl="1">
      <w:lvlJc w:val="left"/>
      <w:lvlText w:val="(%2)"/>
      <w:numFmt w:val="lowerRoman"/>
      <w:start w:val="1"/>
    </w:lvl>
  </w:abstractNum>
  <w:abstractNum w:abstractNumId="84">
    <w:nsid w:val="4BEE5A5B"/>
    <w:multiLevelType w:val="hybridMultilevel"/>
    <w:lvl w:ilvl="0">
      <w:lvlJc w:val="left"/>
      <w:lvlText w:val="(%1)"/>
      <w:numFmt w:val="lowerLetter"/>
      <w:start w:val="4"/>
    </w:lvl>
  </w:abstractNum>
  <w:abstractNum w:abstractNumId="85">
    <w:nsid w:val="5551B9F3"/>
    <w:multiLevelType w:val="hybridMultilevel"/>
    <w:lvl w:ilvl="0">
      <w:lvlJc w:val="left"/>
      <w:lvlText w:val="%1."/>
      <w:numFmt w:val="decimal"/>
      <w:start w:val="2"/>
    </w:lvl>
  </w:abstractNum>
  <w:abstractNum w:abstractNumId="86">
    <w:nsid w:val="24F6AB8E"/>
    <w:multiLevelType w:val="hybridMultilevel"/>
    <w:lvl w:ilvl="0">
      <w:lvlJc w:val="left"/>
      <w:lvlText w:val="(%1)"/>
      <w:numFmt w:val="lowerLetter"/>
      <w:start w:val="1"/>
    </w:lvl>
  </w:abstractNum>
  <w:abstractNum w:abstractNumId="87">
    <w:nsid w:val="634C574C"/>
    <w:multiLevelType w:val="hybridMultilevel"/>
    <w:lvl w:ilvl="0">
      <w:lvlJc w:val="left"/>
      <w:lvlText w:val="%1."/>
      <w:numFmt w:val="decimal"/>
      <w:start w:val="3"/>
    </w:lvl>
  </w:abstractNum>
  <w:abstractNum w:abstractNumId="88">
    <w:nsid w:val="24E99DD7"/>
    <w:multiLevelType w:val="hybridMultilevel"/>
    <w:lvl w:ilvl="0">
      <w:lvlJc w:val="left"/>
      <w:lvlText w:val="(%1)"/>
      <w:numFmt w:val="lowerLetter"/>
      <w:start w:val="1"/>
    </w:lvl>
    <w:lvl w:ilvl="1">
      <w:lvlJc w:val="left"/>
      <w:lvlText w:val="(%2)"/>
      <w:numFmt w:val="lowerLetter"/>
      <w:start w:val="9"/>
    </w:lvl>
  </w:abstractNum>
  <w:abstractNum w:abstractNumId="89">
    <w:nsid w:val="2A31B62D"/>
    <w:multiLevelType w:val="hybridMultilevel"/>
    <w:lvl w:ilvl="0">
      <w:lvlJc w:val="left"/>
      <w:lvlText w:val="(%1)"/>
      <w:numFmt w:val="lowerRoman"/>
      <w:start w:val="2"/>
    </w:lvl>
  </w:abstractNum>
  <w:abstractNum w:abstractNumId="90">
    <w:nsid w:val="1849C29B"/>
    <w:multiLevelType w:val="hybridMultilevel"/>
    <w:lvl w:ilvl="0">
      <w:lvlJc w:val="left"/>
      <w:lvlText w:val="%1."/>
      <w:numFmt w:val="decimal"/>
      <w:start w:val="4"/>
    </w:lvl>
  </w:abstractNum>
  <w:abstractNum w:abstractNumId="91">
    <w:nsid w:val="7DFF9D09"/>
    <w:multiLevelType w:val="hybridMultilevel"/>
    <w:lvl w:ilvl="0">
      <w:lvlJc w:val="left"/>
      <w:lvlText w:val="%1"/>
      <w:numFmt w:val="lowerLetter"/>
      <w:start w:val="1"/>
    </w:lvl>
    <w:lvl w:ilvl="1">
      <w:lvlJc w:val="left"/>
      <w:lvlText w:val="(%2)"/>
      <w:numFmt w:val="lowerLetter"/>
      <w:start w:val="1"/>
    </w:lvl>
  </w:abstractNum>
  <w:abstractNum w:abstractNumId="92">
    <w:nsid w:val="754342"/>
    <w:multiLevelType w:val="hybridMultilevel"/>
    <w:lvl w:ilvl="0">
      <w:lvlJc w:val="left"/>
      <w:lvlText w:val="(%1)"/>
      <w:numFmt w:val="lowerLetter"/>
      <w:start w:val="3"/>
    </w:lvl>
    <w:lvl w:ilvl="1">
      <w:lvlJc w:val="left"/>
      <w:lvlText w:val="%2"/>
      <w:numFmt w:val="lowerLetter"/>
      <w:start w:val="1"/>
    </w:lvl>
  </w:abstractNum>
  <w:abstractNum w:abstractNumId="93">
    <w:nsid w:val="69E7F3E5"/>
    <w:multiLevelType w:val="hybridMultilevel"/>
    <w:lvl w:ilvl="0">
      <w:lvlJc w:val="left"/>
      <w:lvlText w:val="%1"/>
      <w:numFmt w:val="lowerLetter"/>
      <w:start w:val="1"/>
    </w:lvl>
    <w:lvl w:ilvl="1">
      <w:lvlJc w:val="left"/>
      <w:lvlText w:val="(%2)"/>
      <w:numFmt w:val="lowerLetter"/>
      <w:start w:val="2"/>
    </w:lvl>
  </w:abstractNum>
  <w:abstractNum w:abstractNumId="94">
    <w:nsid w:val="2A6DE806"/>
    <w:multiLevelType w:val="hybridMultilevel"/>
    <w:lvl w:ilvl="0">
      <w:lvlJc w:val="left"/>
      <w:lvlText w:val="(%1)"/>
      <w:numFmt w:val="lowerLetter"/>
      <w:start w:val="61"/>
    </w:lvl>
    <w:lvl w:ilvl="1">
      <w:lvlJc w:val="left"/>
      <w:lvlText w:val="%2"/>
      <w:numFmt w:val="lowerLetter"/>
      <w:start w:val="1"/>
    </w:lvl>
  </w:abstractNum>
  <w:abstractNum w:abstractNumId="95">
    <w:nsid w:val="1816F8C4"/>
    <w:multiLevelType w:val="hybridMultilevel"/>
    <w:lvl w:ilvl="0">
      <w:lvlJc w:val="left"/>
      <w:lvlText w:val="%1."/>
      <w:numFmt w:val="decimal"/>
      <w:start w:val="5"/>
    </w:lvl>
  </w:abstractNum>
  <w:abstractNum w:abstractNumId="96">
    <w:nsid w:val="37DF2233"/>
    <w:multiLevelType w:val="hybridMultilevel"/>
    <w:lvl w:ilvl="0">
      <w:lvlJc w:val="left"/>
      <w:lvlText w:val="(%1)"/>
      <w:numFmt w:val="lowerLetter"/>
      <w:start w:val="1"/>
    </w:lvl>
  </w:abstractNum>
  <w:abstractNum w:abstractNumId="97">
    <w:nsid w:val="7AB49DAF"/>
    <w:multiLevelType w:val="hybridMultilevel"/>
    <w:lvl w:ilvl="0">
      <w:lvlJc w:val="left"/>
      <w:lvlText w:val="(%1)"/>
      <w:numFmt w:val="lowerLetter"/>
      <w:start w:val="2"/>
    </w:lvl>
    <w:lvl w:ilvl="1">
      <w:lvlJc w:val="left"/>
      <w:lvlText w:val="(%2)"/>
      <w:numFmt w:val="lowerRoman"/>
      <w:start w:val="1"/>
    </w:lvl>
  </w:abstractNum>
  <w:abstractNum w:abstractNumId="98">
    <w:nsid w:val="759F82CD"/>
    <w:multiLevelType w:val="hybridMultilevel"/>
    <w:lvl w:ilvl="0">
      <w:lvlJc w:val="left"/>
      <w:lvlText w:val="%1"/>
      <w:numFmt w:val="upperLetter"/>
      <w:start w:val="27"/>
    </w:lvl>
    <w:lvl w:ilvl="1">
      <w:lvlJc w:val="left"/>
      <w:lvlText w:val="(%2)"/>
      <w:numFmt w:val="lowerLetter"/>
      <w:start w:val="3"/>
    </w:lvl>
  </w:abstractNum>
  <w:abstractNum w:abstractNumId="99">
    <w:nsid w:val="61E74EA3"/>
    <w:multiLevelType w:val="hybridMultilevel"/>
    <w:lvl w:ilvl="0">
      <w:lvlJc w:val="left"/>
      <w:lvlText w:val="(%1)"/>
      <w:numFmt w:val="lowerLetter"/>
      <w:start w:val="5"/>
    </w:lvl>
  </w:abstractNum>
  <w:abstractNum w:abstractNumId="100">
    <w:nsid w:val="597B4D84"/>
    <w:multiLevelType w:val="hybridMultilevel"/>
    <w:lvl w:ilvl="0">
      <w:lvlJc w:val="left"/>
      <w:lvlText w:val="(%1)"/>
      <w:numFmt w:val="lowerLetter"/>
      <w:start w:val="1"/>
    </w:lvl>
  </w:abstractNum>
  <w:abstractNum w:abstractNumId="101">
    <w:nsid w:val="F819E7F"/>
    <w:multiLevelType w:val="hybridMultilevel"/>
    <w:lvl w:ilvl="0">
      <w:lvlJc w:val="left"/>
      <w:lvlText w:val="(%1)"/>
      <w:numFmt w:val="lowerLetter"/>
      <w:start w:val="2"/>
    </w:lvl>
  </w:abstractNum>
  <w:abstractNum w:abstractNumId="102">
    <w:nsid w:val="57C7D42D"/>
    <w:multiLevelType w:val="hybridMultilevel"/>
    <w:lvl w:ilvl="0">
      <w:lvlJc w:val="left"/>
      <w:lvlText w:val="(%1)"/>
      <w:numFmt w:val="lowerLetter"/>
      <w:start w:val="4"/>
    </w:lvl>
  </w:abstractNum>
  <w:abstractNum w:abstractNumId="103">
    <w:nsid w:val="312167AD"/>
    <w:multiLevelType w:val="hybridMultilevel"/>
    <w:lvl w:ilvl="0">
      <w:lvlJc w:val="left"/>
      <w:lvlText w:val="(%1)"/>
      <w:numFmt w:val="lowerLetter"/>
      <w:start w:val="1"/>
    </w:lvl>
  </w:abstractNum>
  <w:abstractNum w:abstractNumId="104">
    <w:nsid w:val="631B64D4"/>
    <w:multiLevelType w:val="hybridMultilevel"/>
    <w:lvl w:ilvl="0">
      <w:lvlJc w:val="left"/>
      <w:lvlText w:val="(%1)"/>
      <w:numFmt w:val="lowerLetter"/>
      <w:start w:val="4"/>
    </w:lvl>
  </w:abstractNum>
  <w:abstractNum w:abstractNumId="105">
    <w:nsid w:val="78B5E776"/>
    <w:multiLevelType w:val="hybridMultilevel"/>
    <w:lvl w:ilvl="0">
      <w:lvlJc w:val="left"/>
      <w:lvlText w:val="%1."/>
      <w:numFmt w:val="decimal"/>
      <w:start w:val="6"/>
    </w:lvl>
  </w:abstractNum>
  <w:abstractNum w:abstractNumId="106">
    <w:nsid w:val="75486E47"/>
    <w:multiLevelType w:val="hybridMultilevel"/>
    <w:lvl w:ilvl="0">
      <w:lvlJc w:val="left"/>
      <w:lvlText w:val="%1."/>
      <w:numFmt w:val="decimal"/>
      <w:start w:val="8"/>
    </w:lvl>
  </w:abstractNum>
  <w:abstractNum w:abstractNumId="107">
    <w:nsid w:val="6E534CDE"/>
    <w:multiLevelType w:val="hybridMultilevel"/>
    <w:lvl w:ilvl="0">
      <w:lvlJc w:val="left"/>
      <w:lvlText w:val="(%1)"/>
      <w:numFmt w:val="decimal"/>
      <w:start w:val="24"/>
    </w:lvl>
  </w:abstractNum>
  <w:abstractNum w:abstractNumId="108">
    <w:nsid w:val="1A0DDE32"/>
    <w:multiLevelType w:val="hybridMultilevel"/>
    <w:lvl w:ilvl="0">
      <w:lvlJc w:val="left"/>
      <w:lvlText w:val="%1."/>
      <w:numFmt w:val="decimal"/>
      <w:start w:val="10"/>
    </w:lvl>
  </w:abstractNum>
  <w:abstractNum w:abstractNumId="109">
    <w:nsid w:val="65968C1C"/>
    <w:multiLevelType w:val="hybridMultilevel"/>
    <w:lvl w:ilvl="0">
      <w:lvlJc w:val="left"/>
      <w:lvlText w:val="%1"/>
      <w:numFmt w:val="lowerLetter"/>
      <w:start w:val="1"/>
    </w:lvl>
    <w:lvl w:ilvl="1">
      <w:lvlJc w:val="left"/>
      <w:lvlText w:val="(%2)"/>
      <w:numFmt w:val="lowerLetter"/>
      <w:start w:val="1"/>
    </w:lvl>
  </w:abstractNum>
  <w:abstractNum w:abstractNumId="110">
    <w:nsid w:val="46263DEC"/>
    <w:multiLevelType w:val="hybridMultilevel"/>
    <w:lvl w:ilvl="0">
      <w:lvlJc w:val="left"/>
      <w:lvlText w:val="(%1)"/>
      <w:numFmt w:val="lowerLetter"/>
      <w:start w:val="61"/>
    </w:lvl>
    <w:lvl w:ilvl="1">
      <w:lvlJc w:val="left"/>
      <w:lvlText w:val="(%2)"/>
      <w:numFmt w:val="lowerLetter"/>
      <w:start w:val="2"/>
    </w:lvl>
  </w:abstractNum>
  <w:abstractNum w:abstractNumId="111">
    <w:nsid w:val="260D8C4A"/>
    <w:multiLevelType w:val="hybridMultilevel"/>
    <w:lvl w:ilvl="0">
      <w:lvlJc w:val="left"/>
      <w:lvlText w:val="%1."/>
      <w:numFmt w:val="decimal"/>
      <w:start w:val="11"/>
    </w:lvl>
    <w:lvl w:ilvl="1">
      <w:lvlJc w:val="left"/>
      <w:lvlText w:val="(%2)"/>
      <w:numFmt w:val="lowerLetter"/>
      <w:start w:val="1"/>
    </w:lvl>
  </w:abstractNum>
  <w:abstractNum w:abstractNumId="112">
    <w:nsid w:val="73D4D3C4"/>
    <w:multiLevelType w:val="hybridMultilevel"/>
    <w:lvl w:ilvl="0">
      <w:lvlJc w:val="left"/>
      <w:lvlText w:val="(%1)"/>
      <w:numFmt w:val="lowerLetter"/>
      <w:start w:val="2"/>
    </w:lvl>
  </w:abstractNum>
  <w:abstractNum w:abstractNumId="113">
    <w:nsid w:val="746F2E30"/>
    <w:multiLevelType w:val="hybridMultilevel"/>
    <w:lvl w:ilvl="0">
      <w:lvlJc w:val="left"/>
      <w:lvlText w:val="(%1)"/>
      <w:numFmt w:val="decimal"/>
      <w:start w:val="10"/>
    </w:lvl>
  </w:abstractNum>
  <w:abstractNum w:abstractNumId="114">
    <w:nsid w:val="6FDE8AF6"/>
    <w:multiLevelType w:val="hybridMultilevel"/>
    <w:lvl w:ilvl="0">
      <w:lvlJc w:val="left"/>
      <w:lvlText w:val="%1."/>
      <w:numFmt w:val="decimal"/>
      <w:start w:val="12"/>
    </w:lvl>
  </w:abstractNum>
  <w:abstractNum w:abstractNumId="115">
    <w:nsid w:val="3FC32E20"/>
    <w:multiLevelType w:val="hybridMultilevel"/>
    <w:lvl w:ilvl="0">
      <w:lvlJc w:val="left"/>
      <w:lvlText w:val="(%1)"/>
      <w:numFmt w:val="lowerLetter"/>
      <w:start w:val="1"/>
    </w:lvl>
  </w:abstractNum>
  <w:abstractNum w:abstractNumId="116">
    <w:nsid w:val="49C0E823"/>
    <w:multiLevelType w:val="hybridMultilevel"/>
    <w:lvl w:ilvl="0">
      <w:lvlJc w:val="left"/>
      <w:lvlText w:val="%1."/>
      <w:numFmt w:val="decimal"/>
      <w:start w:val="13"/>
    </w:lvl>
  </w:abstractNum>
  <w:abstractNum w:abstractNumId="117">
    <w:nsid w:val="14D53685"/>
    <w:multiLevelType w:val="hybridMultilevel"/>
    <w:lvl w:ilvl="0">
      <w:lvlJc w:val="left"/>
      <w:lvlText w:val="%1."/>
      <w:numFmt w:val="decimal"/>
      <w:start w:val="14"/>
    </w:lvl>
    <w:lvl w:ilvl="1">
      <w:lvlJc w:val="left"/>
      <w:lvlText w:val="(%2)"/>
      <w:numFmt w:val="lowerLetter"/>
      <w:start w:val="1"/>
    </w:lvl>
  </w:abstractNum>
  <w:abstractNum w:abstractNumId="118">
    <w:nsid w:val="230F856C"/>
    <w:multiLevelType w:val="hybridMultilevel"/>
    <w:lvl w:ilvl="0">
      <w:lvlJc w:val="left"/>
      <w:lvlText w:val="(%1)"/>
      <w:numFmt w:val="lowerLetter"/>
      <w:start w:val="7"/>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lowerLetter"/>
      <w:start w:val="3"/>
    </w:lvl>
  </w:abstractNum>
  <w:abstractNum w:abstractNumId="121">
    <w:nsid w:val="3B594807"/>
    <w:multiLevelType w:val="hybridMultilevel"/>
    <w:lvl w:ilvl="0">
      <w:lvlJc w:val="left"/>
      <w:lvlText w:val="(%1)"/>
      <w:numFmt w:val="decimal"/>
      <w:start w:val="10"/>
    </w:lvl>
  </w:abstractNum>
  <w:abstractNum w:abstractNumId="122">
    <w:nsid w:val="6CAA2304"/>
    <w:multiLevelType w:val="hybridMultilevel"/>
    <w:lvl w:ilvl="0">
      <w:lvlJc w:val="left"/>
      <w:lvlText w:val="%1."/>
      <w:numFmt w:val="decimal"/>
      <w:start w:val="15"/>
    </w:lvl>
  </w:abstractNum>
  <w:abstractNum w:abstractNumId="123">
    <w:nsid w:val="3F7C2FF4"/>
    <w:multiLevelType w:val="hybridMultilevel"/>
    <w:lvl w:ilvl="0">
      <w:lvlJc w:val="left"/>
      <w:lvlText w:val="(%1)"/>
      <w:numFmt w:val="lowerLetter"/>
      <w:start w:val="1"/>
    </w:lvl>
    <w:lvl w:ilvl="1">
      <w:lvlJc w:val="left"/>
      <w:lvlText w:val="(%2)"/>
      <w:numFmt w:val="lowerRoman"/>
      <w:start w:val="1"/>
    </w:lvl>
  </w:abstractNum>
  <w:abstractNum w:abstractNumId="124">
    <w:nsid w:val="25413BEC"/>
    <w:multiLevelType w:val="hybridMultilevel"/>
    <w:lvl w:ilvl="0">
      <w:lvlJc w:val="left"/>
      <w:lvlText w:val="(%1)"/>
      <w:numFmt w:val="lowerLetter"/>
      <w:start w:val="2"/>
    </w:lvl>
  </w:abstractNum>
  <w:abstractNum w:abstractNumId="125">
    <w:nsid w:val="17180B0B"/>
    <w:multiLevelType w:val="hybridMultilevel"/>
    <w:lvl w:ilvl="0">
      <w:lvlJc w:val="left"/>
      <w:lvlText w:val="(%1)"/>
      <w:numFmt w:val="lowerLetter"/>
      <w:start w:val="4"/>
    </w:lvl>
  </w:abstractNum>
  <w:abstractNum w:abstractNumId="126">
    <w:nsid w:val="579328B9"/>
    <w:multiLevelType w:val="hybridMultilevel"/>
    <w:lvl w:ilvl="0">
      <w:lvlJc w:val="left"/>
      <w:lvlText w:val="%1."/>
      <w:numFmt w:val="decimal"/>
      <w:start w:val="16"/>
    </w:lvl>
  </w:abstractNum>
  <w:abstractNum w:abstractNumId="127">
    <w:nsid w:val="5D205E20"/>
    <w:multiLevelType w:val="hybridMultilevel"/>
    <w:lvl w:ilvl="0">
      <w:lvlJc w:val="left"/>
      <w:lvlText w:val="%1."/>
      <w:numFmt w:val="decimal"/>
      <w:start w:val="17"/>
    </w:lvl>
    <w:lvl w:ilvl="1">
      <w:lvlJc w:val="left"/>
      <w:lvlText w:val="(%2)"/>
      <w:numFmt w:val="lowerLetter"/>
      <w:start w:val="1"/>
    </w:lvl>
  </w:abstractNum>
  <w:abstractNum w:abstractNumId="128">
    <w:nsid w:val="11CCA8BA"/>
    <w:multiLevelType w:val="hybridMultilevel"/>
    <w:lvl w:ilvl="0">
      <w:lvlJc w:val="left"/>
      <w:lvlText w:val="(%1)"/>
      <w:numFmt w:val="lowerLetter"/>
      <w:start w:val="4"/>
    </w:lvl>
  </w:abstractNum>
  <w:abstractNum w:abstractNumId="129">
    <w:nsid w:val="4D32AB86"/>
    <w:multiLevelType w:val="hybridMultilevel"/>
    <w:lvl w:ilvl="0">
      <w:lvlJc w:val="left"/>
      <w:lvlText w:val="(%1)"/>
      <w:numFmt w:val="lowerLetter"/>
      <w:start w:val="1"/>
    </w:lvl>
  </w:abstractNum>
  <w:abstractNum w:abstractNumId="130">
    <w:nsid w:val="3F07ACC3"/>
    <w:multiLevelType w:val="hybridMultilevel"/>
    <w:lvl w:ilvl="0">
      <w:lvlJc w:val="left"/>
      <w:lvlText w:val="(%1)"/>
      <w:numFmt w:val="lowerLetter"/>
      <w:start w:val="2"/>
    </w:lvl>
    <w:lvl w:ilvl="1">
      <w:lvlJc w:val="left"/>
      <w:lvlText w:val="(%2)"/>
      <w:numFmt w:val="lowerRoman"/>
      <w:start w:val="1"/>
    </w:lvl>
  </w:abstractNum>
  <w:abstractNum w:abstractNumId="131">
    <w:nsid w:val="6B47F63E"/>
    <w:multiLevelType w:val="hybridMultilevel"/>
    <w:lvl w:ilvl="0">
      <w:lvlJc w:val="left"/>
      <w:lvlText w:val="%1."/>
      <w:numFmt w:val="decimal"/>
      <w:start w:val="18"/>
    </w:lvl>
  </w:abstractNum>
  <w:abstractNum w:abstractNumId="132">
    <w:nsid w:val="5CB44A05"/>
    <w:multiLevelType w:val="hybridMultilevel"/>
    <w:lvl w:ilvl="0">
      <w:lvlJc w:val="left"/>
      <w:lvlText w:val="%1."/>
      <w:numFmt w:val="decimal"/>
      <w:start w:val="19"/>
    </w:lvl>
  </w:abstractNum>
  <w:abstractNum w:abstractNumId="133">
    <w:nsid w:val="16CF80F1"/>
    <w:multiLevelType w:val="hybridMultilevel"/>
    <w:lvl w:ilvl="0">
      <w:lvlJc w:val="left"/>
      <w:lvlText w:val="%1."/>
      <w:numFmt w:val="decimal"/>
      <w:start w:val="20"/>
    </w:lvl>
  </w:abstractNum>
  <w:abstractNum w:abstractNumId="134">
    <w:nsid w:val="1C695DEC"/>
    <w:multiLevelType w:val="hybridMultilevel"/>
    <w:lvl w:ilvl="0">
      <w:lvlJc w:val="left"/>
      <w:lvlText w:val="(%1)"/>
      <w:numFmt w:val="lowerLetter"/>
      <w:start w:val="1"/>
    </w:lvl>
  </w:abstractNum>
  <w:abstractNum w:abstractNumId="135">
    <w:nsid w:val="3FCFAED9"/>
    <w:multiLevelType w:val="hybridMultilevel"/>
    <w:lvl w:ilvl="0">
      <w:lvlJc w:val="left"/>
      <w:lvlText w:val="(%1)"/>
      <w:numFmt w:val="lowerLetter"/>
      <w:start w:val="10"/>
    </w:lvl>
  </w:abstractNum>
  <w:abstractNum w:abstractNumId="136">
    <w:nsid w:val="F856867"/>
    <w:multiLevelType w:val="hybridMultilevel"/>
    <w:lvl w:ilvl="0">
      <w:lvlJc w:val="left"/>
      <w:lvlText w:val="(%1)"/>
      <w:numFmt w:val="lowerLetter"/>
      <w:start w:val="1"/>
    </w:lvl>
    <w:lvl w:ilvl="1">
      <w:lvlJc w:val="left"/>
      <w:lvlText w:val="(%2)"/>
      <w:numFmt w:val="lowerRoman"/>
      <w:start w:val="1"/>
    </w:lvl>
  </w:abstractNum>
  <w:abstractNum w:abstractNumId="137">
    <w:nsid w:val="11B1CC33"/>
    <w:multiLevelType w:val="hybridMultilevel"/>
    <w:lvl w:ilvl="0">
      <w:lvlJc w:val="left"/>
      <w:lvlText w:val="(%1)"/>
      <w:numFmt w:val="lowerLetter"/>
      <w:start w:val="4"/>
    </w:lvl>
  </w:abstractNum>
  <w:abstractNum w:abstractNumId="138">
    <w:nsid w:val="2E22FBB7"/>
    <w:multiLevelType w:val="hybridMultilevel"/>
    <w:lvl w:ilvl="0">
      <w:lvlJc w:val="left"/>
      <w:lvlText w:val="%1."/>
      <w:numFmt w:val="decimal"/>
      <w:start w:val="21"/>
    </w:lvl>
    <w:lvl w:ilvl="1">
      <w:lvlJc w:val="left"/>
      <w:lvlText w:val="(%2)"/>
      <w:numFmt w:val="lowerLetter"/>
      <w:start w:val="1"/>
    </w:lvl>
  </w:abstractNum>
  <w:abstractNum w:abstractNumId="139">
    <w:nsid w:val="29934699"/>
    <w:multiLevelType w:val="hybridMultilevel"/>
    <w:lvl w:ilvl="0">
      <w:lvlJc w:val="left"/>
      <w:lvlText w:val="%1"/>
      <w:numFmt w:val="lowerLetter"/>
      <w:start w:val="1"/>
    </w:lvl>
    <w:lvl w:ilvl="1">
      <w:lvlJc w:val="left"/>
      <w:lvlText w:val="(%2)"/>
      <w:numFmt w:val="lowerLetter"/>
      <w:start w:val="2"/>
    </w:lvl>
  </w:abstractNum>
  <w:abstractNum w:abstractNumId="140">
    <w:nsid w:val="77485850"/>
    <w:multiLevelType w:val="hybridMultilevel"/>
    <w:lvl w:ilvl="0">
      <w:lvlJc w:val="left"/>
      <w:lvlText w:val="(%1)"/>
      <w:numFmt w:val="lowerLetter"/>
      <w:start w:val="35"/>
    </w:lvl>
    <w:lvl w:ilvl="1">
      <w:lvlJc w:val="left"/>
      <w:lvlText w:val="%2"/>
      <w:numFmt w:val="lowerLetter"/>
      <w:start w:val="1"/>
    </w:lvl>
  </w:abstractNum>
  <w:abstractNum w:abstractNumId="141">
    <w:nsid w:val="744939A3"/>
    <w:multiLevelType w:val="hybridMultilevel"/>
    <w:lvl w:ilvl="0">
      <w:lvlJc w:val="left"/>
      <w:lvlText w:val="(%1)"/>
      <w:numFmt w:val="lowerLetter"/>
      <w:start w:val="3"/>
    </w:lvl>
  </w:abstractNum>
  <w:abstractNum w:abstractNumId="142">
    <w:nsid w:val="4FA0D2E3"/>
    <w:multiLevelType w:val="hybridMultilevel"/>
    <w:lvl w:ilvl="0">
      <w:lvlJc w:val="left"/>
      <w:lvlText w:val="(%1)"/>
      <w:numFmt w:val="lowerRoman"/>
      <w:start w:val="1"/>
    </w:lvl>
  </w:abstractNum>
  <w:abstractNum w:abstractNumId="143">
    <w:nsid w:val="6B1D2C14"/>
    <w:multiLevelType w:val="hybridMultilevel"/>
    <w:lvl w:ilvl="0">
      <w:lvlJc w:val="left"/>
      <w:lvlText w:val="%1."/>
      <w:numFmt w:val="decimal"/>
      <w:start w:val="22"/>
    </w:lvl>
  </w:abstractNum>
  <w:abstractNum w:abstractNumId="144">
    <w:nsid w:val="68B867D3"/>
    <w:multiLevelType w:val="hybridMultilevel"/>
    <w:lvl w:ilvl="0">
      <w:lvlJc w:val="left"/>
      <w:lvlText w:val="%1."/>
      <w:numFmt w:val="decimal"/>
      <w:start w:val="23"/>
    </w:lvl>
  </w:abstractNum>
  <w:abstractNum w:abstractNumId="145">
    <w:nsid w:val="3F7F5DD9"/>
    <w:multiLevelType w:val="hybridMultilevel"/>
    <w:lvl w:ilvl="0">
      <w:lvlJc w:val="left"/>
      <w:lvlText w:val="%1."/>
      <w:numFmt w:val="decimal"/>
      <w:start w:val="24"/>
    </w:lvl>
  </w:abstractNum>
  <w:abstractNum w:abstractNumId="146">
    <w:nsid w:val="2AE05A34"/>
    <w:multiLevelType w:val="hybridMultilevel"/>
    <w:lvl w:ilvl="0">
      <w:lvlJc w:val="left"/>
      <w:lvlText w:val="%1."/>
      <w:numFmt w:val="decimal"/>
      <w:start w:val="25"/>
    </w:lvl>
  </w:abstractNum>
  <w:abstractNum w:abstractNumId="147">
    <w:nsid w:val="32794FF7"/>
    <w:multiLevelType w:val="hybridMultilevel"/>
    <w:lvl w:ilvl="0">
      <w:lvlJc w:val="left"/>
      <w:lvlText w:val="%1."/>
      <w:numFmt w:val="decimal"/>
      <w:start w:val="26"/>
    </w:lvl>
  </w:abstractNum>
  <w:abstractNum w:abstractNumId="148">
    <w:nsid w:val="5454945E"/>
    <w:multiLevelType w:val="hybridMultilevel"/>
    <w:lvl w:ilvl="0">
      <w:lvlJc w:val="left"/>
      <w:lvlText w:val="(%1)"/>
      <w:numFmt w:val="lowerRoman"/>
      <w:start w:val="1"/>
    </w:lvl>
  </w:abstractNum>
  <w:abstractNum w:abstractNumId="149">
    <w:nsid w:val="4DEFDFA0"/>
    <w:multiLevelType w:val="hybridMultilevel"/>
    <w:lvl w:ilvl="0">
      <w:lvlJc w:val="left"/>
      <w:lvlText w:val="(%1)"/>
      <w:numFmt w:val="lowerRoman"/>
      <w:start w:val="5"/>
    </w:lvl>
  </w:abstractNum>
  <w:abstractNum w:abstractNumId="150">
    <w:nsid w:val="2123D5F2"/>
    <w:multiLevelType w:val="hybridMultilevel"/>
    <w:lvl w:ilvl="0">
      <w:lvlJc w:val="left"/>
      <w:lvlText w:val="(%1)"/>
      <w:numFmt w:val="lowerRoman"/>
      <w:start w:val="1"/>
    </w:lvl>
  </w:abstractNum>
  <w:abstractNum w:abstractNumId="151">
    <w:nsid w:val="135B8110"/>
    <w:multiLevelType w:val="hybridMultilevel"/>
    <w:lvl w:ilvl="0">
      <w:lvlJc w:val="left"/>
      <w:lvlText w:val="[***]"/>
      <w:numFmt w:val="bullet"/>
      <w:start w:val="1"/>
    </w:lvl>
  </w:abstractNum>
  <w:abstractNum w:abstractNumId="152">
    <w:nsid w:val="94927A8"/>
    <w:multiLevelType w:val="hybridMultilevel"/>
    <w:lvl w:ilvl="0">
      <w:lvlJc w:val="left"/>
      <w:lvlText w:val="%1."/>
      <w:numFmt w:val="decimal"/>
      <w:start w:val="1"/>
    </w:lvl>
  </w:abstractNum>
  <w:abstractNum w:abstractNumId="153">
    <w:nsid w:val="DCDF8F6"/>
    <w:multiLevelType w:val="hybridMultilevel"/>
    <w:lvl w:ilvl="0">
      <w:lvlJc w:val="left"/>
      <w:lvlText w:val="%1."/>
      <w:numFmt w:val="decimal"/>
      <w:start w:val="3"/>
    </w:lvl>
  </w:abstractNum>
  <w:abstractNum w:abstractNumId="154">
    <w:nsid w:val="52D7B105"/>
    <w:multiLevelType w:val="hybridMultilevel"/>
    <w:lvl w:ilvl="0">
      <w:lvlJc w:val="left"/>
      <w:lvlText w:val="%1."/>
      <w:numFmt w:val="decimal"/>
      <w:start w:val="4"/>
    </w:lvl>
  </w:abstractNum>
  <w:abstractNum w:abstractNumId="155">
    <w:nsid w:val="2E8A6394"/>
    <w:multiLevelType w:val="hybridMultilevel"/>
    <w:lvl w:ilvl="0">
      <w:lvlJc w:val="left"/>
      <w:lvlText w:val="%1."/>
      <w:numFmt w:val="decimal"/>
      <w:start w:val="5"/>
    </w:lvl>
  </w:abstractNum>
  <w:abstractNum w:abstractNumId="156">
    <w:nsid w:val="24E60401"/>
    <w:multiLevelType w:val="hybridMultilevel"/>
    <w:lvl w:ilvl="0">
      <w:lvlJc w:val="left"/>
      <w:lvlText w:val="%1."/>
      <w:numFmt w:val="decimal"/>
      <w:start w:val="6"/>
    </w:lvl>
  </w:abstractNum>
  <w:abstractNum w:abstractNumId="157">
    <w:nsid w:val="2A6AD9BE"/>
    <w:multiLevelType w:val="hybridMultilevel"/>
    <w:lvl w:ilvl="0">
      <w:lvlJc w:val="left"/>
      <w:lvlText w:val="[***]"/>
      <w:numFmt w:val="bullet"/>
      <w:start w:val="1"/>
    </w:lvl>
  </w:abstractNum>
  <w:abstractNum w:abstractNumId="158">
    <w:nsid w:val="BAAC1B4"/>
    <w:multiLevelType w:val="hybridMultilevel"/>
    <w:lvl w:ilvl="0">
      <w:lvlJc w:val="left"/>
      <w:lvlText w:val="%1."/>
      <w:numFmt w:val="decimal"/>
      <w:start w:val="7"/>
    </w:lvl>
  </w:abstractNum>
  <w:abstractNum w:abstractNumId="159">
    <w:nsid w:val="36B2ACBC"/>
    <w:multiLevelType w:val="hybridMultilevel"/>
    <w:lvl w:ilvl="0">
      <w:lvlJc w:val="left"/>
      <w:lvlText w:val="%1."/>
      <w:numFmt w:val="decimal"/>
      <w:start w:val="8"/>
    </w:lvl>
  </w:abstractNum>
  <w:abstractNum w:abstractNumId="160">
    <w:nsid w:val="779D8544"/>
    <w:multiLevelType w:val="hybridMultilevel"/>
    <w:lvl w:ilvl="0">
      <w:lvlJc w:val="left"/>
      <w:lvlText w:val="%1."/>
      <w:numFmt w:val="decimal"/>
      <w:start w:val="9"/>
    </w:lvl>
  </w:abstractNum>
  <w:abstractNum w:abstractNumId="161">
    <w:nsid w:val="4AB26E78"/>
    <w:multiLevelType w:val="hybridMultilevel"/>
    <w:lvl w:ilvl="0">
      <w:lvlJc w:val="left"/>
      <w:lvlText w:val="[***]"/>
      <w:numFmt w:val="bullet"/>
      <w:start w:val="1"/>
    </w:lvl>
  </w:abstractNum>
  <w:abstractNum w:abstractNumId="162">
    <w:nsid w:val="21FAA2FA"/>
    <w:multiLevelType w:val="hybridMultilevel"/>
    <w:lvl w:ilvl="0">
      <w:lvlJc w:val="left"/>
      <w:lvlText w:val="%1."/>
      <w:numFmt w:val="decimal"/>
      <w:start w:val="10"/>
    </w:lvl>
  </w:abstractNum>
  <w:abstractNum w:abstractNumId="163">
    <w:nsid w:val="5451CF49"/>
    <w:multiLevelType w:val="hybridMultilevel"/>
    <w:lvl w:ilvl="0">
      <w:lvlJc w:val="left"/>
      <w:lvlText w:val="%1."/>
      <w:numFmt w:val="decimal"/>
      <w:start w:val="11"/>
    </w:lvl>
  </w:abstractNum>
  <w:abstractNum w:abstractNumId="164">
    <w:nsid w:val="6181EF69"/>
    <w:multiLevelType w:val="hybridMultilevel"/>
    <w:lvl w:ilvl="0">
      <w:lvlJc w:val="left"/>
      <w:lvlText w:val="%1."/>
      <w:numFmt w:val="decimal"/>
      <w:start w:val="12"/>
    </w:lvl>
  </w:abstractNum>
  <w:abstractNum w:abstractNumId="165">
    <w:nsid w:val="3E6400E6"/>
    <w:multiLevelType w:val="hybridMultilevel"/>
    <w:lvl w:ilvl="0">
      <w:lvlJc w:val="left"/>
      <w:lvlText w:val="(%1)"/>
      <w:numFmt w:val="lowerRoman"/>
      <w:start w:val="2"/>
    </w:lvl>
  </w:abstractNum>
  <w:abstractNum w:abstractNumId="166">
    <w:nsid w:val="14217E23"/>
    <w:multiLevelType w:val="hybridMultilevel"/>
    <w:lvl w:ilvl="0">
      <w:lvlJc w:val="left"/>
      <w:lvlText w:val="%1."/>
      <w:numFmt w:val="decimal"/>
      <w:start w:val="13"/>
    </w:lvl>
  </w:abstractNum>
  <w:abstractNum w:abstractNumId="167">
    <w:nsid w:val="710757D0"/>
    <w:multiLevelType w:val="hybridMultilevel"/>
    <w:lvl w:ilvl="0">
      <w:lvlJc w:val="left"/>
      <w:lvlText w:val="%1."/>
      <w:numFmt w:val="decimal"/>
      <w:start w:val="14"/>
    </w:lvl>
  </w:abstractNum>
  <w:abstractNum w:abstractNumId="168">
    <w:nsid w:val="5015CD1A"/>
    <w:multiLevelType w:val="hybridMultilevel"/>
    <w:lvl w:ilvl="0">
      <w:lvlJc w:val="left"/>
      <w:lvlText w:val="%1."/>
      <w:numFmt w:val="decimal"/>
      <w:start w:val="15"/>
    </w:lvl>
  </w:abstractNum>
  <w:abstractNum w:abstractNumId="169">
    <w:nsid w:val="424479DA"/>
    <w:multiLevelType w:val="hybridMultilevel"/>
    <w:lvl w:ilvl="0">
      <w:lvlJc w:val="left"/>
      <w:lvlText w:val="[***]"/>
      <w:numFmt w:val="bullet"/>
      <w:start w:val="1"/>
    </w:lvl>
  </w:abstractNum>
  <w:abstractNum w:abstractNumId="170">
    <w:nsid w:val="1A9A9E69"/>
    <w:multiLevelType w:val="hybridMultilevel"/>
    <w:lvl w:ilvl="0">
      <w:lvlJc w:val="left"/>
      <w:lvlText w:val="%1."/>
      <w:numFmt w:val="decimal"/>
      <w:start w:val="2"/>
    </w:lvl>
  </w:abstractNum>
  <w:abstractNum w:abstractNumId="171">
    <w:nsid w:val="475E256A"/>
    <w:multiLevelType w:val="hybridMultilevel"/>
    <w:lvl w:ilvl="0">
      <w:lvlJc w:val="left"/>
      <w:lvlText w:val="%1."/>
      <w:numFmt w:val="decimal"/>
      <w:start w:val="3"/>
    </w:lvl>
  </w:abstractNum>
  <w:abstractNum w:abstractNumId="172">
    <w:nsid w:val="368DB37E"/>
    <w:multiLevelType w:val="hybridMultilevel"/>
    <w:lvl w:ilvl="0">
      <w:lvlJc w:val="left"/>
      <w:lvlText w:val="[***]"/>
      <w:numFmt w:val="bullet"/>
      <w:start w:val="1"/>
    </w:lvl>
  </w:abstractNum>
  <w:abstractNum w:abstractNumId="173">
    <w:nsid w:val="6A3B714C"/>
    <w:multiLevelType w:val="hybridMultilevel"/>
    <w:lvl w:ilvl="0">
      <w:lvlJc w:val="left"/>
      <w:lvlText w:val="%1."/>
      <w:numFmt w:val="decimal"/>
      <w:start w:val="1"/>
    </w:lvl>
    <w:lvl w:ilvl="1">
      <w:lvlJc w:val="left"/>
      <w:lvlText w:val="(%2)"/>
      <w:numFmt w:val="lowerLetter"/>
      <w:start w:val="1"/>
    </w:lvl>
  </w:abstractNum>
  <w:abstractNum w:abstractNumId="174">
    <w:nsid w:val="327B517E"/>
    <w:multiLevelType w:val="hybridMultilevel"/>
    <w:lvl w:ilvl="0">
      <w:lvlJc w:val="left"/>
      <w:lvlText w:val="%1."/>
      <w:numFmt w:val="decimal"/>
      <w:start w:val="1"/>
    </w:lvl>
    <w:lvl w:ilvl="1">
      <w:lvlJc w:val="left"/>
      <w:lvlText w:val="(%2)"/>
      <w:numFmt w:val="lowerLetter"/>
      <w:start w:val="1"/>
    </w:lvl>
  </w:abstractNum>
  <w:abstractNum w:abstractNumId="175">
    <w:nsid w:val="1F461B51"/>
    <w:multiLevelType w:val="hybridMultilevel"/>
    <w:lvl w:ilvl="0">
      <w:lvlJc w:val="left"/>
      <w:lvlText w:val="(%1)"/>
      <w:numFmt w:val="decimal"/>
      <w:start w:val="1"/>
    </w:lvl>
  </w:abstractNum>
  <w:abstractNum w:abstractNumId="176">
    <w:nsid w:val="29BACF25"/>
    <w:multiLevelType w:val="hybridMultilevel"/>
    <w:lvl w:ilvl="0">
      <w:lvlJc w:val="left"/>
      <w:lvlText w:val="(%1)"/>
      <w:numFmt w:val="decimal"/>
      <w:start w:val="1"/>
    </w:lvl>
  </w:abstractNum>
  <w:abstractNum w:abstractNumId="177">
    <w:nsid w:val="5D5BABB3"/>
    <w:multiLevelType w:val="hybridMultilevel"/>
    <w:lvl w:ilvl="0">
      <w:lvlJc w:val="left"/>
      <w:lvlText w:val="%1."/>
      <w:numFmt w:val="decimal"/>
      <w:start w:val="1"/>
    </w:lvl>
  </w:abstractNum>
  <w:abstractNum w:abstractNumId="178">
    <w:nsid w:val="51BF6B48"/>
    <w:multiLevelType w:val="hybridMultilevel"/>
    <w:lvl w:ilvl="0">
      <w:lvlJc w:val="left"/>
      <w:lvlText w:val="%1."/>
      <w:numFmt w:val="decimal"/>
      <w:start w:val="2"/>
    </w:lvl>
  </w:abstractNum>
  <w:abstractNum w:abstractNumId="179">
    <w:nsid w:val="7E0F6384"/>
    <w:multiLevelType w:val="hybridMultilevel"/>
    <w:lvl w:ilvl="0">
      <w:lvlJc w:val="left"/>
      <w:lvlText w:val="%1."/>
      <w:numFmt w:val="decimal"/>
      <w:start w:val="3"/>
    </w:lvl>
  </w:abstractNum>
  <w:abstractNum w:abstractNumId="180">
    <w:nsid w:val="2B4B8B53"/>
    <w:multiLevelType w:val="hybridMultilevel"/>
    <w:lvl w:ilvl="0">
      <w:lvlJc w:val="left"/>
      <w:lvlText w:val="%1."/>
      <w:numFmt w:val="decimal"/>
      <w:start w:val="4"/>
    </w:lvl>
  </w:abstractNum>
  <w:abstractNum w:abstractNumId="181">
    <w:nsid w:val="72E3413A"/>
    <w:multiLevelType w:val="hybridMultilevel"/>
    <w:lvl w:ilvl="0">
      <w:lvlJc w:val="left"/>
      <w:lvlText w:val="%1."/>
      <w:numFmt w:val="decimal"/>
      <w:start w:val="5"/>
    </w:lvl>
  </w:abstractNum>
  <w:abstractNum w:abstractNumId="182">
    <w:nsid w:val="116AE494"/>
    <w:multiLevelType w:val="hybridMultilevel"/>
    <w:lvl w:ilvl="0">
      <w:lvlJc w:val="left"/>
      <w:lvlText w:val="%1."/>
      <w:numFmt w:val="decimal"/>
      <w:start w:val="6"/>
    </w:lvl>
  </w:abstractNum>
  <w:abstractNum w:abstractNumId="183">
    <w:nsid w:val="3494B2FB"/>
    <w:multiLevelType w:val="hybridMultilevel"/>
    <w:lvl w:ilvl="0">
      <w:lvlJc w:val="left"/>
      <w:lvlText w:val="%1."/>
      <w:numFmt w:val="decimal"/>
      <w:start w:val="7"/>
    </w:lvl>
  </w:abstractNum>
  <w:abstractNum w:abstractNumId="184">
    <w:nsid w:val="B13A31"/>
    <w:multiLevelType w:val="hybridMultilevel"/>
    <w:lvl w:ilvl="0">
      <w:lvlJc w:val="left"/>
      <w:lvlText w:val="%1."/>
      <w:numFmt w:val="decimal"/>
      <w:start w:val="8"/>
    </w:lvl>
  </w:abstractNum>
  <w:abstractNum w:abstractNumId="185">
    <w:nsid w:val="64429599"/>
    <w:multiLevelType w:val="hybridMultilevel"/>
    <w:lvl w:ilvl="0">
      <w:lvlJc w:val="left"/>
      <w:lvlText w:val="%1."/>
      <w:numFmt w:val="decimal"/>
      <w:start w:val="9"/>
    </w:lvl>
  </w:abstractNum>
  <w:abstractNum w:abstractNumId="186">
    <w:nsid w:val="631F1690"/>
    <w:multiLevelType w:val="hybridMultilevel"/>
    <w:lvl w:ilvl="0">
      <w:lvlJc w:val="left"/>
      <w:lvlText w:val="%1."/>
      <w:numFmt w:val="decimal"/>
      <w:start w:val="10"/>
    </w:lvl>
  </w:abstractNum>
  <w:abstractNum w:abstractNumId="187">
    <w:nsid w:val="25973E32"/>
    <w:multiLevelType w:val="hybridMultilevel"/>
    <w:lvl w:ilvl="0">
      <w:lvlJc w:val="left"/>
      <w:lvlText w:val="%1."/>
      <w:numFmt w:val="decimal"/>
      <w:start w:val="11"/>
    </w:lvl>
    <w:lvl w:ilvl="1">
      <w:lvlJc w:val="left"/>
      <w:lvlText w:val="\ldblquote"/>
      <w:numFmt w:val="bullet"/>
      <w:start w:val="1"/>
    </w:lvl>
  </w:abstractNum>
  <w:abstractNum w:abstractNumId="188">
    <w:nsid w:val="EAD6F5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1" Type="http://schemas.openxmlformats.org/officeDocument/2006/relationships/image" Target="media/image392.png"/><Relationship Id="rId432" Type="http://schemas.openxmlformats.org/officeDocument/2006/relationships/image" Target="media/image393.png"/><Relationship Id="rId433" Type="http://schemas.openxmlformats.org/officeDocument/2006/relationships/image" Target="media/image394.png"/><Relationship Id="rId434" Type="http://schemas.openxmlformats.org/officeDocument/2006/relationships/image" Target="media/image395.png"/><Relationship Id="rId435" Type="http://schemas.openxmlformats.org/officeDocument/2006/relationships/image" Target="media/image396.png"/><Relationship Id="rId436"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453" Type="http://schemas.openxmlformats.org/officeDocument/2006/relationships/image" Target="media/image414.png"/><Relationship Id="rId454" Type="http://schemas.openxmlformats.org/officeDocument/2006/relationships/image" Target="media/image415.png"/><Relationship Id="rId455" Type="http://schemas.openxmlformats.org/officeDocument/2006/relationships/image" Target="media/image416.png"/><Relationship Id="rId456" Type="http://schemas.openxmlformats.org/officeDocument/2006/relationships/image" Target="media/image417.png"/><Relationship Id="rId457"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png"/><Relationship Id="rId465" Type="http://schemas.openxmlformats.org/officeDocument/2006/relationships/image" Target="media/image426.png"/><Relationship Id="rId466" Type="http://schemas.openxmlformats.org/officeDocument/2006/relationships/image" Target="media/image427.pn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jpeg"/><Relationship Id="rId512" Type="http://schemas.openxmlformats.org/officeDocument/2006/relationships/image" Target="media/image473.png"/><Relationship Id="rId513" Type="http://schemas.openxmlformats.org/officeDocument/2006/relationships/image" Target="media/image474.jpeg"/><Relationship Id="rId514" Type="http://schemas.openxmlformats.org/officeDocument/2006/relationships/image" Target="media/image475.png"/><Relationship Id="rId515" Type="http://schemas.openxmlformats.org/officeDocument/2006/relationships/image" Target="media/image476.jpeg"/><Relationship Id="rId516" Type="http://schemas.openxmlformats.org/officeDocument/2006/relationships/image" Target="media/image477.png"/><Relationship Id="rId517" Type="http://schemas.openxmlformats.org/officeDocument/2006/relationships/image" Target="media/image478.jpeg"/><Relationship Id="rId518" Type="http://schemas.openxmlformats.org/officeDocument/2006/relationships/image" Target="media/image479.png"/><Relationship Id="rId519" Type="http://schemas.openxmlformats.org/officeDocument/2006/relationships/image" Target="media/image480.jpe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147" Type="http://schemas.openxmlformats.org/officeDocument/2006/relationships/hyperlink" Target="https://www.sec.gov/Archives/edgar/data/1609809/000119312515242845/d48188dex31.htm" TargetMode="External"/><Relationship Id="rId148" Type="http://schemas.openxmlformats.org/officeDocument/2006/relationships/hyperlink" Target="https://www.sec.gov/Archives/edgar/data/1609809/000119312523176795/d506361dex31.htm" TargetMode="External"/><Relationship Id="rId149" Type="http://schemas.openxmlformats.org/officeDocument/2006/relationships/hyperlink" Target="https://www.sec.gov/Archives/edgar/data/1609809/000119312524000683/d582286dex31.htm" TargetMode="External"/><Relationship Id="rId150" Type="http://schemas.openxmlformats.org/officeDocument/2006/relationships/hyperlink" Target="https://www.sec.gov/Archives/edgar/data/1609809/000119312515224101/d816354dex42.htm" TargetMode="External"/><Relationship Id="rId151" Type="http://schemas.openxmlformats.org/officeDocument/2006/relationships/hyperlink" Target="https://www.sec.gov/Archives/edgar/data/1609809/000119312523120045/d200991dex41.htm" TargetMode="External"/><Relationship Id="rId152" Type="http://schemas.openxmlformats.org/officeDocument/2006/relationships/hyperlink" Target="https://www.sec.gov/Archives/edgar/data/1609809/000095017023006374/mcrb-ex10_1.htm" TargetMode="External"/><Relationship Id="rId153" Type="http://schemas.openxmlformats.org/officeDocument/2006/relationships/hyperlink" Target="https://www.sec.gov/Archives/edgar/data/1609809/000119312515224101/d816354dex103.htm" TargetMode="External"/><Relationship Id="rId154" Type="http://schemas.openxmlformats.org/officeDocument/2006/relationships/hyperlink" Target="https://www.sec.gov/Archives/edgar/data/1609809/000119312515202059/d816354dex101.htm" TargetMode="External"/><Relationship Id="rId155" Type="http://schemas.openxmlformats.org/officeDocument/2006/relationships/hyperlink" Target="https://www.sec.gov/Archives/edgar/data/1609809/000095017023006374/mcrb-ex10_4.htm" TargetMode="External"/><Relationship Id="rId156" Type="http://schemas.openxmlformats.org/officeDocument/2006/relationships/hyperlink" Target="https://www.sec.gov/Archives/edgar/data/1609809/000095017023006374/mcrb-ex10_5.htm" TargetMode="External"/><Relationship Id="rId157" Type="http://schemas.openxmlformats.org/officeDocument/2006/relationships/hyperlink" Target="https://www.sec.gov/Archives/edgar/data/1609809/000119312521023645/d30286dex101.htm" TargetMode="External"/><Relationship Id="rId158" Type="http://schemas.openxmlformats.org/officeDocument/2006/relationships/hyperlink" Target="https://www.sec.gov/Archives/edgar/data/1609809/000119312521023645/d30286dex102.htm" TargetMode="External"/><Relationship Id="rId159" Type="http://schemas.openxmlformats.org/officeDocument/2006/relationships/hyperlink" Target="https://www.sec.gov/Archives/edgar/data/1609809/000119312521023645/d30286dex103.htm" TargetMode="External"/><Relationship Id="rId160" Type="http://schemas.openxmlformats.org/officeDocument/2006/relationships/hyperlink" Target="https://www.sec.gov/Archives/edgar/data/1609809/000095017021000674/mcrb-20210630ex10_2.htm" TargetMode="External"/><Relationship Id="rId161" Type="http://schemas.openxmlformats.org/officeDocument/2006/relationships/hyperlink" Target="https://www.sec.gov/Archives/edgar/data/1609809/000095017021003937/mcrb-ex10_2.htm" TargetMode="External"/><Relationship Id="rId164" Type="http://schemas.openxmlformats.org/officeDocument/2006/relationships/hyperlink" Target="https://www.sec.gov/Archives/edgar/data/1609809/000156459021010057/mcrb-ex1013_660.htm" TargetMode="External"/><Relationship Id="rId165" Type="http://schemas.openxmlformats.org/officeDocument/2006/relationships/hyperlink" Target="https://www.sec.gov/Archives/edgar/data/1609809/000156459021010057/mcrb-ex1014_662.htm" TargetMode="External"/><Relationship Id="rId166" Type="http://schemas.openxmlformats.org/officeDocument/2006/relationships/hyperlink" Target="https://www.sec.gov/Archives/edgar/data/1609809/000119312521167279/d158157dex101.htm" TargetMode="External"/><Relationship Id="rId167" Type="http://schemas.openxmlformats.org/officeDocument/2006/relationships/hyperlink" Target="https://www.sec.gov/Archives/edgar/data/1609809/000156459016019550/mcrb-ex101_534.htm" TargetMode="External"/><Relationship Id="rId168" Type="http://schemas.openxmlformats.org/officeDocument/2006/relationships/hyperlink" Target="https://www.sec.gov/Archives/edgar/data/1609809/000156459019006423/mcrb-ex1022_331.htm" TargetMode="External"/><Relationship Id="rId169" Type="http://schemas.openxmlformats.org/officeDocument/2006/relationships/hyperlink" Target="https://www.sec.gov/Archives/edgar/data/1609809/000156459019006423/mcrb-ex1023_291.htm" TargetMode="External"/><Relationship Id="rId170" Type="http://schemas.openxmlformats.org/officeDocument/2006/relationships/hyperlink" Target="https://www.sec.gov/Archives/edgar/data/0001609809/000119312520220584/d87599dex101.htm" TargetMode="External"/><Relationship Id="rId171" Type="http://schemas.openxmlformats.org/officeDocument/2006/relationships/hyperlink" Target="https://www.sec.gov/Archives/edgar/data/1609809/000095017021003937/mcrb-ex10_1.htm" TargetMode="External"/><Relationship Id="rId172" Type="http://schemas.openxmlformats.org/officeDocument/2006/relationships/hyperlink" Target="https://www.sec.gov/Archives/edgar/data/1609809/000095017022007217/mcrb-ex10_3.htm" TargetMode="External"/><Relationship Id="rId173" Type="http://schemas.openxmlformats.org/officeDocument/2006/relationships/hyperlink" Target="https://www.sec.gov/Archives/edgar/data/1609809/000095017022002435/mcrb-ex10_25.htm" TargetMode="External"/><Relationship Id="rId174" Type="http://schemas.openxmlformats.org/officeDocument/2006/relationships/hyperlink" Target="https://www.sec.gov/Archives/edgar/data/1609809/000095017023006374/mcrb-ex10_28.htm" TargetMode="External"/><Relationship Id="rId175" Type="http://schemas.openxmlformats.org/officeDocument/2006/relationships/hyperlink" Target="https://www.sec.gov/Archives/edgar/data/1609809/000119312522185606/d319800dex101.htm" TargetMode="External"/><Relationship Id="rId176" Type="http://schemas.openxmlformats.org/officeDocument/2006/relationships/hyperlink" Target="https://www.sec.gov/Archives/edgar/data/1609809/000119312522185606/d319800dex102.htm" TargetMode="External"/><Relationship Id="rId177" Type="http://schemas.openxmlformats.org/officeDocument/2006/relationships/hyperlink" Target="https://www.sec.gov/Archives/edgar/data/1609809/000119312522185606/d319800dex103.htm" TargetMode="External"/><Relationship Id="rId178" Type="http://schemas.openxmlformats.org/officeDocument/2006/relationships/hyperlink" Target="https://www.sec.gov/Archives/edgar/data/1609809/000095017023019222/mcrb-ex10_1.htm" TargetMode="External"/><Relationship Id="rId179" Type="http://schemas.openxmlformats.org/officeDocument/2006/relationships/hyperlink" Target="https://www.sec.gov/Archives/edgar/data/1609809/000119312523120045/d200991dex101.htm" TargetMode="External"/><Relationship Id="rId180" Type="http://schemas.openxmlformats.org/officeDocument/2006/relationships/hyperlink" Target="https://www.sec.gov/Archives/edgar/data/0001609809/000156459020008002/mcrb-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2024-03-05T09:15:04Z</dcterms:created>
  <dcterms:modified xsi:type="dcterms:W3CDTF">2024-03-05T09:15:04Z</dcterms:modified>
</cp:coreProperties>
</file>