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120"/>
        <w:spacing w:after="0" w:line="207" w:lineRule="exact"/>
        <w:tabs>
          <w:tab w:leader="none" w:pos="34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SERES THERAPEUTICS, INC.</w:t>
      </w:r>
    </w:p>
    <w:p>
      <w:pPr>
        <w:spacing w:after="0" w:line="3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1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780" w:hanging="664"/>
        <w:spacing w:after="0"/>
        <w:tabs>
          <w:tab w:leader="none" w:pos="7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780" w:hanging="664"/>
        <w:spacing w:after="0"/>
        <w:tabs>
          <w:tab w:leader="none" w:pos="7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2051050</wp:posOffset>
            </wp:positionV>
            <wp:extent cx="6995160" cy="4406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Seres Therapeutics, Inc.</w:t>
      </w:r>
    </w:p>
    <w:p>
      <w:pPr>
        <w:spacing w:after="0" w:line="349" w:lineRule="exact"/>
        <w:rPr>
          <w:sz w:val="20"/>
          <w:szCs w:val="20"/>
          <w:color w:val="auto"/>
        </w:rPr>
      </w:pPr>
    </w:p>
    <w:p>
      <w:pPr>
        <w:ind w:left="940"/>
        <w:spacing w:after="0"/>
        <w:rPr>
          <w:sz w:val="20"/>
          <w:szCs w:val="20"/>
          <w:color w:val="auto"/>
        </w:rPr>
      </w:pPr>
      <w:r>
        <w:rPr>
          <w:rFonts w:ascii="Arial" w:cs="Arial" w:eastAsia="Arial" w:hAnsi="Arial"/>
          <w:sz w:val="65"/>
          <w:szCs w:val="65"/>
          <w:color w:val="auto"/>
        </w:rPr>
        <w:t>PROXY</w:t>
      </w:r>
    </w:p>
    <w:p>
      <w:pPr>
        <w:spacing w:after="0" w:line="59" w:lineRule="exact"/>
        <w:rPr>
          <w:sz w:val="20"/>
          <w:szCs w:val="20"/>
          <w:color w:val="auto"/>
        </w:rPr>
      </w:pPr>
    </w:p>
    <w:p>
      <w:pPr>
        <w:ind w:left="940"/>
        <w:spacing w:after="0"/>
        <w:rPr>
          <w:sz w:val="20"/>
          <w:szCs w:val="20"/>
          <w:color w:val="auto"/>
        </w:rPr>
      </w:pPr>
      <w:r>
        <w:rPr>
          <w:rFonts w:ascii="Arial" w:cs="Arial" w:eastAsia="Arial" w:hAnsi="Arial"/>
          <w:sz w:val="65"/>
          <w:szCs w:val="65"/>
          <w:color w:val="auto"/>
        </w:rPr>
        <w:t>STATEMENT</w:t>
      </w:r>
    </w:p>
    <w:p>
      <w:pPr>
        <w:spacing w:after="0" w:line="322" w:lineRule="exact"/>
        <w:rPr>
          <w:sz w:val="20"/>
          <w:szCs w:val="20"/>
          <w:color w:val="auto"/>
        </w:rPr>
      </w:pPr>
    </w:p>
    <w:p>
      <w:pPr>
        <w:jc w:val="right"/>
        <w:ind w:right="1579"/>
        <w:spacing w:after="0"/>
        <w:rPr>
          <w:sz w:val="20"/>
          <w:szCs w:val="20"/>
          <w:color w:val="auto"/>
        </w:rPr>
      </w:pPr>
      <w:r>
        <w:rPr>
          <w:rFonts w:ascii="Arial" w:cs="Arial" w:eastAsia="Arial" w:hAnsi="Arial"/>
          <w:sz w:val="54"/>
          <w:szCs w:val="54"/>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40"/>
        <w:spacing w:after="0"/>
        <w:rPr>
          <w:sz w:val="20"/>
          <w:szCs w:val="20"/>
          <w:color w:val="auto"/>
        </w:rPr>
      </w:pPr>
      <w:r>
        <w:rPr>
          <w:rFonts w:ascii="Arial" w:cs="Arial" w:eastAsia="Arial" w:hAnsi="Arial"/>
          <w:sz w:val="13"/>
          <w:szCs w:val="13"/>
          <w:color w:val="auto"/>
        </w:rPr>
        <w:t>June 22, 2022</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3"/>
          <w:szCs w:val="13"/>
          <w:color w:val="auto"/>
        </w:rPr>
        <w:t>8:00 a.m. Eastern Time</w:t>
      </w:r>
    </w:p>
    <w:p>
      <w:pPr>
        <w:sectPr>
          <w:pgSz w:w="11900" w:h="16838" w:orient="portrait"/>
          <w:cols w:equalWidth="0" w:num="1">
            <w:col w:w="10139"/>
          </w:cols>
          <w:pgMar w:left="320" w:top="45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SERES THERAPEUTICS, INC.</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2022</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You are cordially invited to attend the 2022 Annual Meeting of Stockholders of Seres Therapeutics, Inc. at 8:00 a.m. Eastern time, on Wednesday, June 22, 2022 (the “Annual Meeting”). As part of our effort to maintain a safe and healthy environment for our directors, members of management and stockholders who wish to attend the Annual Meeting, the Annual Meeting will be held entirely online again this year. You will be able to attend the Annual Meeting online and submit your questions during the meeting by visiting www.virtualshareholdermeeting.com/MCRB2022.</w:t>
      </w:r>
    </w:p>
    <w:p>
      <w:pPr>
        <w:spacing w:after="0" w:line="6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Please see the section called “Who Can Attend the 2022 Annual Meeting of Stockholders?” on page 4 of the proxy statement for more information about how to attend the meeting online.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or not you attend the Annual Meeting webcast, it is important that your shares be represented and voted at the Annual Meeting. Therefore, I urge you to promptly vote and submit your proxy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You may also vote online during the Annual Meeting. Instructions on how to vote during the meeting will be available at www.virtualshareholdermeeting.com/MCRB2022.</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support.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551305" cy="1345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Eric D. Shaff</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b w:val="1"/>
                <w:bCs w:val="1"/>
                <w:color w:val="0000EE"/>
                <w:w w:val="99"/>
              </w:rPr>
              <w:t>Notice of Annual Meeting of Stockholders</w:t>
            </w:r>
          </w:p>
        </w:tc>
        <w:tc>
          <w:tcPr>
            <w:tcW w:w="6260" w:type="dxa"/>
            <w:vAlign w:val="bottom"/>
            <w:gridSpan w:val="17"/>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Proxy Statement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7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84"/>
              </w:rPr>
              <w:t>Proposals</w:t>
            </w:r>
          </w:p>
        </w:tc>
        <w:tc>
          <w:tcPr>
            <w:tcW w:w="10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Recommendations of the Board</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254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Information About This Proxy</w:t>
            </w:r>
          </w:p>
        </w:tc>
        <w:tc>
          <w:tcPr>
            <w:tcW w:w="6580" w:type="dxa"/>
            <w:vAlign w:val="bottom"/>
            <w:gridSpan w:val="21"/>
          </w:tcPr>
          <w:p>
            <w:pPr>
              <w:spacing w:after="0" w:line="182" w:lineRule="exact"/>
              <w:rPr>
                <w:sz w:val="20"/>
                <w:szCs w:val="20"/>
                <w:color w:val="auto"/>
              </w:rPr>
            </w:pPr>
            <w:r>
              <w:rPr>
                <w:rFonts w:ascii="Arial" w:cs="Arial" w:eastAsia="Arial" w:hAnsi="Arial"/>
                <w:sz w:val="18"/>
                <w:szCs w:val="18"/>
                <w:color w:val="0000EE"/>
              </w:rPr>
              <w:t>Statement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Questions and Answers About the 2022 Annual Meeting of Stockholders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6180" w:type="dxa"/>
            <w:vAlign w:val="bottom"/>
            <w:tcBorders>
              <w:top w:val="single" w:sz="8" w:color="0000EE"/>
            </w:tcBorders>
            <w:gridSpan w:val="40"/>
          </w:tcPr>
          <w:p>
            <w:pPr>
              <w:spacing w:after="0"/>
              <w:rPr>
                <w:sz w:val="20"/>
                <w:szCs w:val="20"/>
                <w:color w:val="auto"/>
              </w:rPr>
            </w:pPr>
            <w:r>
              <w:rPr>
                <w:rFonts w:ascii="Arial" w:cs="Arial" w:eastAsia="Arial" w:hAnsi="Arial"/>
                <w:sz w:val="18"/>
                <w:szCs w:val="18"/>
                <w:b w:val="1"/>
                <w:bCs w:val="1"/>
                <w:color w:val="0000EE"/>
              </w:rPr>
              <w:t>Proposals to be Voted On</w:t>
            </w:r>
          </w:p>
        </w:tc>
        <w:tc>
          <w:tcPr>
            <w:tcW w:w="366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82"/>
        </w:trPr>
        <w:tc>
          <w:tcPr>
            <w:tcW w:w="720" w:type="dxa"/>
            <w:vAlign w:val="bottom"/>
          </w:tcPr>
          <w:p>
            <w:pPr>
              <w:spacing w:after="0"/>
              <w:rPr>
                <w:sz w:val="15"/>
                <w:szCs w:val="15"/>
                <w:color w:val="auto"/>
              </w:rPr>
            </w:pPr>
          </w:p>
        </w:tc>
        <w:tc>
          <w:tcPr>
            <w:tcW w:w="2640" w:type="dxa"/>
            <w:vAlign w:val="bottom"/>
            <w:tcBorders>
              <w:bottom w:val="single" w:sz="8" w:color="0000EE"/>
            </w:tcBorders>
            <w:gridSpan w:val="22"/>
          </w:tcPr>
          <w:p>
            <w:pPr>
              <w:spacing w:after="0" w:line="182" w:lineRule="exact"/>
              <w:rPr>
                <w:sz w:val="20"/>
                <w:szCs w:val="20"/>
                <w:color w:val="auto"/>
              </w:rPr>
            </w:pPr>
            <w:r>
              <w:rPr>
                <w:rFonts w:ascii="Arial" w:cs="Arial" w:eastAsia="Arial" w:hAnsi="Arial"/>
                <w:sz w:val="18"/>
                <w:szCs w:val="18"/>
                <w:b w:val="1"/>
                <w:bCs w:val="1"/>
                <w:color w:val="0000EE"/>
                <w:w w:val="99"/>
              </w:rPr>
              <w:t xml:space="preserve">Proposal 1: </w:t>
            </w:r>
            <w:r>
              <w:rPr>
                <w:rFonts w:ascii="Arial" w:cs="Arial" w:eastAsia="Arial" w:hAnsi="Arial"/>
                <w:sz w:val="18"/>
                <w:szCs w:val="18"/>
                <w:color w:val="0000EE"/>
                <w:w w:val="99"/>
              </w:rPr>
              <w:t>Election of Directors</w:t>
            </w:r>
          </w:p>
        </w:tc>
        <w:tc>
          <w:tcPr>
            <w:tcW w:w="6480" w:type="dxa"/>
            <w:vAlign w:val="bottom"/>
            <w:gridSpan w:val="20"/>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7240" w:type="dxa"/>
            <w:vAlign w:val="bottom"/>
            <w:tcBorders>
              <w:bottom w:val="single" w:sz="8" w:color="0000EE"/>
            </w:tcBorders>
            <w:gridSpan w:val="41"/>
          </w:tcPr>
          <w:p>
            <w:pPr>
              <w:spacing w:after="0" w:line="182" w:lineRule="exact"/>
              <w:rPr>
                <w:sz w:val="20"/>
                <w:szCs w:val="20"/>
                <w:color w:val="auto"/>
              </w:rPr>
            </w:pPr>
            <w:r>
              <w:rPr>
                <w:rFonts w:ascii="Arial" w:cs="Arial" w:eastAsia="Arial" w:hAnsi="Arial"/>
                <w:sz w:val="18"/>
                <w:szCs w:val="18"/>
                <w:b w:val="1"/>
                <w:bCs w:val="1"/>
                <w:color w:val="0000EE"/>
                <w:w w:val="99"/>
              </w:rPr>
              <w:t xml:space="preserve">Proposal 2: </w:t>
            </w:r>
            <w:r>
              <w:rPr>
                <w:rFonts w:ascii="Arial" w:cs="Arial" w:eastAsia="Arial" w:hAnsi="Arial"/>
                <w:sz w:val="18"/>
                <w:szCs w:val="18"/>
                <w:color w:val="0000EE"/>
                <w:w w:val="99"/>
              </w:rPr>
              <w:t>Ratification of Appointment of Independent Registered Public Accounting Firm</w:t>
            </w:r>
          </w:p>
        </w:tc>
        <w:tc>
          <w:tcPr>
            <w:tcW w:w="188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tcBorders>
              <w:bottom w:val="single" w:sz="8" w:color="0000EE"/>
            </w:tcBorders>
            <w:gridSpan w:val="42"/>
          </w:tcPr>
          <w:p>
            <w:pPr>
              <w:spacing w:after="0" w:line="182" w:lineRule="exact"/>
              <w:rPr>
                <w:sz w:val="20"/>
                <w:szCs w:val="20"/>
                <w:color w:val="auto"/>
              </w:rPr>
            </w:pPr>
            <w:r>
              <w:rPr>
                <w:rFonts w:ascii="Arial" w:cs="Arial" w:eastAsia="Arial" w:hAnsi="Arial"/>
                <w:sz w:val="18"/>
                <w:szCs w:val="18"/>
                <w:b w:val="1"/>
                <w:bCs w:val="1"/>
                <w:color w:val="0000EE"/>
                <w:w w:val="99"/>
              </w:rPr>
              <w:t xml:space="preserve">Proposal 3: </w:t>
            </w:r>
            <w:r>
              <w:rPr>
                <w:rFonts w:ascii="Arial" w:cs="Arial" w:eastAsia="Arial" w:hAnsi="Arial"/>
                <w:sz w:val="18"/>
                <w:szCs w:val="18"/>
                <w:color w:val="0000EE"/>
                <w:w w:val="99"/>
              </w:rPr>
              <w:t>Approval, on an Advisory (Non-Binding) Basis, of the Compensation of Our Named Executive Officers</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1"/>
        </w:trPr>
        <w:tc>
          <w:tcPr>
            <w:tcW w:w="478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b w:val="1"/>
                <w:bCs w:val="1"/>
                <w:color w:val="0000EE"/>
                <w:w w:val="99"/>
              </w:rPr>
              <w:t>Report of the Audit Committee of the Board of Directors</w:t>
            </w:r>
          </w:p>
        </w:tc>
        <w:tc>
          <w:tcPr>
            <w:tcW w:w="506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1"/>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Independent Registered Public Accounting Firm Fees and Other Matters</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0"/>
        </w:trPr>
        <w:tc>
          <w:tcPr>
            <w:tcW w:w="6160" w:type="dxa"/>
            <w:vAlign w:val="bottom"/>
            <w:tcBorders>
              <w:top w:val="single" w:sz="8" w:color="0000EE"/>
            </w:tcBorders>
            <w:gridSpan w:val="39"/>
          </w:tcPr>
          <w:p>
            <w:pPr>
              <w:spacing w:after="0"/>
              <w:rPr>
                <w:sz w:val="20"/>
                <w:szCs w:val="20"/>
                <w:color w:val="auto"/>
              </w:rPr>
            </w:pPr>
            <w:r>
              <w:rPr>
                <w:rFonts w:ascii="Arial" w:cs="Arial" w:eastAsia="Arial" w:hAnsi="Arial"/>
                <w:sz w:val="18"/>
                <w:szCs w:val="18"/>
                <w:b w:val="1"/>
                <w:bCs w:val="1"/>
                <w:color w:val="0000EE"/>
              </w:rPr>
              <w:t>Executive Officers</w:t>
            </w:r>
          </w:p>
        </w:tc>
        <w:tc>
          <w:tcPr>
            <w:tcW w:w="36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Corporate Governance</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General</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64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Board</w:t>
            </w:r>
          </w:p>
        </w:tc>
        <w:tc>
          <w:tcPr>
            <w:tcW w:w="8480" w:type="dxa"/>
            <w:vAlign w:val="bottom"/>
            <w:gridSpan w:val="40"/>
          </w:tcPr>
          <w:p>
            <w:pPr>
              <w:spacing w:after="0" w:line="182" w:lineRule="exact"/>
              <w:rPr>
                <w:sz w:val="20"/>
                <w:szCs w:val="20"/>
                <w:color w:val="auto"/>
              </w:rPr>
            </w:pPr>
            <w:r>
              <w:rPr>
                <w:rFonts w:ascii="Arial" w:cs="Arial" w:eastAsia="Arial" w:hAnsi="Arial"/>
                <w:sz w:val="18"/>
                <w:szCs w:val="18"/>
                <w:color w:val="0000EE"/>
              </w:rPr>
              <w:t>Composition</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Director Independence</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8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Director Candidates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2840" w:type="dxa"/>
            <w:vAlign w:val="bottom"/>
            <w:tcBorders>
              <w:bottom w:val="single" w:sz="8" w:color="0000EE"/>
            </w:tcBorders>
            <w:gridSpan w:val="24"/>
          </w:tcPr>
          <w:p>
            <w:pPr>
              <w:spacing w:after="0" w:line="182" w:lineRule="exact"/>
              <w:rPr>
                <w:sz w:val="20"/>
                <w:szCs w:val="20"/>
                <w:color w:val="auto"/>
              </w:rPr>
            </w:pPr>
            <w:r>
              <w:rPr>
                <w:rFonts w:ascii="Arial" w:cs="Arial" w:eastAsia="Arial" w:hAnsi="Arial"/>
                <w:sz w:val="18"/>
                <w:szCs w:val="18"/>
                <w:color w:val="0000EE"/>
                <w:w w:val="99"/>
              </w:rPr>
              <w:t>Communications from Stockholders</w:t>
            </w:r>
          </w:p>
        </w:tc>
        <w:tc>
          <w:tcPr>
            <w:tcW w:w="6280" w:type="dxa"/>
            <w:vAlign w:val="bottom"/>
            <w:gridSpan w:val="18"/>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4380" w:type="dxa"/>
            <w:vAlign w:val="bottom"/>
            <w:tcBorders>
              <w:bottom w:val="single" w:sz="8" w:color="0000EE"/>
            </w:tcBorders>
            <w:gridSpan w:val="34"/>
          </w:tcPr>
          <w:p>
            <w:pPr>
              <w:spacing w:after="0" w:line="182" w:lineRule="exact"/>
              <w:rPr>
                <w:sz w:val="20"/>
                <w:szCs w:val="20"/>
                <w:color w:val="auto"/>
              </w:rPr>
            </w:pPr>
            <w:r>
              <w:rPr>
                <w:rFonts w:ascii="Arial" w:cs="Arial" w:eastAsia="Arial" w:hAnsi="Arial"/>
                <w:sz w:val="18"/>
                <w:szCs w:val="18"/>
                <w:color w:val="0000EE"/>
                <w:w w:val="99"/>
              </w:rPr>
              <w:t>Board Leadership Structure and Role in Risk Oversight</w:t>
            </w:r>
          </w:p>
        </w:tc>
        <w:tc>
          <w:tcPr>
            <w:tcW w:w="4740" w:type="dxa"/>
            <w:vAlign w:val="bottom"/>
            <w:gridSpan w:val="8"/>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Environmental, Social and Corporate Governance Activities</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720" w:type="dxa"/>
            <w:vAlign w:val="bottom"/>
            <w:tcBorders>
              <w:top w:val="single" w:sz="8" w:color="0000EE"/>
            </w:tcBorders>
            <w:gridSpan w:val="35"/>
          </w:tcPr>
          <w:p>
            <w:pPr>
              <w:spacing w:after="0" w:line="182" w:lineRule="exact"/>
              <w:rPr>
                <w:sz w:val="20"/>
                <w:szCs w:val="20"/>
                <w:color w:val="auto"/>
              </w:rPr>
            </w:pPr>
            <w:r>
              <w:rPr>
                <w:rFonts w:ascii="Arial" w:cs="Arial" w:eastAsia="Arial" w:hAnsi="Arial"/>
                <w:sz w:val="18"/>
                <w:szCs w:val="18"/>
                <w:color w:val="0000EE"/>
              </w:rPr>
              <w:t>Annual Board Evaluation</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Code of Ethics</w:t>
            </w:r>
          </w:p>
        </w:tc>
        <w:tc>
          <w:tcPr>
            <w:tcW w:w="80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Anti-Hedging and Anti-Pledging Policy</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304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Attendance by Members of the Board</w:t>
            </w:r>
          </w:p>
        </w:tc>
        <w:tc>
          <w:tcPr>
            <w:tcW w:w="6080" w:type="dxa"/>
            <w:vAlign w:val="bottom"/>
            <w:gridSpan w:val="14"/>
          </w:tcPr>
          <w:p>
            <w:pPr>
              <w:spacing w:after="0" w:line="182" w:lineRule="exact"/>
              <w:rPr>
                <w:sz w:val="20"/>
                <w:szCs w:val="20"/>
                <w:color w:val="auto"/>
              </w:rPr>
            </w:pPr>
            <w:r>
              <w:rPr>
                <w:rFonts w:ascii="Arial" w:cs="Arial" w:eastAsia="Arial" w:hAnsi="Arial"/>
                <w:sz w:val="18"/>
                <w:szCs w:val="18"/>
                <w:color w:val="0000EE"/>
              </w:rPr>
              <w:t>of Directors at Meetings</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Committees of the Board</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Audit Committee</w:t>
            </w:r>
          </w:p>
        </w:tc>
        <w:tc>
          <w:tcPr>
            <w:tcW w:w="380" w:type="dxa"/>
            <w:vAlign w:val="bottom"/>
            <w:gridSpan w:val="3"/>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4"/>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Compensation and Talent Committee</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27"/>
          </w:tcPr>
          <w:p>
            <w:pPr>
              <w:spacing w:after="0" w:line="182" w:lineRule="exact"/>
              <w:rPr>
                <w:sz w:val="20"/>
                <w:szCs w:val="20"/>
                <w:color w:val="auto"/>
              </w:rPr>
            </w:pPr>
            <w:r>
              <w:rPr>
                <w:rFonts w:ascii="Arial" w:cs="Arial" w:eastAsia="Arial" w:hAnsi="Arial"/>
                <w:sz w:val="18"/>
                <w:szCs w:val="18"/>
                <w:color w:val="0000EE"/>
                <w:w w:val="93"/>
              </w:rPr>
              <w:t>Nominating and Corporate Governance</w:t>
            </w:r>
          </w:p>
        </w:tc>
        <w:tc>
          <w:tcPr>
            <w:tcW w:w="100" w:type="dxa"/>
            <w:vAlign w:val="bottom"/>
            <w:tcBorders>
              <w:bottom w:val="single" w:sz="8" w:color="0000EE"/>
            </w:tcBorders>
            <w:gridSpan w:val="2"/>
          </w:tcPr>
          <w:p>
            <w:pPr>
              <w:spacing w:after="0"/>
              <w:rPr>
                <w:sz w:val="15"/>
                <w:szCs w:val="15"/>
                <w:color w:val="auto"/>
              </w:rPr>
            </w:pPr>
          </w:p>
        </w:tc>
        <w:tc>
          <w:tcPr>
            <w:tcW w:w="1000" w:type="dxa"/>
            <w:vAlign w:val="bottom"/>
            <w:tcBorders>
              <w:bottom w:val="single" w:sz="8" w:color="0000EE"/>
            </w:tcBorders>
            <w:gridSpan w:val="2"/>
          </w:tcPr>
          <w:p>
            <w:pPr>
              <w:jc w:val="center"/>
              <w:ind w:left="30"/>
              <w:spacing w:after="0" w:line="182" w:lineRule="exact"/>
              <w:rPr>
                <w:sz w:val="20"/>
                <w:szCs w:val="20"/>
                <w:color w:val="auto"/>
              </w:rPr>
            </w:pPr>
            <w:r>
              <w:rPr>
                <w:rFonts w:ascii="Arial" w:cs="Arial" w:eastAsia="Arial" w:hAnsi="Arial"/>
                <w:sz w:val="18"/>
                <w:szCs w:val="18"/>
                <w:color w:val="0000EE"/>
              </w:rPr>
              <w:t>Committee</w:t>
            </w:r>
          </w:p>
        </w:tc>
        <w:tc>
          <w:tcPr>
            <w:tcW w:w="5060" w:type="dxa"/>
            <w:vAlign w:val="bottom"/>
            <w:gridSpan w:val="11"/>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0"/>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Executive and Director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2000" w:type="dxa"/>
            <w:vAlign w:val="bottom"/>
            <w:tcBorders>
              <w:top w:val="single" w:sz="8" w:color="0000EE"/>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Executive Compensation</w:t>
            </w:r>
          </w:p>
        </w:tc>
        <w:tc>
          <w:tcPr>
            <w:tcW w:w="520" w:type="dxa"/>
            <w:vAlign w:val="bottom"/>
            <w:tcBorders>
              <w:top w:val="single" w:sz="8" w:color="0000EE"/>
            </w:tcBorders>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140" w:type="dxa"/>
            <w:vAlign w:val="bottom"/>
            <w:gridSpan w:val="3"/>
          </w:tcPr>
          <w:p>
            <w:pPr>
              <w:spacing w:after="0"/>
              <w:rPr>
                <w:sz w:val="15"/>
                <w:szCs w:val="15"/>
                <w:color w:val="auto"/>
              </w:rPr>
            </w:pPr>
          </w:p>
        </w:tc>
        <w:tc>
          <w:tcPr>
            <w:tcW w:w="160" w:type="dxa"/>
            <w:vAlign w:val="bottom"/>
            <w:gridSpan w:val="3"/>
          </w:tcPr>
          <w:p>
            <w:pPr>
              <w:spacing w:after="0"/>
              <w:rPr>
                <w:sz w:val="15"/>
                <w:szCs w:val="15"/>
                <w:color w:val="auto"/>
              </w:rPr>
            </w:pPr>
          </w:p>
        </w:tc>
        <w:tc>
          <w:tcPr>
            <w:tcW w:w="10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4"/>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2021 Summary Compensation Table</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290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Narrative Disclosure to Summary</w:t>
            </w:r>
          </w:p>
        </w:tc>
        <w:tc>
          <w:tcPr>
            <w:tcW w:w="6220" w:type="dxa"/>
            <w:vAlign w:val="bottom"/>
            <w:gridSpan w:val="16"/>
          </w:tcPr>
          <w:p>
            <w:pPr>
              <w:jc w:val="center"/>
              <w:ind w:right="4800"/>
              <w:spacing w:after="0" w:line="182" w:lineRule="exact"/>
              <w:rPr>
                <w:sz w:val="20"/>
                <w:szCs w:val="20"/>
                <w:color w:val="auto"/>
              </w:rPr>
            </w:pPr>
            <w:r>
              <w:rPr>
                <w:rFonts w:ascii="Arial" w:cs="Arial" w:eastAsia="Arial" w:hAnsi="Arial"/>
                <w:sz w:val="18"/>
                <w:szCs w:val="18"/>
                <w:color w:val="0000EE"/>
                <w:w w:val="85"/>
              </w:rPr>
              <w:t>Compensation Table</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432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Outstanding Equity Awards at 2021 Fiscal Year End</w:t>
            </w:r>
          </w:p>
        </w:tc>
        <w:tc>
          <w:tcPr>
            <w:tcW w:w="660" w:type="dxa"/>
            <w:vAlign w:val="bottom"/>
            <w:gridSpan w:val="4"/>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4120" w:type="dxa"/>
            <w:vAlign w:val="bottom"/>
            <w:tcBorders>
              <w:top w:val="single" w:sz="8" w:color="0000EE"/>
            </w:tcBorders>
            <w:gridSpan w:val="32"/>
          </w:tcPr>
          <w:p>
            <w:pPr>
              <w:spacing w:after="0" w:line="182" w:lineRule="exact"/>
              <w:rPr>
                <w:sz w:val="20"/>
                <w:szCs w:val="20"/>
                <w:color w:val="auto"/>
              </w:rPr>
            </w:pPr>
            <w:r>
              <w:rPr>
                <w:rFonts w:ascii="Arial" w:cs="Arial" w:eastAsia="Arial" w:hAnsi="Arial"/>
                <w:sz w:val="18"/>
                <w:szCs w:val="18"/>
                <w:color w:val="0000EE"/>
              </w:rPr>
              <w:t>Employment Agreements</w:t>
            </w:r>
          </w:p>
        </w:tc>
        <w:tc>
          <w:tcPr>
            <w:tcW w:w="860" w:type="dxa"/>
            <w:vAlign w:val="bottom"/>
            <w:gridSpan w:val="5"/>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8"/>
              </w:rPr>
              <w:t>Director Compensation</w:t>
            </w:r>
          </w:p>
        </w:tc>
        <w:tc>
          <w:tcPr>
            <w:tcW w:w="180" w:type="dxa"/>
            <w:vAlign w:val="bottom"/>
            <w:tcBorders>
              <w:top w:val="single" w:sz="8" w:color="0000EE"/>
            </w:tcBorders>
            <w:gridSpan w:val="3"/>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4"/>
          </w:tcPr>
          <w:p>
            <w:pPr>
              <w:spacing w:after="0"/>
              <w:rPr>
                <w:sz w:val="15"/>
                <w:szCs w:val="15"/>
                <w:color w:val="auto"/>
              </w:rPr>
            </w:pPr>
          </w:p>
        </w:tc>
        <w:tc>
          <w:tcPr>
            <w:tcW w:w="300" w:type="dxa"/>
            <w:vAlign w:val="bottom"/>
            <w:gridSpan w:val="6"/>
          </w:tcPr>
          <w:p>
            <w:pPr>
              <w:spacing w:after="0"/>
              <w:rPr>
                <w:sz w:val="15"/>
                <w:szCs w:val="15"/>
                <w:color w:val="auto"/>
              </w:rPr>
            </w:pPr>
          </w:p>
        </w:tc>
        <w:tc>
          <w:tcPr>
            <w:tcW w:w="1920" w:type="dxa"/>
            <w:vAlign w:val="bottom"/>
            <w:gridSpan w:val="8"/>
          </w:tcPr>
          <w:p>
            <w:pPr>
              <w:spacing w:after="0"/>
              <w:rPr>
                <w:sz w:val="15"/>
                <w:szCs w:val="15"/>
                <w:color w:val="auto"/>
              </w:rPr>
            </w:pPr>
          </w:p>
        </w:tc>
        <w:tc>
          <w:tcPr>
            <w:tcW w:w="520" w:type="dxa"/>
            <w:vAlign w:val="bottom"/>
            <w:gridSpan w:val="3"/>
          </w:tcPr>
          <w:p>
            <w:pPr>
              <w:spacing w:after="0"/>
              <w:rPr>
                <w:sz w:val="15"/>
                <w:szCs w:val="15"/>
                <w:color w:val="auto"/>
              </w:rPr>
            </w:pPr>
          </w:p>
        </w:tc>
        <w:tc>
          <w:tcPr>
            <w:tcW w:w="3620" w:type="dxa"/>
            <w:vAlign w:val="bottom"/>
            <w:gridSpan w:val="2"/>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2021 Director Compensation Table</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9120" w:type="dxa"/>
            <w:vAlign w:val="bottom"/>
            <w:gridSpan w:val="42"/>
          </w:tcPr>
          <w:p>
            <w:pPr>
              <w:spacing w:after="0" w:line="182" w:lineRule="exact"/>
              <w:rPr>
                <w:sz w:val="20"/>
                <w:szCs w:val="20"/>
                <w:color w:val="auto"/>
              </w:rPr>
            </w:pPr>
            <w:r>
              <w:rPr>
                <w:rFonts w:ascii="Arial" w:cs="Arial" w:eastAsia="Arial" w:hAnsi="Arial"/>
                <w:sz w:val="18"/>
                <w:szCs w:val="18"/>
                <w:color w:val="0000EE"/>
              </w:rPr>
              <w:t>Equity Compensation Plan Information</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Security Ownership of Certain Beneficial Owners and Management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90"/>
        </w:trPr>
        <w:tc>
          <w:tcPr>
            <w:tcW w:w="5700" w:type="dxa"/>
            <w:vAlign w:val="bottom"/>
            <w:tcBorders>
              <w:top w:val="single" w:sz="8" w:color="0000EE"/>
            </w:tcBorders>
            <w:gridSpan w:val="38"/>
          </w:tcPr>
          <w:p>
            <w:pPr>
              <w:spacing w:after="0"/>
              <w:rPr>
                <w:sz w:val="20"/>
                <w:szCs w:val="20"/>
                <w:color w:val="auto"/>
              </w:rPr>
            </w:pPr>
            <w:r>
              <w:rPr>
                <w:rFonts w:ascii="Arial" w:cs="Arial" w:eastAsia="Arial" w:hAnsi="Arial"/>
                <w:sz w:val="18"/>
                <w:szCs w:val="18"/>
                <w:b w:val="1"/>
                <w:bCs w:val="1"/>
                <w:color w:val="0000EE"/>
              </w:rPr>
              <w:t>Certain Relationships</w:t>
            </w:r>
          </w:p>
        </w:tc>
        <w:tc>
          <w:tcPr>
            <w:tcW w:w="414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20" w:type="dxa"/>
            <w:vAlign w:val="bottom"/>
            <w:tcBorders>
              <w:bottom w:val="single" w:sz="8" w:color="0000EE"/>
            </w:tcBorders>
            <w:gridSpan w:val="41"/>
          </w:tcPr>
          <w:p>
            <w:pPr>
              <w:spacing w:after="0"/>
              <w:rPr>
                <w:sz w:val="20"/>
                <w:szCs w:val="20"/>
                <w:color w:val="auto"/>
              </w:rPr>
            </w:pPr>
            <w:r>
              <w:rPr>
                <w:rFonts w:ascii="Arial" w:cs="Arial" w:eastAsia="Arial" w:hAnsi="Arial"/>
                <w:sz w:val="18"/>
                <w:szCs w:val="18"/>
                <w:b w:val="1"/>
                <w:bCs w:val="1"/>
                <w:color w:val="0000EE"/>
                <w:w w:val="99"/>
              </w:rPr>
              <w:t>Compensation and Talent Committee Interlocks and Insider Participation</w:t>
            </w:r>
          </w:p>
        </w:tc>
        <w:tc>
          <w:tcPr>
            <w:tcW w:w="362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91"/>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Stockholders’ Proposals</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0"/>
        </w:trPr>
        <w:tc>
          <w:tcPr>
            <w:tcW w:w="2100" w:type="dxa"/>
            <w:vAlign w:val="bottom"/>
            <w:tcBorders>
              <w:top w:val="single" w:sz="8" w:color="0000EE"/>
            </w:tcBorders>
            <w:gridSpan w:val="12"/>
          </w:tcPr>
          <w:p>
            <w:pPr>
              <w:spacing w:after="0"/>
              <w:rPr>
                <w:sz w:val="20"/>
                <w:szCs w:val="20"/>
                <w:color w:val="auto"/>
              </w:rPr>
            </w:pPr>
            <w:r>
              <w:rPr>
                <w:rFonts w:ascii="Arial" w:cs="Arial" w:eastAsia="Arial" w:hAnsi="Arial"/>
                <w:sz w:val="18"/>
                <w:szCs w:val="18"/>
                <w:b w:val="1"/>
                <w:bCs w:val="1"/>
                <w:color w:val="0000EE"/>
              </w:rPr>
              <w:t>Other Matters</w:t>
            </w:r>
          </w:p>
        </w:tc>
        <w:tc>
          <w:tcPr>
            <w:tcW w:w="7740" w:type="dxa"/>
            <w:vAlign w:val="bottom"/>
            <w:gridSpan w:val="3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6800" w:type="dxa"/>
            <w:vAlign w:val="bottom"/>
            <w:gridSpan w:val="2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40" w:type="dxa"/>
            <w:vAlign w:val="bottom"/>
            <w:gridSpan w:val="43"/>
          </w:tcPr>
          <w:p>
            <w:pPr>
              <w:spacing w:after="0"/>
              <w:rPr>
                <w:sz w:val="20"/>
                <w:szCs w:val="20"/>
                <w:color w:val="auto"/>
              </w:rPr>
            </w:pPr>
            <w:r>
              <w:rPr>
                <w:rFonts w:ascii="Arial" w:cs="Arial" w:eastAsia="Arial" w:hAnsi="Arial"/>
                <w:sz w:val="18"/>
                <w:szCs w:val="18"/>
                <w:b w:val="1"/>
                <w:bCs w:val="1"/>
                <w:color w:val="0000EE"/>
              </w:rPr>
              <w:t>Solicitation of Proxies</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880" w:type="dxa"/>
            <w:vAlign w:val="bottom"/>
            <w:gridSpan w:val="8"/>
            <w:shd w:val="clear" w:color="auto" w:fill="0000EE"/>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6800" w:type="dxa"/>
            <w:vAlign w:val="bottom"/>
            <w:gridSpan w:val="2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b w:val="1"/>
                <w:bCs w:val="1"/>
                <w:color w:val="0000EE"/>
                <w:w w:val="99"/>
              </w:rPr>
              <w:t>Seres’ Annual Report on Form 10-K</w:t>
            </w:r>
          </w:p>
        </w:tc>
        <w:tc>
          <w:tcPr>
            <w:tcW w:w="6800" w:type="dxa"/>
            <w:vAlign w:val="bottom"/>
            <w:gridSpan w:val="2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Be Held Wednesday,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Wednesday, June 22, 2022. The Annual Meeting will be a completely virtual meeting, which will be conducted via live webcast. You will be able to attend the Annual Meeting online and submit your questions during the meeting by visiting www.virtualshareholdermeeting.com/MCRB2022 and entering your 16-digit control number included on your Notice of Internet Availability of Proxy Materials (“Internet Notice”), your proxy card or on the instructions that accompanied your proxy materials. The Annual Meeting will be held for the following purposes:</w:t>
      </w:r>
    </w:p>
    <w:p>
      <w:pPr>
        <w:spacing w:after="0" w:line="30" w:lineRule="exact"/>
        <w:rPr>
          <w:sz w:val="20"/>
          <w:szCs w:val="20"/>
          <w:color w:val="auto"/>
        </w:rPr>
      </w:pPr>
    </w:p>
    <w:p>
      <w:pPr>
        <w:ind w:left="1540" w:right="280" w:hanging="439"/>
        <w:spacing w:after="0" w:line="290"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Dennis A. Ausiello, M.D., Willard H. Dere, M.D., and Eric D. Shaff as Class I Directors to serve until the 2025 Annual Meeting of Stockholders, and until their respective successors shall have been duly elected and qualified;</w:t>
      </w:r>
    </w:p>
    <w:p>
      <w:pPr>
        <w:ind w:left="1540" w:right="180" w:hanging="439"/>
        <w:spacing w:after="0" w:line="271"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2022;</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 and</w:t>
      </w:r>
    </w:p>
    <w:p>
      <w:pPr>
        <w:spacing w:after="0" w:line="63" w:lineRule="exact"/>
        <w:rPr>
          <w:rFonts w:ascii="Arial" w:cs="Arial" w:eastAsia="Arial" w:hAnsi="Arial"/>
          <w:sz w:val="18"/>
          <w:szCs w:val="18"/>
          <w:color w:val="auto"/>
        </w:rPr>
      </w:pPr>
    </w:p>
    <w:p>
      <w:pPr>
        <w:ind w:left="1540" w:hanging="439"/>
        <w:spacing w:after="0" w:line="271"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record of our common stock (our “Common Stock”) as of the close of business on April 25, 2022 are entitled to notice of and to vote at the Annual Meeting, or any continuation, postponement or adjournment of the Annual Meeting. To participate in the Annual Meeting, including to vote via the Internet, you will need the 16-digit control number included on your Internet Notice, your proxy card or on the instructions that accompanied your proxy materials. A complete list of stockholders entitled to vote at the Annual Meeting will be open to the examination of any stockholder for a purpose germane to the meeting by sending an email to info@serestherapeutics.com, stating the purpose of the request and providing proof of ownership of our Common Stock for a period of ten days prior to the Annual Meeting and will also be available on the bottom of your screen during the Annual Meeting after entering your 16-digit control number. The Annual Meeting may be continued or adjourned from time to time without notice other than by announcement at the Annual Meeting.</w:t>
      </w:r>
    </w:p>
    <w:p>
      <w:pPr>
        <w:spacing w:after="0" w:line="7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webcast, we urge you to vote your shares via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92849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84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J. DesRosier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Secretary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Massachusetts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SERES THERAPEUTICS, INC.</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200 SIDNEY STREET</w:t>
      </w:r>
    </w:p>
    <w:p>
      <w:pPr>
        <w:ind w:left="120"/>
        <w:spacing w:after="0"/>
        <w:rPr>
          <w:sz w:val="20"/>
          <w:szCs w:val="20"/>
          <w:color w:val="auto"/>
        </w:rPr>
      </w:pPr>
      <w:r>
        <w:rPr>
          <w:rFonts w:ascii="Arial" w:cs="Arial" w:eastAsia="Arial" w:hAnsi="Arial"/>
          <w:sz w:val="13"/>
          <w:szCs w:val="13"/>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of proxies to be voted at our Annual Meeting of Stockholders to be held on Wednesday, June 22, 2022 (the “Annual Meeting”), at 8:00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 MCRB2022 and entering your 16-digit control number included on your Notice of Internet Availability of Proxy Materials (the “Internet Notice”), on your proxy card or on the instructions that accompanied your proxy materials. Holders of record of shares of our common stock (our “Common Stock”), as of the close of business on April 25, 2022 (the “Record Date”), will be entitled to notice of and to vote at the Annual Meeting and any continuation, postponement, or adjournment of the Annual Meeting. As of the Record Date, there were 92,230,428 shares of Common Stock outstanding and entitled to vote at the Annual Meeting. Each share of Common Stock is entitled to one vote on any matter presented to stockholders at the Annual Meeting.</w:t>
      </w:r>
    </w:p>
    <w:p>
      <w:pPr>
        <w:spacing w:after="0" w:line="7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This proxy statement and our Annual Report to Stockholders for the year ended December 31, 2021 (the “2021 Annual Report”) will be released on or about April 29, 2022 to our stockholders on the Record Date.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104" w:lineRule="exact"/>
        <w:rPr>
          <w:sz w:val="20"/>
          <w:szCs w:val="20"/>
          <w:color w:val="auto"/>
        </w:rPr>
      </w:pPr>
    </w:p>
    <w:p>
      <w:pPr>
        <w:ind w:left="120"/>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WEDNESDAY, JUNE 22, 2022</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Statement and our 2021 Annual Report to Stockholders are available at http://www.proxyvote.com/.</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our stockholders will be asked:</w:t>
      </w:r>
    </w:p>
    <w:p>
      <w:pPr>
        <w:spacing w:after="0" w:line="117" w:lineRule="exact"/>
        <w:rPr>
          <w:sz w:val="20"/>
          <w:szCs w:val="20"/>
          <w:color w:val="auto"/>
        </w:rPr>
      </w:pPr>
    </w:p>
    <w:p>
      <w:pPr>
        <w:ind w:left="980" w:right="180" w:hanging="432"/>
        <w:spacing w:after="0" w:line="27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Dennis A. Ausiello, M.D., Willard H. Dere, M.D., and Eric D. Shaff as Class I Directors to serve until the 2025 Annual Meeting of Stockholders, and until their respective successors shall have been duly elected and qualified;</w:t>
      </w:r>
    </w:p>
    <w:p>
      <w:pPr>
        <w:spacing w:after="0" w:line="59" w:lineRule="exact"/>
        <w:rPr>
          <w:rFonts w:ascii="Arial" w:cs="Arial" w:eastAsia="Arial" w:hAnsi="Arial"/>
          <w:sz w:val="18"/>
          <w:szCs w:val="18"/>
          <w:color w:val="auto"/>
        </w:rPr>
      </w:pPr>
    </w:p>
    <w:p>
      <w:pPr>
        <w:ind w:left="980" w:right="220" w:hanging="432"/>
        <w:spacing w:after="0" w:line="27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2022;</w:t>
      </w:r>
    </w:p>
    <w:p>
      <w:pPr>
        <w:spacing w:after="0" w:line="59"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our named executive officers; and</w:t>
      </w:r>
    </w:p>
    <w:p>
      <w:pPr>
        <w:spacing w:after="0" w:line="117" w:lineRule="exact"/>
        <w:rPr>
          <w:rFonts w:ascii="Arial" w:cs="Arial" w:eastAsia="Arial" w:hAnsi="Arial"/>
          <w:sz w:val="18"/>
          <w:szCs w:val="18"/>
          <w:color w:val="auto"/>
        </w:rPr>
      </w:pPr>
    </w:p>
    <w:p>
      <w:pPr>
        <w:ind w:left="980" w:right="500" w:hanging="432"/>
        <w:spacing w:after="0" w:line="27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4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Corporate Secretary of the stockholder’s intention to bring such business before the meeting. As of the date of this proxy statement, we know of no other business that will be presented at the Annual Meeting. If any other</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matter properly comes before the stockholders for a vote at the Annual Meeting, however, the proxy holders named on the Company’s proxy card will vote your shares in accordance with their best judgment.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3"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Our Board of Directors (the “Board of Directors” or the “Board”) recommends that you vote your shares of Common Stock as indicated below. If you return a properly completed proxy card, or vote your shares by Internet, your shares will be voted on your behalf as you direct. If not otherwise specified, shares of Common Stock represented by proxies will be voted, and the Board of Directors recommends that you vote:</w:t>
      </w:r>
    </w:p>
    <w:p>
      <w:pPr>
        <w:spacing w:after="0" w:line="79" w:lineRule="exact"/>
        <w:rPr>
          <w:sz w:val="20"/>
          <w:szCs w:val="20"/>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Dennis A. Ausiello, M.D., Willard H. Dere, M.D., and Eric D. Shaff as Class I Directors;</w:t>
      </w:r>
    </w:p>
    <w:p>
      <w:pPr>
        <w:spacing w:after="0" w:line="117" w:lineRule="exact"/>
        <w:rPr>
          <w:rFonts w:ascii="Arial" w:cs="Arial" w:eastAsia="Arial" w:hAnsi="Arial"/>
          <w:sz w:val="18"/>
          <w:szCs w:val="18"/>
          <w:color w:val="auto"/>
        </w:rPr>
      </w:pPr>
    </w:p>
    <w:p>
      <w:pPr>
        <w:ind w:left="980" w:right="200" w:hanging="432"/>
        <w:spacing w:after="0" w:line="27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2022; and</w:t>
      </w:r>
    </w:p>
    <w:p>
      <w:pPr>
        <w:spacing w:after="0" w:line="59"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on an advisory (non-binding) basis, of the compensation of our named executive officers.</w:t>
      </w:r>
    </w:p>
    <w:p>
      <w:pPr>
        <w:spacing w:after="0" w:line="104"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our Board is soliciting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to vote your shares of Common Stock at the Annual Meeting. This proxy statement includes information that we are required to provide to you under the rules of the Securities and Exchange Commission (“SEC”) and that is designed to assist you in voting your shares.</w:t>
      </w:r>
    </w:p>
    <w:p>
      <w:pPr>
        <w:spacing w:after="0" w:line="66"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we are making this proxy statement and our 2021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our stockholders electronically via the Internet. On or about April 29, 2022, we commenced mailing to our stockholders an Internet Notice containing instructions on how to access this proxy statement and our 2021 Annual Report and vote online. If you received an Internet Notice by mail, you will not receive a printed copy of the proxy materials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72"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w:t>
      </w:r>
      <w:r>
        <w:rPr>
          <w:rFonts w:ascii="Arial" w:cs="Arial" w:eastAsia="Arial" w:hAnsi="Arial"/>
          <w:sz w:val="18"/>
          <w:szCs w:val="18"/>
          <w:b w:val="1"/>
          <w:bCs w:val="1"/>
          <w:color w:val="auto"/>
        </w:rPr>
        <w:t xml:space="preserve"> </w:t>
      </w:r>
      <w:r>
        <w:rPr>
          <w:rFonts w:ascii="Arial" w:cs="Arial" w:eastAsia="Arial" w:hAnsi="Arial"/>
          <w:sz w:val="18"/>
          <w:szCs w:val="18"/>
          <w:color w:val="auto"/>
        </w:rPr>
        <w:t>vote are contained on the proxy card included in the materials.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set of proxy materials to one address shared by two or more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 and Answers about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Record Date for the Annual Meeting is April 25, 2022.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92,230,428 shares of Common Stock outstanding and entitled to vote at the Annual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 to obtain your 16-digit control number or otherwise vote through the bank or broker.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remote communication, or represented by proxy, of the holders of a majority in voting power of the Common Stock issued and outstanding and entitled to vote on the Record Date will constitute a quorum.</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CAN ATTEND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You may attend the Annual Meeting online only if you are a Seres stockholder who is entitled to vote at the Annual Meeting, or if you hold a valid proxy for the Annual Meeting. You may attend and participate in the Annual Meeting by visiting the following website: www.virtualshareholdermeeting.com/ MCRB2022.</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meeting webcast will begin promptly at 8:00 a.m. Eastern Time. We encourage you to access the meeting prior to the start time.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Online check-in will begin at 7:55 a.m. Eastern Time, and you should allow ample time for the check-in procedures.</w:t>
      </w:r>
    </w:p>
    <w:p>
      <w:pPr>
        <w:spacing w:after="0" w:line="8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To attend and participate in the Annual Meeting, you will need the 16-digit control number included on your Internet Notice, on your proxy card or on the instructions that accompanied your proxy materials. If your bank or broker holds your shares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289" w:lineRule="exact"/>
        <w:rPr>
          <w:sz w:val="20"/>
          <w:szCs w:val="20"/>
          <w:color w:val="auto"/>
        </w:rPr>
      </w:pPr>
    </w:p>
    <w:p>
      <w:pPr>
        <w:ind w:left="120" w:right="560"/>
        <w:spacing w:after="0" w:line="297" w:lineRule="auto"/>
        <w:rPr>
          <w:sz w:val="20"/>
          <w:szCs w:val="20"/>
          <w:color w:val="auto"/>
        </w:rPr>
      </w:pPr>
      <w:r>
        <w:rPr>
          <w:rFonts w:ascii="Arial" w:cs="Arial" w:eastAsia="Arial" w:hAnsi="Arial"/>
          <w:sz w:val="13"/>
          <w:szCs w:val="13"/>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WHY HOLD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As part of our effort to maintain a safe and healthy environment for our directors, members of management and stockholders who wish to attend the Annual Meeting, we believe that hosting a virtual meeting is in the best interest of the Company and its stockholders and enables increased stockholder attendance and participation because stockholders can participate from any location around the world. Stockholders will have the same rights and opportunities to participate as they would have at an in-person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present in person, or by remote communication, or represented by proxy, may adjourn the Annual Meeting until a quorum is present or represented.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via the Internet, or, if you received printed copies of the proxy materials, by signing, dating and returning the enclosed proxy card in the enclosed envelope.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of Record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you are a stockholder of record, you may vote:</w:t>
      </w:r>
    </w:p>
    <w:p>
      <w:pPr>
        <w:spacing w:after="0" w:line="117" w:lineRule="exact"/>
        <w:rPr>
          <w:sz w:val="20"/>
          <w:szCs w:val="20"/>
          <w:color w:val="auto"/>
        </w:rPr>
      </w:pPr>
    </w:p>
    <w:p>
      <w:pPr>
        <w:ind w:left="980" w:right="180" w:hanging="432"/>
        <w:spacing w:after="0" w:line="27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before the Annual Meeting—You can vote over the Internet at www.proxyvote.com by following the instructions on the Internet Notice or proxy card;</w:t>
      </w:r>
    </w:p>
    <w:p>
      <w:pPr>
        <w:spacing w:after="0" w:line="59"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 or</w:t>
      </w:r>
    </w:p>
    <w:p>
      <w:pPr>
        <w:spacing w:after="0" w:line="117" w:lineRule="exact"/>
        <w:rPr>
          <w:rFonts w:ascii="Arial" w:cs="Arial" w:eastAsia="Arial" w:hAnsi="Arial"/>
          <w:sz w:val="18"/>
          <w:szCs w:val="18"/>
          <w:color w:val="auto"/>
        </w:rPr>
      </w:pPr>
    </w:p>
    <w:p>
      <w:pPr>
        <w:ind w:left="980" w:right="340" w:hanging="432"/>
        <w:spacing w:after="0" w:line="25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Electronically at the Annual Meeting—If you attend the meeting online, you will need the 16-digit control number included in your Internet Notice, on your proxy card or on the instructions that accompanied your proxy materials to vote electronically during the Annual Meeting.</w:t>
      </w:r>
    </w:p>
    <w:p>
      <w:pPr>
        <w:spacing w:after="0" w:line="6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Internet voting facilities for stockholders of record will be available 24 hours a day and will close at 11:59 p.m. Eastern Time on June 21, 2022 (other than the voting that occurs during the Annual Meeting). To participate in the Annual Meeting, including to vote via the Internet, you will need the 16-digit control number included on your Internet Notice, on your proxy card or on the instructions that accompanied your proxy materials.</w:t>
      </w:r>
    </w:p>
    <w:p>
      <w:pPr>
        <w:spacing w:after="0" w:line="6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i w:val="1"/>
          <w:i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instructions on how to vote from the bank or broker. You must follow their instructions in order for your shares to be voted. Internet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the Annual Meeting; or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voting online during the Annual Meeting.</w:t>
      </w:r>
    </w:p>
    <w:p>
      <w:pPr>
        <w:spacing w:after="0" w:line="104"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Your most recent proxy card or Internet proxy is the one that is counted. Your attendance at the Annual Meeting by itself will not revoke your proxy unless you give written notice of revocation to the Secretary before your proxy is voted or you vote online during the Annual Meeting.</w:t>
      </w:r>
    </w:p>
    <w:p>
      <w:pPr>
        <w:spacing w:after="0" w:line="6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during the Annual Meeting by obtaining your 16-digit control number or otherwise voting through the bank or broker.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WILL THERE BE A QUESTION AND ANSWER SESSION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As part of the Annual Meeting, we will hold a live Q&amp;A session, during which we intend to answer appropriate questions submitted by stockholders during the meeting that are pertinent to the Company and the meeting matters. The Company will endeavor to answer as many questions submitted by stockholders as time permits. Only stockholders that have accessed the Annual Meeting as a stockholder (rather than a “Guest”) by following the procedures outlined above in “Who Can Attend the 2022 Annual Meeting of Stockholders?” will be permitted to submit questions during the Annual Meeting. Each stockholder is limited to no more than two questions. Questions should be succinct and only cover a single topic. We will not address questions that are, among other things:</w:t>
      </w:r>
    </w:p>
    <w:p>
      <w:pPr>
        <w:spacing w:after="0" w:line="84" w:lineRule="exact"/>
        <w:rPr>
          <w:sz w:val="20"/>
          <w:szCs w:val="20"/>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17" w:lineRule="exact"/>
        <w:rPr>
          <w:rFonts w:ascii="Arial" w:cs="Arial" w:eastAsia="Arial" w:hAnsi="Arial"/>
          <w:sz w:val="18"/>
          <w:szCs w:val="18"/>
          <w:color w:val="auto"/>
        </w:rPr>
      </w:pPr>
    </w:p>
    <w:p>
      <w:pPr>
        <w:ind w:left="980" w:right="680" w:hanging="432"/>
        <w:spacing w:after="0" w:line="27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59"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excess of the two question limit;</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17" w:lineRule="exact"/>
        <w:rPr>
          <w:rFonts w:ascii="Arial" w:cs="Arial" w:eastAsia="Arial" w:hAnsi="Arial"/>
          <w:sz w:val="18"/>
          <w:szCs w:val="18"/>
          <w:color w:val="auto"/>
        </w:rPr>
      </w:pPr>
    </w:p>
    <w:p>
      <w:pPr>
        <w:ind w:left="980" w:right="260" w:hanging="432"/>
        <w:spacing w:after="0" w:line="27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 or Secretary in their reasonable judgment.</w:t>
      </w:r>
    </w:p>
    <w:p>
      <w:pPr>
        <w:spacing w:after="0" w:line="4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40"/>
          </w:cols>
          <w:pgMar w:left="320" w:top="455"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40"/>
        <w:spacing w:after="0" w:line="271" w:lineRule="auto"/>
        <w:rPr>
          <w:sz w:val="20"/>
          <w:szCs w:val="20"/>
          <w:color w:val="auto"/>
        </w:rPr>
      </w:pPr>
      <w:r>
        <w:rPr>
          <w:rFonts w:ascii="Arial" w:cs="Arial" w:eastAsia="Arial" w:hAnsi="Arial"/>
          <w:sz w:val="18"/>
          <w:szCs w:val="18"/>
          <w:color w:val="auto"/>
        </w:rPr>
        <w:t>stockholder (rather than a “Guest”) by following the procedures outlined above in “Who Can Attend the 2022 Annual Meeting of Stockholders?”.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our Board of Directors. Our Board of Directors’ recommendations are indicated on page 2 of this proxy statement, as well as with the description of each proposal in this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81" w:lineRule="exact"/>
        <w:rPr>
          <w:sz w:val="20"/>
          <w:szCs w:val="20"/>
          <w:color w:val="auto"/>
        </w:rPr>
      </w:pPr>
    </w:p>
    <w:p>
      <w:pPr>
        <w:ind w:left="120" w:right="400"/>
        <w:spacing w:after="0" w:line="297" w:lineRule="auto"/>
        <w:rPr>
          <w:sz w:val="20"/>
          <w:szCs w:val="20"/>
          <w:color w:val="auto"/>
        </w:rPr>
      </w:pPr>
      <w:r>
        <w:rPr>
          <w:rFonts w:ascii="Arial" w:cs="Arial" w:eastAsia="Arial" w:hAnsi="Arial"/>
          <w:sz w:val="13"/>
          <w:szCs w:val="13"/>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40" w:type="dxa"/>
            <w:vAlign w:val="bottom"/>
            <w:shd w:val="clear" w:color="auto" w:fill="E5E5E5"/>
          </w:tcPr>
          <w:p>
            <w:pPr>
              <w:spacing w:after="0"/>
              <w:rPr>
                <w:sz w:val="13"/>
                <w:szCs w:val="13"/>
                <w:color w:val="auto"/>
              </w:rPr>
            </w:pPr>
          </w:p>
        </w:tc>
        <w:tc>
          <w:tcPr>
            <w:tcW w:w="2440" w:type="dxa"/>
            <w:vAlign w:val="bottom"/>
            <w:shd w:val="clear" w:color="auto" w:fill="E5E5E5"/>
          </w:tcPr>
          <w:p>
            <w:pPr>
              <w:spacing w:after="0"/>
              <w:rPr>
                <w:sz w:val="13"/>
                <w:szCs w:val="13"/>
                <w:color w:val="auto"/>
              </w:rPr>
            </w:pPr>
          </w:p>
        </w:tc>
        <w:tc>
          <w:tcPr>
            <w:tcW w:w="4940" w:type="dxa"/>
            <w:vAlign w:val="bottom"/>
            <w:shd w:val="clear" w:color="auto" w:fill="E5E5E5"/>
          </w:tcPr>
          <w:p>
            <w:pPr>
              <w:ind w:left="1400"/>
              <w:spacing w:after="0"/>
              <w:rPr>
                <w:sz w:val="20"/>
                <w:szCs w:val="20"/>
                <w:color w:val="auto"/>
              </w:rPr>
            </w:pPr>
            <w:r>
              <w:rPr>
                <w:rFonts w:ascii="Arial" w:cs="Arial" w:eastAsia="Arial" w:hAnsi="Arial"/>
                <w:sz w:val="13"/>
                <w:szCs w:val="13"/>
                <w:b w:val="1"/>
                <w:bCs w:val="1"/>
                <w:color w:val="auto"/>
              </w:rPr>
              <w:t>Effect of Votes Withheld / Abstentions and</w:t>
            </w:r>
          </w:p>
        </w:tc>
      </w:tr>
      <w:tr>
        <w:trPr>
          <w:trHeight w:val="177"/>
        </w:trPr>
        <w:tc>
          <w:tcPr>
            <w:tcW w:w="364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Proposal</w:t>
            </w:r>
          </w:p>
        </w:tc>
        <w:tc>
          <w:tcPr>
            <w:tcW w:w="2440" w:type="dxa"/>
            <w:vAlign w:val="bottom"/>
            <w:shd w:val="clear" w:color="auto" w:fill="E5E5E5"/>
          </w:tcPr>
          <w:p>
            <w:pPr>
              <w:ind w:left="100"/>
              <w:spacing w:after="0"/>
              <w:rPr>
                <w:sz w:val="20"/>
                <w:szCs w:val="20"/>
                <w:color w:val="auto"/>
              </w:rPr>
            </w:pPr>
            <w:r>
              <w:rPr>
                <w:rFonts w:ascii="Arial" w:cs="Arial" w:eastAsia="Arial" w:hAnsi="Arial"/>
                <w:sz w:val="13"/>
                <w:szCs w:val="13"/>
                <w:b w:val="1"/>
                <w:bCs w:val="1"/>
                <w:color w:val="auto"/>
              </w:rPr>
              <w:t>Votes required</w:t>
            </w:r>
          </w:p>
        </w:tc>
        <w:tc>
          <w:tcPr>
            <w:tcW w:w="4940" w:type="dxa"/>
            <w:vAlign w:val="bottom"/>
            <w:shd w:val="clear" w:color="auto" w:fill="E5E5E5"/>
          </w:tcPr>
          <w:p>
            <w:pPr>
              <w:ind w:left="1400"/>
              <w:spacing w:after="0"/>
              <w:rPr>
                <w:sz w:val="20"/>
                <w:szCs w:val="20"/>
                <w:color w:val="auto"/>
              </w:rPr>
            </w:pPr>
            <w:r>
              <w:rPr>
                <w:rFonts w:ascii="Arial" w:cs="Arial" w:eastAsia="Arial" w:hAnsi="Arial"/>
                <w:sz w:val="13"/>
                <w:szCs w:val="13"/>
                <w:b w:val="1"/>
                <w:bCs w:val="1"/>
                <w:color w:val="auto"/>
              </w:rPr>
              <w:t>Broker Non-Votes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tbl>
      <w:tblPr>
        <w:tblLayout w:type="fixed"/>
        <w:tblInd w:w="180" w:type="dxa"/>
        <w:tblCellMar>
          <w:top w:w="0" w:type="dxa"/>
          <w:left w:w="0" w:type="dxa"/>
          <w:bottom w:w="0" w:type="dxa"/>
          <w:right w:w="0" w:type="dxa"/>
        </w:tblCellMar>
      </w:tblPr>
      <w:tr>
        <w:trPr>
          <w:trHeight w:val="148"/>
        </w:trPr>
        <w:tc>
          <w:tcPr>
            <w:tcW w:w="3620" w:type="dxa"/>
            <w:vAlign w:val="bottom"/>
            <w:gridSpan w:val="2"/>
          </w:tcPr>
          <w:p>
            <w:pPr>
              <w:spacing w:after="0"/>
              <w:rPr>
                <w:sz w:val="20"/>
                <w:szCs w:val="20"/>
                <w:color w:val="auto"/>
              </w:rPr>
            </w:pPr>
            <w:r>
              <w:rPr>
                <w:rFonts w:ascii="Arial" w:cs="Arial" w:eastAsia="Arial" w:hAnsi="Arial"/>
                <w:sz w:val="13"/>
                <w:szCs w:val="13"/>
                <w:color w:val="auto"/>
              </w:rPr>
              <w:t>Proposal 1: Election of Directors</w:t>
            </w:r>
          </w:p>
        </w:tc>
        <w:tc>
          <w:tcPr>
            <w:tcW w:w="3640" w:type="dxa"/>
            <w:vAlign w:val="bottom"/>
          </w:tcPr>
          <w:p>
            <w:pPr>
              <w:ind w:left="60"/>
              <w:spacing w:after="0"/>
              <w:rPr>
                <w:sz w:val="20"/>
                <w:szCs w:val="20"/>
                <w:color w:val="auto"/>
              </w:rPr>
            </w:pPr>
            <w:r>
              <w:rPr>
                <w:rFonts w:ascii="Arial" w:cs="Arial" w:eastAsia="Arial" w:hAnsi="Arial"/>
                <w:sz w:val="13"/>
                <w:szCs w:val="13"/>
                <w:color w:val="auto"/>
              </w:rPr>
              <w:t>The plurality of the votes cast. This means that the three</w:t>
            </w:r>
          </w:p>
        </w:tc>
        <w:tc>
          <w:tcPr>
            <w:tcW w:w="0" w:type="dxa"/>
            <w:vAlign w:val="bottom"/>
          </w:tcPr>
          <w:p>
            <w:pPr>
              <w:spacing w:after="0"/>
              <w:rPr>
                <w:sz w:val="1"/>
                <w:szCs w:val="1"/>
                <w:color w:val="auto"/>
              </w:rPr>
            </w:pPr>
          </w:p>
        </w:tc>
      </w:tr>
      <w:tr>
        <w:trPr>
          <w:trHeight w:val="129"/>
        </w:trPr>
        <w:tc>
          <w:tcPr>
            <w:tcW w:w="660" w:type="dxa"/>
            <w:vAlign w:val="bottom"/>
            <w:tcBorders>
              <w:top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3640" w:type="dxa"/>
            <w:vAlign w:val="bottom"/>
          </w:tcPr>
          <w:p>
            <w:pPr>
              <w:ind w:left="60"/>
              <w:spacing w:after="0" w:line="129" w:lineRule="exact"/>
              <w:rPr>
                <w:sz w:val="20"/>
                <w:szCs w:val="20"/>
                <w:color w:val="auto"/>
              </w:rPr>
            </w:pPr>
            <w:r>
              <w:rPr>
                <w:rFonts w:ascii="Arial" w:cs="Arial" w:eastAsia="Arial" w:hAnsi="Arial"/>
                <w:sz w:val="13"/>
                <w:szCs w:val="13"/>
                <w:color w:val="auto"/>
              </w:rPr>
              <w:t>nominees receiving the highest number of affirmative “FOR”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40" w:type="dxa"/>
            <w:vAlign w:val="bottom"/>
          </w:tcPr>
          <w:p>
            <w:pPr>
              <w:ind w:left="60"/>
              <w:spacing w:after="0"/>
              <w:rPr>
                <w:sz w:val="20"/>
                <w:szCs w:val="20"/>
                <w:color w:val="auto"/>
              </w:rPr>
            </w:pPr>
            <w:r>
              <w:rPr>
                <w:rFonts w:ascii="Arial" w:cs="Arial" w:eastAsia="Arial" w:hAnsi="Arial"/>
                <w:sz w:val="13"/>
                <w:szCs w:val="13"/>
                <w:color w:val="auto"/>
              </w:rPr>
              <w:t>votes will be elected as Class I Directors.</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8" w:lineRule="exact"/>
              <w:rPr>
                <w:sz w:val="20"/>
                <w:szCs w:val="20"/>
                <w:color w:val="auto"/>
              </w:rPr>
            </w:pPr>
            <w:r>
              <w:rPr>
                <w:rFonts w:ascii="Arial" w:cs="Arial" w:eastAsia="Arial" w:hAnsi="Arial"/>
                <w:sz w:val="13"/>
                <w:szCs w:val="13"/>
                <w:color w:val="auto"/>
              </w:rPr>
              <w:t>Proposal 2: Ratification of Appointment of Independent</w:t>
            </w:r>
          </w:p>
        </w:tc>
        <w:tc>
          <w:tcPr>
            <w:tcW w:w="3640" w:type="dxa"/>
            <w:vAlign w:val="bottom"/>
          </w:tcPr>
          <w:p>
            <w:pPr>
              <w:ind w:left="60"/>
              <w:spacing w:after="0" w:line="148" w:lineRule="exact"/>
              <w:rPr>
                <w:sz w:val="20"/>
                <w:szCs w:val="20"/>
                <w:color w:val="auto"/>
              </w:rPr>
            </w:pPr>
            <w:r>
              <w:rPr>
                <w:rFonts w:ascii="Arial" w:cs="Arial" w:eastAsia="Arial" w:hAnsi="Arial"/>
                <w:sz w:val="13"/>
                <w:szCs w:val="13"/>
                <w:color w:val="auto"/>
              </w:rPr>
              <w:t>The affirmative vote of the holders of a majority in voting</w:t>
            </w:r>
          </w:p>
        </w:tc>
        <w:tc>
          <w:tcPr>
            <w:tcW w:w="0" w:type="dxa"/>
            <w:vAlign w:val="bottom"/>
          </w:tcPr>
          <w:p>
            <w:pPr>
              <w:spacing w:after="0"/>
              <w:rPr>
                <w:sz w:val="1"/>
                <w:szCs w:val="1"/>
                <w:color w:val="auto"/>
              </w:rPr>
            </w:pPr>
          </w:p>
        </w:tc>
      </w:tr>
      <w:tr>
        <w:trPr>
          <w:trHeight w:val="129"/>
        </w:trPr>
        <w:tc>
          <w:tcPr>
            <w:tcW w:w="6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Registered</w:t>
            </w:r>
          </w:p>
        </w:tc>
        <w:tc>
          <w:tcPr>
            <w:tcW w:w="2960" w:type="dxa"/>
            <w:vAlign w:val="bottom"/>
          </w:tcPr>
          <w:p>
            <w:pPr>
              <w:ind w:left="40"/>
              <w:spacing w:after="0" w:line="129" w:lineRule="exact"/>
              <w:rPr>
                <w:sz w:val="20"/>
                <w:szCs w:val="20"/>
                <w:color w:val="auto"/>
              </w:rPr>
            </w:pPr>
            <w:r>
              <w:rPr>
                <w:rFonts w:ascii="Arial" w:cs="Arial" w:eastAsia="Arial" w:hAnsi="Arial"/>
                <w:sz w:val="13"/>
                <w:szCs w:val="13"/>
                <w:color w:val="auto"/>
              </w:rPr>
              <w:t>Public Accounting Firm</w:t>
            </w:r>
          </w:p>
        </w:tc>
        <w:tc>
          <w:tcPr>
            <w:tcW w:w="3640" w:type="dxa"/>
            <w:vAlign w:val="bottom"/>
          </w:tcPr>
          <w:p>
            <w:pPr>
              <w:ind w:left="60"/>
              <w:spacing w:after="0" w:line="129" w:lineRule="exact"/>
              <w:rPr>
                <w:sz w:val="20"/>
                <w:szCs w:val="20"/>
                <w:color w:val="auto"/>
              </w:rPr>
            </w:pPr>
            <w:r>
              <w:rPr>
                <w:rFonts w:ascii="Arial" w:cs="Arial" w:eastAsia="Arial" w:hAnsi="Arial"/>
                <w:sz w:val="13"/>
                <w:szCs w:val="13"/>
                <w:color w:val="auto"/>
              </w:rPr>
              <w:t>power of the votes cast affirmatively or negatively.</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8" w:lineRule="exact"/>
              <w:rPr>
                <w:sz w:val="20"/>
                <w:szCs w:val="20"/>
                <w:color w:val="auto"/>
              </w:rPr>
            </w:pPr>
            <w:r>
              <w:rPr>
                <w:rFonts w:ascii="Arial" w:cs="Arial" w:eastAsia="Arial" w:hAnsi="Arial"/>
                <w:sz w:val="13"/>
                <w:szCs w:val="13"/>
                <w:color w:val="auto"/>
              </w:rPr>
              <w:t>Proposal 3: Approval, on an Advisory (Non- Binding) Basis,</w:t>
            </w:r>
          </w:p>
        </w:tc>
        <w:tc>
          <w:tcPr>
            <w:tcW w:w="3640" w:type="dxa"/>
            <w:vAlign w:val="bottom"/>
          </w:tcPr>
          <w:p>
            <w:pPr>
              <w:ind w:left="60"/>
              <w:spacing w:after="0" w:line="148" w:lineRule="exact"/>
              <w:rPr>
                <w:sz w:val="20"/>
                <w:szCs w:val="20"/>
                <w:color w:val="auto"/>
              </w:rPr>
            </w:pPr>
            <w:r>
              <w:rPr>
                <w:rFonts w:ascii="Arial" w:cs="Arial" w:eastAsia="Arial" w:hAnsi="Arial"/>
                <w:sz w:val="13"/>
                <w:szCs w:val="13"/>
                <w:color w:val="auto"/>
              </w:rPr>
              <w:t>The affirmative vote of the holders of a majority in voting</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40" w:type="dxa"/>
            <w:vAlign w:val="bottom"/>
            <w:vMerge w:val="restart"/>
          </w:tcPr>
          <w:p>
            <w:pPr>
              <w:ind w:left="60"/>
              <w:spacing w:after="0"/>
              <w:rPr>
                <w:sz w:val="20"/>
                <w:szCs w:val="20"/>
                <w:color w:val="auto"/>
              </w:rPr>
            </w:pPr>
            <w:r>
              <w:rPr>
                <w:rFonts w:ascii="Arial" w:cs="Arial" w:eastAsia="Arial" w:hAnsi="Arial"/>
                <w:sz w:val="13"/>
                <w:szCs w:val="13"/>
                <w:color w:val="auto"/>
              </w:rPr>
              <w:t>power of the votes cast affirmatively or negatively.</w:t>
            </w:r>
          </w:p>
        </w:tc>
        <w:tc>
          <w:tcPr>
            <w:tcW w:w="0" w:type="dxa"/>
            <w:vAlign w:val="bottom"/>
          </w:tcPr>
          <w:p>
            <w:pPr>
              <w:spacing w:after="0" w:line="20" w:lineRule="exact"/>
              <w:rPr>
                <w:sz w:val="1"/>
                <w:szCs w:val="1"/>
                <w:color w:val="auto"/>
              </w:rPr>
            </w:pPr>
          </w:p>
        </w:tc>
      </w:tr>
      <w:tr>
        <w:trPr>
          <w:trHeight w:val="170"/>
        </w:trPr>
        <w:tc>
          <w:tcPr>
            <w:tcW w:w="3620" w:type="dxa"/>
            <w:vAlign w:val="bottom"/>
            <w:gridSpan w:val="2"/>
          </w:tcPr>
          <w:p>
            <w:pPr>
              <w:spacing w:after="0"/>
              <w:rPr>
                <w:sz w:val="20"/>
                <w:szCs w:val="20"/>
                <w:color w:val="auto"/>
              </w:rPr>
            </w:pPr>
            <w:r>
              <w:rPr>
                <w:rFonts w:ascii="Arial" w:cs="Arial" w:eastAsia="Arial" w:hAnsi="Arial"/>
                <w:sz w:val="13"/>
                <w:szCs w:val="13"/>
                <w:color w:val="auto"/>
              </w:rPr>
              <w:t>of the Compensation of Our Named Executive Officers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-394335</wp:posOffset>
            </wp:positionV>
            <wp:extent cx="699516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Votes withheld and broker non-votes will have no effect.</w:t>
      </w:r>
    </w:p>
    <w:p>
      <w:pPr>
        <w:spacing w:after="0" w:line="296" w:lineRule="exact"/>
        <w:rPr>
          <w:sz w:val="20"/>
          <w:szCs w:val="20"/>
          <w:color w:val="auto"/>
        </w:rPr>
      </w:pPr>
    </w:p>
    <w:p>
      <w:pPr>
        <w:ind w:right="340"/>
        <w:spacing w:after="0" w:line="248" w:lineRule="auto"/>
        <w:rPr>
          <w:sz w:val="20"/>
          <w:szCs w:val="20"/>
          <w:color w:val="auto"/>
        </w:rPr>
      </w:pPr>
      <w:r>
        <w:rPr>
          <w:rFonts w:ascii="Arial" w:cs="Arial" w:eastAsia="Arial" w:hAnsi="Arial"/>
          <w:sz w:val="13"/>
          <w:szCs w:val="13"/>
          <w:color w:val="auto"/>
        </w:rPr>
        <w:t>Abstentions will have no effect. We do not expect any broker non-votes on this proposal.</w:t>
      </w:r>
    </w:p>
    <w:p>
      <w:pPr>
        <w:spacing w:after="0"/>
        <w:rPr>
          <w:sz w:val="20"/>
          <w:szCs w:val="20"/>
          <w:color w:val="auto"/>
        </w:rPr>
      </w:pPr>
      <w:r>
        <w:rPr>
          <w:rFonts w:ascii="Arial" w:cs="Arial" w:eastAsia="Arial" w:hAnsi="Arial"/>
          <w:sz w:val="13"/>
          <w:szCs w:val="13"/>
          <w:color w:val="auto"/>
        </w:rPr>
        <w:t>Abstentions and broker non-votes will have no effect.</w:t>
      </w:r>
    </w:p>
    <w:p>
      <w:pPr>
        <w:spacing w:after="0" w:line="375" w:lineRule="exact"/>
        <w:rPr>
          <w:sz w:val="20"/>
          <w:szCs w:val="20"/>
          <w:color w:val="auto"/>
        </w:rPr>
      </w:pPr>
    </w:p>
    <w:p>
      <w:pPr>
        <w:sectPr>
          <w:pgSz w:w="11900" w:h="16838" w:orient="portrait"/>
          <w:cols w:equalWidth="0" w:num="2">
            <w:col w:w="7440" w:space="160"/>
            <w:col w:w="3540"/>
          </w:cols>
          <w:pgMar w:left="320" w:top="455" w:right="439" w:bottom="1440" w:gutter="0" w:footer="0" w:header="0"/>
          <w:type w:val="continuous"/>
        </w:sectPr>
      </w:pPr>
    </w:p>
    <w:p>
      <w:pPr>
        <w:spacing w:after="0" w:line="8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A “vote withheld,” in the case of the proposal regarding the election of directors, or an “abstention,” with respect to the other proposals,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other proposals.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and approval on an advisory (non-binding) basis of the compensation of our named executive officers. Those items for which your broker cannot vote result in broker non-votes if you do not provide your broker with voting instructions on such items. Broker non-votes count for purposes of determining whether a quorum is present.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WHERE CAN I FIND THE VOTING RESULTS OF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92"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to be Voted On</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1</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At the Annual Meeting, three (3) Class I Directors are to be elected to hold office until the Annual Meeting of Stockholders to be held in 2025 and until such director’s successor is elected and qualified.</w:t>
      </w:r>
    </w:p>
    <w:p>
      <w:pPr>
        <w:spacing w:after="0" w:line="46"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We currently have nine (9) directors on our Board, including three (3) Class I Directors. Our current Class I Directors are Dennis A. Ausiello, M.D., who has served on our Board since April 2015, Willard H. Dere, M.D., who has served on our Board since July 2017, and Eric D. Shaff, who has served on our Board since January 2019. The Board has nominated each of Dennis A. Ausiello, M.D., Willard H. Dere, M.D., and Eric D. Shaff for election as Class I Directors at the Annual Meeting.</w:t>
      </w:r>
    </w:p>
    <w:p>
      <w:pPr>
        <w:spacing w:after="0" w:line="66"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6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members of the classes are divided as follows:</w:t>
      </w:r>
    </w:p>
    <w:p>
      <w:pPr>
        <w:spacing w:after="0" w:line="57" w:lineRule="exact"/>
        <w:rPr>
          <w:sz w:val="20"/>
          <w:szCs w:val="20"/>
          <w:color w:val="auto"/>
        </w:rPr>
      </w:pPr>
    </w:p>
    <w:p>
      <w:pPr>
        <w:ind w:left="980" w:right="400" w:hanging="432"/>
        <w:spacing w:after="0" w:line="27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 Directors are Dennis A. Ausiello, M.D., Willard H. Dere, M.D., and Eric D. Shaff, and their term will expire at the Annual Meeting and their subsequent term will expire at the 2025 Annual Meeting of Stockholders;</w:t>
      </w:r>
    </w:p>
    <w:p>
      <w:pPr>
        <w:spacing w:after="0" w:line="5" w:lineRule="exact"/>
        <w:rPr>
          <w:rFonts w:ascii="Arial" w:cs="Arial" w:eastAsia="Arial" w:hAnsi="Arial"/>
          <w:sz w:val="18"/>
          <w:szCs w:val="18"/>
          <w:color w:val="auto"/>
        </w:rPr>
      </w:pPr>
    </w:p>
    <w:p>
      <w:pPr>
        <w:ind w:left="980" w:hanging="432"/>
        <w:spacing w:after="0" w:line="27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 Directors are Stephen A. Berenson, Richard N. Kender, and Meryl S. Zausner, and their term will expire at the 2023 Annual Meeting of Stockholders; and</w:t>
      </w:r>
    </w:p>
    <w:p>
      <w:pPr>
        <w:spacing w:after="0" w:line="5" w:lineRule="exact"/>
        <w:rPr>
          <w:rFonts w:ascii="Arial" w:cs="Arial" w:eastAsia="Arial" w:hAnsi="Arial"/>
          <w:sz w:val="18"/>
          <w:szCs w:val="18"/>
          <w:color w:val="auto"/>
        </w:rPr>
      </w:pPr>
    </w:p>
    <w:p>
      <w:pPr>
        <w:ind w:left="980" w:right="380" w:hanging="432"/>
        <w:spacing w:after="0" w:line="27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III Directors are Grégory Behar, Paul R. Biondi, and Kurt C. Graves, and their term will expire at the 2024 Annual Meeting of Stockholders.</w:t>
      </w:r>
    </w:p>
    <w:p>
      <w:pPr>
        <w:spacing w:after="0" w:line="4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 There are no family relationships among any of our executive officers or directors.</w:t>
      </w:r>
    </w:p>
    <w:p>
      <w:pPr>
        <w:spacing w:after="0" w:line="77"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our Board of Directors or our Board of Directors may elect to reduce its size. The Board of Directors has no reason to believe that the nominees named below will be unable to serve if elected. Each of the nominees has consented to being named in this proxy statement and to serve if elected.</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 Director nominees.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58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Served as a</w:t>
            </w:r>
          </w:p>
        </w:tc>
        <w:tc>
          <w:tcPr>
            <w:tcW w:w="2360" w:type="dxa"/>
            <w:vAlign w:val="bottom"/>
            <w:shd w:val="clear" w:color="auto" w:fill="E5E5E5"/>
          </w:tcPr>
          <w:p>
            <w:pPr>
              <w:spacing w:after="0"/>
              <w:rPr>
                <w:sz w:val="13"/>
                <w:szCs w:val="13"/>
                <w:color w:val="auto"/>
              </w:rPr>
            </w:pPr>
          </w:p>
        </w:tc>
        <w:tc>
          <w:tcPr>
            <w:tcW w:w="4000" w:type="dxa"/>
            <w:vAlign w:val="bottom"/>
            <w:shd w:val="clear" w:color="auto" w:fill="E5E5E5"/>
          </w:tcPr>
          <w:p>
            <w:pPr>
              <w:spacing w:after="0"/>
              <w:rPr>
                <w:sz w:val="13"/>
                <w:szCs w:val="13"/>
                <w:color w:val="auto"/>
              </w:rPr>
            </w:pPr>
          </w:p>
        </w:tc>
      </w:tr>
      <w:tr>
        <w:trPr>
          <w:trHeight w:val="177"/>
        </w:trPr>
        <w:tc>
          <w:tcPr>
            <w:tcW w:w="60" w:type="dxa"/>
            <w:vAlign w:val="bottom"/>
            <w:tcBorders>
              <w:bottom w:val="single" w:sz="8" w:color="auto"/>
            </w:tcBorders>
            <w:shd w:val="clear" w:color="auto" w:fill="E5E5E5"/>
          </w:tcPr>
          <w:p>
            <w:pPr>
              <w:spacing w:after="0"/>
              <w:rPr>
                <w:sz w:val="15"/>
                <w:szCs w:val="15"/>
                <w:color w:val="auto"/>
              </w:rPr>
            </w:pPr>
          </w:p>
        </w:tc>
        <w:tc>
          <w:tcPr>
            <w:tcW w:w="214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Age</w:t>
            </w:r>
          </w:p>
        </w:tc>
        <w:tc>
          <w:tcPr>
            <w:tcW w:w="15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Director Since</w:t>
            </w:r>
          </w:p>
        </w:tc>
        <w:tc>
          <w:tcPr>
            <w:tcW w:w="23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3"/>
                <w:szCs w:val="13"/>
                <w:b w:val="1"/>
                <w:bCs w:val="1"/>
                <w:color w:val="auto"/>
              </w:rPr>
              <w:t>Position with Seres</w:t>
            </w:r>
          </w:p>
        </w:tc>
        <w:tc>
          <w:tcPr>
            <w:tcW w:w="400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3"/>
                <w:szCs w:val="13"/>
                <w:b w:val="1"/>
                <w:bCs w:val="1"/>
                <w:color w:val="auto"/>
              </w:rPr>
              <w:t>Class and Year Term Ending</w:t>
            </w:r>
          </w:p>
        </w:tc>
      </w:tr>
      <w:tr>
        <w:trPr>
          <w:trHeight w:val="128"/>
        </w:trPr>
        <w:tc>
          <w:tcPr>
            <w:tcW w:w="60" w:type="dxa"/>
            <w:vAlign w:val="bottom"/>
          </w:tcPr>
          <w:p>
            <w:pPr>
              <w:spacing w:after="0"/>
              <w:rPr>
                <w:sz w:val="11"/>
                <w:szCs w:val="11"/>
                <w:color w:val="auto"/>
              </w:rPr>
            </w:pPr>
          </w:p>
        </w:tc>
        <w:tc>
          <w:tcPr>
            <w:tcW w:w="214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Director Nominees</w:t>
            </w:r>
          </w:p>
        </w:tc>
        <w:tc>
          <w:tcPr>
            <w:tcW w:w="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48"/>
        </w:trPr>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000" w:type="dxa"/>
            <w:vAlign w:val="bottom"/>
          </w:tcPr>
          <w:p>
            <w:pPr>
              <w:spacing w:after="0"/>
              <w:rPr>
                <w:sz w:val="4"/>
                <w:szCs w:val="4"/>
                <w:color w:val="auto"/>
              </w:rPr>
            </w:pPr>
          </w:p>
        </w:tc>
      </w:tr>
      <w:tr>
        <w:trPr>
          <w:trHeight w:val="136"/>
        </w:trPr>
        <w:tc>
          <w:tcPr>
            <w:tcW w:w="60" w:type="dxa"/>
            <w:vAlign w:val="bottom"/>
            <w:shd w:val="clear" w:color="auto" w:fill="E5E5E5"/>
          </w:tcPr>
          <w:p>
            <w:pPr>
              <w:spacing w:after="0"/>
              <w:rPr>
                <w:sz w:val="11"/>
                <w:szCs w:val="11"/>
                <w:color w:val="auto"/>
              </w:rPr>
            </w:pPr>
          </w:p>
        </w:tc>
        <w:tc>
          <w:tcPr>
            <w:tcW w:w="2140" w:type="dxa"/>
            <w:vAlign w:val="bottom"/>
            <w:gridSpan w:val="3"/>
            <w:shd w:val="clear" w:color="auto" w:fill="E5E5E5"/>
          </w:tcPr>
          <w:p>
            <w:pPr>
              <w:spacing w:after="0" w:line="136" w:lineRule="exact"/>
              <w:rPr>
                <w:sz w:val="20"/>
                <w:szCs w:val="20"/>
                <w:color w:val="auto"/>
              </w:rPr>
            </w:pPr>
            <w:r>
              <w:rPr>
                <w:rFonts w:ascii="Arial" w:cs="Arial" w:eastAsia="Arial" w:hAnsi="Arial"/>
                <w:sz w:val="13"/>
                <w:szCs w:val="13"/>
                <w:color w:val="auto"/>
              </w:rPr>
              <w:t>Dennis A. Ausiello, M.D.</w:t>
            </w:r>
          </w:p>
        </w:tc>
        <w:tc>
          <w:tcPr>
            <w:tcW w:w="88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76</w:t>
            </w:r>
          </w:p>
        </w:tc>
        <w:tc>
          <w:tcPr>
            <w:tcW w:w="158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2015</w:t>
            </w:r>
          </w:p>
        </w:tc>
        <w:tc>
          <w:tcPr>
            <w:tcW w:w="2360" w:type="dxa"/>
            <w:vAlign w:val="bottom"/>
            <w:shd w:val="clear" w:color="auto" w:fill="E5E5E5"/>
          </w:tcPr>
          <w:p>
            <w:pPr>
              <w:ind w:left="300"/>
              <w:spacing w:after="0" w:line="136" w:lineRule="exact"/>
              <w:rPr>
                <w:sz w:val="20"/>
                <w:szCs w:val="20"/>
                <w:color w:val="auto"/>
              </w:rPr>
            </w:pPr>
            <w:r>
              <w:rPr>
                <w:rFonts w:ascii="Arial" w:cs="Arial" w:eastAsia="Arial" w:hAnsi="Arial"/>
                <w:sz w:val="13"/>
                <w:szCs w:val="13"/>
                <w:color w:val="auto"/>
              </w:rPr>
              <w:t>Director</w:t>
            </w:r>
          </w:p>
        </w:tc>
        <w:tc>
          <w:tcPr>
            <w:tcW w:w="4000" w:type="dxa"/>
            <w:vAlign w:val="bottom"/>
            <w:shd w:val="clear" w:color="auto" w:fill="E5E5E5"/>
          </w:tcPr>
          <w:p>
            <w:pPr>
              <w:ind w:left="460"/>
              <w:spacing w:after="0" w:line="136" w:lineRule="exact"/>
              <w:rPr>
                <w:sz w:val="20"/>
                <w:szCs w:val="20"/>
                <w:color w:val="auto"/>
              </w:rPr>
            </w:pPr>
            <w:r>
              <w:rPr>
                <w:rFonts w:ascii="Arial" w:cs="Arial" w:eastAsia="Arial" w:hAnsi="Arial"/>
                <w:sz w:val="13"/>
                <w:szCs w:val="13"/>
                <w:color w:val="auto"/>
              </w:rPr>
              <w:t>Class I (Term Ending 2025 if elected at the Annual</w:t>
            </w:r>
          </w:p>
        </w:tc>
      </w:tr>
      <w:tr>
        <w:trPr>
          <w:trHeight w:val="161"/>
        </w:trPr>
        <w:tc>
          <w:tcPr>
            <w:tcW w:w="6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1580" w:type="dxa"/>
            <w:vAlign w:val="bottom"/>
            <w:shd w:val="clear" w:color="auto" w:fill="E5E5E5"/>
          </w:tcPr>
          <w:p>
            <w:pPr>
              <w:spacing w:after="0"/>
              <w:rPr>
                <w:sz w:val="14"/>
                <w:szCs w:val="14"/>
                <w:color w:val="auto"/>
              </w:rPr>
            </w:pPr>
          </w:p>
        </w:tc>
        <w:tc>
          <w:tcPr>
            <w:tcW w:w="2360" w:type="dxa"/>
            <w:vAlign w:val="bottom"/>
            <w:shd w:val="clear" w:color="auto" w:fill="E5E5E5"/>
          </w:tcPr>
          <w:p>
            <w:pPr>
              <w:spacing w:after="0"/>
              <w:rPr>
                <w:sz w:val="14"/>
                <w:szCs w:val="14"/>
                <w:color w:val="auto"/>
              </w:rPr>
            </w:pPr>
          </w:p>
        </w:tc>
        <w:tc>
          <w:tcPr>
            <w:tcW w:w="4000" w:type="dxa"/>
            <w:vAlign w:val="bottom"/>
            <w:shd w:val="clear" w:color="auto" w:fill="E5E5E5"/>
          </w:tcPr>
          <w:p>
            <w:pPr>
              <w:ind w:left="460"/>
              <w:spacing w:after="0"/>
              <w:rPr>
                <w:sz w:val="20"/>
                <w:szCs w:val="20"/>
                <w:color w:val="auto"/>
              </w:rPr>
            </w:pPr>
            <w:r>
              <w:rPr>
                <w:rFonts w:ascii="Arial" w:cs="Arial" w:eastAsia="Arial" w:hAnsi="Arial"/>
                <w:sz w:val="13"/>
                <w:szCs w:val="13"/>
                <w:color w:val="auto"/>
              </w:rPr>
              <w:t>Meeting)</w:t>
            </w:r>
          </w:p>
        </w:tc>
      </w:tr>
      <w:tr>
        <w:trPr>
          <w:trHeight w:val="136"/>
        </w:trPr>
        <w:tc>
          <w:tcPr>
            <w:tcW w:w="60" w:type="dxa"/>
            <w:vAlign w:val="bottom"/>
          </w:tcPr>
          <w:p>
            <w:pPr>
              <w:spacing w:after="0"/>
              <w:rPr>
                <w:sz w:val="11"/>
                <w:szCs w:val="11"/>
                <w:color w:val="auto"/>
              </w:rPr>
            </w:pPr>
          </w:p>
        </w:tc>
        <w:tc>
          <w:tcPr>
            <w:tcW w:w="2140" w:type="dxa"/>
            <w:vAlign w:val="bottom"/>
            <w:gridSpan w:val="3"/>
          </w:tcPr>
          <w:p>
            <w:pPr>
              <w:spacing w:after="0" w:line="136" w:lineRule="exact"/>
              <w:rPr>
                <w:sz w:val="20"/>
                <w:szCs w:val="20"/>
                <w:color w:val="auto"/>
              </w:rPr>
            </w:pPr>
            <w:r>
              <w:rPr>
                <w:rFonts w:ascii="Arial" w:cs="Arial" w:eastAsia="Arial" w:hAnsi="Arial"/>
                <w:sz w:val="13"/>
                <w:szCs w:val="13"/>
                <w:color w:val="auto"/>
              </w:rPr>
              <w:t>Willard H. Dere, M.D.</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68</w:t>
            </w:r>
          </w:p>
        </w:tc>
        <w:tc>
          <w:tcPr>
            <w:tcW w:w="1580" w:type="dxa"/>
            <w:vAlign w:val="bottom"/>
          </w:tcPr>
          <w:p>
            <w:pPr>
              <w:jc w:val="center"/>
              <w:spacing w:after="0" w:line="136" w:lineRule="exact"/>
              <w:rPr>
                <w:sz w:val="20"/>
                <w:szCs w:val="20"/>
                <w:color w:val="auto"/>
              </w:rPr>
            </w:pPr>
            <w:r>
              <w:rPr>
                <w:rFonts w:ascii="Arial" w:cs="Arial" w:eastAsia="Arial" w:hAnsi="Arial"/>
                <w:sz w:val="13"/>
                <w:szCs w:val="13"/>
                <w:color w:val="auto"/>
              </w:rPr>
              <w:t>2017</w:t>
            </w:r>
          </w:p>
        </w:tc>
        <w:tc>
          <w:tcPr>
            <w:tcW w:w="2360" w:type="dxa"/>
            <w:vAlign w:val="bottom"/>
          </w:tcPr>
          <w:p>
            <w:pPr>
              <w:ind w:left="300"/>
              <w:spacing w:after="0" w:line="136" w:lineRule="exact"/>
              <w:rPr>
                <w:sz w:val="20"/>
                <w:szCs w:val="20"/>
                <w:color w:val="auto"/>
              </w:rPr>
            </w:pPr>
            <w:r>
              <w:rPr>
                <w:rFonts w:ascii="Arial" w:cs="Arial" w:eastAsia="Arial" w:hAnsi="Arial"/>
                <w:sz w:val="13"/>
                <w:szCs w:val="13"/>
                <w:color w:val="auto"/>
              </w:rPr>
              <w:t>Director</w:t>
            </w:r>
          </w:p>
        </w:tc>
        <w:tc>
          <w:tcPr>
            <w:tcW w:w="4000" w:type="dxa"/>
            <w:vAlign w:val="bottom"/>
          </w:tcPr>
          <w:p>
            <w:pPr>
              <w:ind w:left="460"/>
              <w:spacing w:after="0" w:line="136" w:lineRule="exact"/>
              <w:rPr>
                <w:sz w:val="20"/>
                <w:szCs w:val="20"/>
                <w:color w:val="auto"/>
              </w:rPr>
            </w:pPr>
            <w:r>
              <w:rPr>
                <w:rFonts w:ascii="Arial" w:cs="Arial" w:eastAsia="Arial" w:hAnsi="Arial"/>
                <w:sz w:val="13"/>
                <w:szCs w:val="13"/>
                <w:color w:val="auto"/>
              </w:rPr>
              <w:t>Class I (Term Ending 2025 if elected at the Annual</w:t>
            </w:r>
          </w:p>
        </w:tc>
      </w:tr>
      <w:tr>
        <w:trPr>
          <w:trHeight w:val="161"/>
        </w:trPr>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00" w:type="dxa"/>
            <w:vAlign w:val="bottom"/>
          </w:tcPr>
          <w:p>
            <w:pPr>
              <w:ind w:left="460"/>
              <w:spacing w:after="0"/>
              <w:rPr>
                <w:sz w:val="20"/>
                <w:szCs w:val="20"/>
                <w:color w:val="auto"/>
              </w:rPr>
            </w:pPr>
            <w:r>
              <w:rPr>
                <w:rFonts w:ascii="Arial" w:cs="Arial" w:eastAsia="Arial" w:hAnsi="Arial"/>
                <w:sz w:val="13"/>
                <w:szCs w:val="13"/>
                <w:color w:val="auto"/>
              </w:rPr>
              <w:t>Meeting)</w:t>
            </w:r>
          </w:p>
        </w:tc>
      </w:tr>
      <w:tr>
        <w:trPr>
          <w:trHeight w:val="136"/>
        </w:trPr>
        <w:tc>
          <w:tcPr>
            <w:tcW w:w="60" w:type="dxa"/>
            <w:vAlign w:val="bottom"/>
            <w:shd w:val="clear" w:color="auto" w:fill="E5E5E5"/>
          </w:tcPr>
          <w:p>
            <w:pPr>
              <w:spacing w:after="0"/>
              <w:rPr>
                <w:sz w:val="11"/>
                <w:szCs w:val="11"/>
                <w:color w:val="auto"/>
              </w:rPr>
            </w:pPr>
          </w:p>
        </w:tc>
        <w:tc>
          <w:tcPr>
            <w:tcW w:w="2140" w:type="dxa"/>
            <w:vAlign w:val="bottom"/>
            <w:gridSpan w:val="3"/>
            <w:shd w:val="clear" w:color="auto" w:fill="E5E5E5"/>
          </w:tcPr>
          <w:p>
            <w:pPr>
              <w:spacing w:after="0" w:line="136" w:lineRule="exact"/>
              <w:rPr>
                <w:sz w:val="20"/>
                <w:szCs w:val="20"/>
                <w:color w:val="auto"/>
              </w:rPr>
            </w:pPr>
            <w:r>
              <w:rPr>
                <w:rFonts w:ascii="Arial" w:cs="Arial" w:eastAsia="Arial" w:hAnsi="Arial"/>
                <w:sz w:val="13"/>
                <w:szCs w:val="13"/>
                <w:color w:val="auto"/>
              </w:rPr>
              <w:t>Eric D. Shaff</w:t>
            </w:r>
          </w:p>
        </w:tc>
        <w:tc>
          <w:tcPr>
            <w:tcW w:w="88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46</w:t>
            </w:r>
          </w:p>
        </w:tc>
        <w:tc>
          <w:tcPr>
            <w:tcW w:w="158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2019</w:t>
            </w:r>
          </w:p>
        </w:tc>
        <w:tc>
          <w:tcPr>
            <w:tcW w:w="2360" w:type="dxa"/>
            <w:vAlign w:val="bottom"/>
            <w:shd w:val="clear" w:color="auto" w:fill="E5E5E5"/>
          </w:tcPr>
          <w:p>
            <w:pPr>
              <w:ind w:left="300"/>
              <w:spacing w:after="0" w:line="136" w:lineRule="exact"/>
              <w:rPr>
                <w:sz w:val="20"/>
                <w:szCs w:val="20"/>
                <w:color w:val="auto"/>
              </w:rPr>
            </w:pPr>
            <w:r>
              <w:rPr>
                <w:rFonts w:ascii="Arial" w:cs="Arial" w:eastAsia="Arial" w:hAnsi="Arial"/>
                <w:sz w:val="13"/>
                <w:szCs w:val="13"/>
                <w:color w:val="auto"/>
              </w:rPr>
              <w:t>President, Chief Executive</w:t>
            </w:r>
          </w:p>
        </w:tc>
        <w:tc>
          <w:tcPr>
            <w:tcW w:w="4000" w:type="dxa"/>
            <w:vAlign w:val="bottom"/>
            <w:shd w:val="clear" w:color="auto" w:fill="E5E5E5"/>
          </w:tcPr>
          <w:p>
            <w:pPr>
              <w:ind w:left="460"/>
              <w:spacing w:after="0" w:line="136" w:lineRule="exact"/>
              <w:rPr>
                <w:sz w:val="20"/>
                <w:szCs w:val="20"/>
                <w:color w:val="auto"/>
              </w:rPr>
            </w:pPr>
            <w:r>
              <w:rPr>
                <w:rFonts w:ascii="Arial" w:cs="Arial" w:eastAsia="Arial" w:hAnsi="Arial"/>
                <w:sz w:val="13"/>
                <w:szCs w:val="13"/>
                <w:color w:val="auto"/>
              </w:rPr>
              <w:t>Class I (Term Ending 2025 if elected at the Annual</w:t>
            </w:r>
          </w:p>
        </w:tc>
      </w:tr>
      <w:tr>
        <w:trPr>
          <w:trHeight w:val="175"/>
        </w:trPr>
        <w:tc>
          <w:tcPr>
            <w:tcW w:w="6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580" w:type="dxa"/>
            <w:vAlign w:val="bottom"/>
            <w:shd w:val="clear" w:color="auto" w:fill="E5E5E5"/>
          </w:tcPr>
          <w:p>
            <w:pPr>
              <w:spacing w:after="0"/>
              <w:rPr>
                <w:sz w:val="15"/>
                <w:szCs w:val="15"/>
                <w:color w:val="auto"/>
              </w:rPr>
            </w:pPr>
          </w:p>
        </w:tc>
        <w:tc>
          <w:tcPr>
            <w:tcW w:w="2360" w:type="dxa"/>
            <w:vAlign w:val="bottom"/>
            <w:shd w:val="clear" w:color="auto" w:fill="E5E5E5"/>
          </w:tcPr>
          <w:p>
            <w:pPr>
              <w:ind w:left="300"/>
              <w:spacing w:after="0"/>
              <w:rPr>
                <w:sz w:val="20"/>
                <w:szCs w:val="20"/>
                <w:color w:val="auto"/>
              </w:rPr>
            </w:pPr>
            <w:r>
              <w:rPr>
                <w:rFonts w:ascii="Arial" w:cs="Arial" w:eastAsia="Arial" w:hAnsi="Arial"/>
                <w:sz w:val="13"/>
                <w:szCs w:val="13"/>
                <w:color w:val="auto"/>
              </w:rPr>
              <w:t>Officer and Director</w:t>
            </w:r>
          </w:p>
        </w:tc>
        <w:tc>
          <w:tcPr>
            <w:tcW w:w="4000" w:type="dxa"/>
            <w:vAlign w:val="bottom"/>
            <w:shd w:val="clear" w:color="auto" w:fill="E5E5E5"/>
          </w:tcPr>
          <w:p>
            <w:pPr>
              <w:ind w:left="460"/>
              <w:spacing w:after="0"/>
              <w:rPr>
                <w:sz w:val="20"/>
                <w:szCs w:val="20"/>
                <w:color w:val="auto"/>
              </w:rPr>
            </w:pPr>
            <w:r>
              <w:rPr>
                <w:rFonts w:ascii="Arial" w:cs="Arial" w:eastAsia="Arial" w:hAnsi="Arial"/>
                <w:sz w:val="13"/>
                <w:szCs w:val="13"/>
                <w:color w:val="auto"/>
              </w:rPr>
              <w:t>Meeting)</w:t>
            </w:r>
          </w:p>
        </w:tc>
      </w:tr>
      <w:tr>
        <w:trPr>
          <w:trHeight w:val="135"/>
        </w:trPr>
        <w:tc>
          <w:tcPr>
            <w:tcW w:w="60" w:type="dxa"/>
            <w:vAlign w:val="bottom"/>
          </w:tcPr>
          <w:p>
            <w:pPr>
              <w:spacing w:after="0"/>
              <w:rPr>
                <w:sz w:val="11"/>
                <w:szCs w:val="11"/>
                <w:color w:val="auto"/>
              </w:rPr>
            </w:pPr>
          </w:p>
        </w:tc>
        <w:tc>
          <w:tcPr>
            <w:tcW w:w="21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Continuing Directors</w:t>
            </w:r>
          </w:p>
        </w:tc>
        <w:tc>
          <w:tcPr>
            <w:tcW w:w="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48"/>
        </w:trPr>
        <w:tc>
          <w:tcPr>
            <w:tcW w:w="6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000" w:type="dxa"/>
            <w:vAlign w:val="bottom"/>
          </w:tcPr>
          <w:p>
            <w:pPr>
              <w:spacing w:after="0"/>
              <w:rPr>
                <w:sz w:val="4"/>
                <w:szCs w:val="4"/>
                <w:color w:val="auto"/>
              </w:rPr>
            </w:pPr>
          </w:p>
        </w:tc>
      </w:tr>
      <w:tr>
        <w:trPr>
          <w:trHeight w:val="136"/>
        </w:trPr>
        <w:tc>
          <w:tcPr>
            <w:tcW w:w="60" w:type="dxa"/>
            <w:vAlign w:val="bottom"/>
            <w:shd w:val="clear" w:color="auto" w:fill="E5E5E5"/>
          </w:tcPr>
          <w:p>
            <w:pPr>
              <w:spacing w:after="0"/>
              <w:rPr>
                <w:sz w:val="11"/>
                <w:szCs w:val="11"/>
                <w:color w:val="auto"/>
              </w:rPr>
            </w:pPr>
          </w:p>
        </w:tc>
        <w:tc>
          <w:tcPr>
            <w:tcW w:w="2140" w:type="dxa"/>
            <w:vAlign w:val="bottom"/>
            <w:gridSpan w:val="3"/>
            <w:shd w:val="clear" w:color="auto" w:fill="E5E5E5"/>
          </w:tcPr>
          <w:p>
            <w:pPr>
              <w:spacing w:after="0" w:line="136" w:lineRule="exact"/>
              <w:rPr>
                <w:sz w:val="20"/>
                <w:szCs w:val="20"/>
                <w:color w:val="auto"/>
              </w:rPr>
            </w:pPr>
            <w:r>
              <w:rPr>
                <w:rFonts w:ascii="Arial" w:cs="Arial" w:eastAsia="Arial" w:hAnsi="Arial"/>
                <w:sz w:val="13"/>
                <w:szCs w:val="13"/>
                <w:color w:val="auto"/>
              </w:rPr>
              <w:t>Stephen A. Berenson</w:t>
            </w:r>
          </w:p>
        </w:tc>
        <w:tc>
          <w:tcPr>
            <w:tcW w:w="88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61</w:t>
            </w:r>
          </w:p>
        </w:tc>
        <w:tc>
          <w:tcPr>
            <w:tcW w:w="1580" w:type="dxa"/>
            <w:vAlign w:val="bottom"/>
            <w:shd w:val="clear" w:color="auto" w:fill="E5E5E5"/>
          </w:tcPr>
          <w:p>
            <w:pPr>
              <w:jc w:val="center"/>
              <w:spacing w:after="0" w:line="136" w:lineRule="exact"/>
              <w:rPr>
                <w:sz w:val="20"/>
                <w:szCs w:val="20"/>
                <w:color w:val="auto"/>
              </w:rPr>
            </w:pPr>
            <w:r>
              <w:rPr>
                <w:rFonts w:ascii="Arial" w:cs="Arial" w:eastAsia="Arial" w:hAnsi="Arial"/>
                <w:sz w:val="13"/>
                <w:szCs w:val="13"/>
                <w:color w:val="auto"/>
              </w:rPr>
              <w:t>2019</w:t>
            </w:r>
          </w:p>
        </w:tc>
        <w:tc>
          <w:tcPr>
            <w:tcW w:w="2360" w:type="dxa"/>
            <w:vAlign w:val="bottom"/>
            <w:shd w:val="clear" w:color="auto" w:fill="E5E5E5"/>
          </w:tcPr>
          <w:p>
            <w:pPr>
              <w:ind w:left="300"/>
              <w:spacing w:after="0" w:line="136" w:lineRule="exact"/>
              <w:rPr>
                <w:sz w:val="20"/>
                <w:szCs w:val="20"/>
                <w:color w:val="auto"/>
              </w:rPr>
            </w:pPr>
            <w:r>
              <w:rPr>
                <w:rFonts w:ascii="Arial" w:cs="Arial" w:eastAsia="Arial" w:hAnsi="Arial"/>
                <w:sz w:val="13"/>
                <w:szCs w:val="13"/>
                <w:color w:val="auto"/>
              </w:rPr>
              <w:t>Chairman of the Board of</w:t>
            </w:r>
          </w:p>
        </w:tc>
        <w:tc>
          <w:tcPr>
            <w:tcW w:w="4000" w:type="dxa"/>
            <w:vAlign w:val="bottom"/>
            <w:shd w:val="clear" w:color="auto" w:fill="E5E5E5"/>
          </w:tcPr>
          <w:p>
            <w:pPr>
              <w:ind w:left="460"/>
              <w:spacing w:after="0" w:line="136" w:lineRule="exact"/>
              <w:rPr>
                <w:sz w:val="20"/>
                <w:szCs w:val="20"/>
                <w:color w:val="auto"/>
              </w:rPr>
            </w:pPr>
            <w:r>
              <w:rPr>
                <w:rFonts w:ascii="Arial" w:cs="Arial" w:eastAsia="Arial" w:hAnsi="Arial"/>
                <w:sz w:val="13"/>
                <w:szCs w:val="13"/>
                <w:color w:val="auto"/>
              </w:rPr>
              <w:t>Class II (Term Ending 2023)</w:t>
            </w:r>
          </w:p>
        </w:tc>
      </w:tr>
      <w:tr>
        <w:trPr>
          <w:trHeight w:val="175"/>
        </w:trPr>
        <w:tc>
          <w:tcPr>
            <w:tcW w:w="6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580" w:type="dxa"/>
            <w:vAlign w:val="bottom"/>
            <w:shd w:val="clear" w:color="auto" w:fill="E5E5E5"/>
          </w:tcPr>
          <w:p>
            <w:pPr>
              <w:spacing w:after="0"/>
              <w:rPr>
                <w:sz w:val="15"/>
                <w:szCs w:val="15"/>
                <w:color w:val="auto"/>
              </w:rPr>
            </w:pPr>
          </w:p>
        </w:tc>
        <w:tc>
          <w:tcPr>
            <w:tcW w:w="2360" w:type="dxa"/>
            <w:vAlign w:val="bottom"/>
            <w:shd w:val="clear" w:color="auto" w:fill="E5E5E5"/>
          </w:tcPr>
          <w:p>
            <w:pPr>
              <w:ind w:left="300"/>
              <w:spacing w:after="0"/>
              <w:rPr>
                <w:sz w:val="20"/>
                <w:szCs w:val="20"/>
                <w:color w:val="auto"/>
              </w:rPr>
            </w:pPr>
            <w:r>
              <w:rPr>
                <w:rFonts w:ascii="Arial" w:cs="Arial" w:eastAsia="Arial" w:hAnsi="Arial"/>
                <w:sz w:val="13"/>
                <w:szCs w:val="13"/>
                <w:color w:val="auto"/>
              </w:rPr>
              <w:t>Directors</w:t>
            </w:r>
          </w:p>
        </w:tc>
        <w:tc>
          <w:tcPr>
            <w:tcW w:w="4000" w:type="dxa"/>
            <w:vAlign w:val="bottom"/>
            <w:shd w:val="clear" w:color="auto" w:fill="E5E5E5"/>
          </w:tcPr>
          <w:p>
            <w:pPr>
              <w:spacing w:after="0"/>
              <w:rPr>
                <w:sz w:val="15"/>
                <w:szCs w:val="15"/>
                <w:color w:val="auto"/>
              </w:rPr>
            </w:pPr>
          </w:p>
        </w:tc>
      </w:tr>
      <w:tr>
        <w:trPr>
          <w:trHeight w:val="148"/>
        </w:trPr>
        <w:tc>
          <w:tcPr>
            <w:tcW w:w="6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Richard N. Kender</w:t>
            </w:r>
          </w:p>
        </w:tc>
        <w:tc>
          <w:tcPr>
            <w:tcW w:w="880" w:type="dxa"/>
            <w:vAlign w:val="bottom"/>
          </w:tcPr>
          <w:p>
            <w:pPr>
              <w:jc w:val="center"/>
              <w:spacing w:after="0"/>
              <w:rPr>
                <w:sz w:val="20"/>
                <w:szCs w:val="20"/>
                <w:color w:val="auto"/>
              </w:rPr>
            </w:pPr>
            <w:r>
              <w:rPr>
                <w:rFonts w:ascii="Arial" w:cs="Arial" w:eastAsia="Arial" w:hAnsi="Arial"/>
                <w:sz w:val="13"/>
                <w:szCs w:val="13"/>
                <w:color w:val="auto"/>
              </w:rPr>
              <w:t>66</w:t>
            </w:r>
          </w:p>
        </w:tc>
        <w:tc>
          <w:tcPr>
            <w:tcW w:w="1580" w:type="dxa"/>
            <w:vAlign w:val="bottom"/>
          </w:tcPr>
          <w:p>
            <w:pPr>
              <w:jc w:val="center"/>
              <w:spacing w:after="0"/>
              <w:rPr>
                <w:sz w:val="20"/>
                <w:szCs w:val="20"/>
                <w:color w:val="auto"/>
              </w:rPr>
            </w:pPr>
            <w:r>
              <w:rPr>
                <w:rFonts w:ascii="Arial" w:cs="Arial" w:eastAsia="Arial" w:hAnsi="Arial"/>
                <w:sz w:val="13"/>
                <w:szCs w:val="13"/>
                <w:color w:val="auto"/>
              </w:rPr>
              <w:t>2014</w:t>
            </w:r>
          </w:p>
        </w:tc>
        <w:tc>
          <w:tcPr>
            <w:tcW w:w="2360" w:type="dxa"/>
            <w:vAlign w:val="bottom"/>
          </w:tcPr>
          <w:p>
            <w:pPr>
              <w:ind w:left="300"/>
              <w:spacing w:after="0"/>
              <w:rPr>
                <w:sz w:val="20"/>
                <w:szCs w:val="20"/>
                <w:color w:val="auto"/>
              </w:rPr>
            </w:pPr>
            <w:r>
              <w:rPr>
                <w:rFonts w:ascii="Arial" w:cs="Arial" w:eastAsia="Arial" w:hAnsi="Arial"/>
                <w:sz w:val="13"/>
                <w:szCs w:val="13"/>
                <w:color w:val="auto"/>
              </w:rPr>
              <w:t>Director</w:t>
            </w:r>
          </w:p>
        </w:tc>
        <w:tc>
          <w:tcPr>
            <w:tcW w:w="4000" w:type="dxa"/>
            <w:vAlign w:val="bottom"/>
          </w:tcPr>
          <w:p>
            <w:pPr>
              <w:ind w:left="460"/>
              <w:spacing w:after="0"/>
              <w:rPr>
                <w:sz w:val="20"/>
                <w:szCs w:val="20"/>
                <w:color w:val="auto"/>
              </w:rPr>
            </w:pPr>
            <w:r>
              <w:rPr>
                <w:rFonts w:ascii="Arial" w:cs="Arial" w:eastAsia="Arial" w:hAnsi="Arial"/>
                <w:sz w:val="13"/>
                <w:szCs w:val="13"/>
                <w:color w:val="auto"/>
              </w:rPr>
              <w:t>Class II (Term Ending 2023)</w:t>
            </w:r>
          </w:p>
        </w:tc>
      </w:tr>
      <w:tr>
        <w:trPr>
          <w:trHeight w:val="149"/>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rPr>
                <w:sz w:val="20"/>
                <w:szCs w:val="20"/>
                <w:color w:val="auto"/>
              </w:rPr>
            </w:pPr>
            <w:r>
              <w:rPr>
                <w:rFonts w:ascii="Arial" w:cs="Arial" w:eastAsia="Arial" w:hAnsi="Arial"/>
                <w:sz w:val="13"/>
                <w:szCs w:val="13"/>
                <w:color w:val="auto"/>
              </w:rPr>
              <w:t>Meryl S. Zausner</w:t>
            </w:r>
          </w:p>
        </w:tc>
        <w:tc>
          <w:tcPr>
            <w:tcW w:w="8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65</w:t>
            </w:r>
          </w:p>
        </w:tc>
        <w:tc>
          <w:tcPr>
            <w:tcW w:w="15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2018</w:t>
            </w:r>
          </w:p>
        </w:tc>
        <w:tc>
          <w:tcPr>
            <w:tcW w:w="2360" w:type="dxa"/>
            <w:vAlign w:val="bottom"/>
            <w:shd w:val="clear" w:color="auto" w:fill="E5E5E5"/>
          </w:tcPr>
          <w:p>
            <w:pPr>
              <w:ind w:left="300"/>
              <w:spacing w:after="0"/>
              <w:rPr>
                <w:sz w:val="20"/>
                <w:szCs w:val="20"/>
                <w:color w:val="auto"/>
              </w:rPr>
            </w:pPr>
            <w:r>
              <w:rPr>
                <w:rFonts w:ascii="Arial" w:cs="Arial" w:eastAsia="Arial" w:hAnsi="Arial"/>
                <w:sz w:val="13"/>
                <w:szCs w:val="13"/>
                <w:color w:val="auto"/>
              </w:rPr>
              <w:t>Director</w:t>
            </w:r>
          </w:p>
        </w:tc>
        <w:tc>
          <w:tcPr>
            <w:tcW w:w="4000" w:type="dxa"/>
            <w:vAlign w:val="bottom"/>
            <w:shd w:val="clear" w:color="auto" w:fill="E5E5E5"/>
          </w:tcPr>
          <w:p>
            <w:pPr>
              <w:ind w:left="460"/>
              <w:spacing w:after="0"/>
              <w:rPr>
                <w:sz w:val="20"/>
                <w:szCs w:val="20"/>
                <w:color w:val="auto"/>
              </w:rPr>
            </w:pPr>
            <w:r>
              <w:rPr>
                <w:rFonts w:ascii="Arial" w:cs="Arial" w:eastAsia="Arial" w:hAnsi="Arial"/>
                <w:sz w:val="13"/>
                <w:szCs w:val="13"/>
                <w:color w:val="auto"/>
              </w:rPr>
              <w:t>Class II (Term Ending 2023)</w:t>
            </w:r>
          </w:p>
        </w:tc>
      </w:tr>
      <w:tr>
        <w:trPr>
          <w:trHeight w:val="148"/>
        </w:trPr>
        <w:tc>
          <w:tcPr>
            <w:tcW w:w="6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3"/>
                <w:szCs w:val="13"/>
                <w:color w:val="auto"/>
              </w:rPr>
              <w:t>Grégory Behar</w:t>
            </w:r>
          </w:p>
        </w:tc>
        <w:tc>
          <w:tcPr>
            <w:tcW w:w="880" w:type="dxa"/>
            <w:vAlign w:val="bottom"/>
          </w:tcPr>
          <w:p>
            <w:pPr>
              <w:jc w:val="center"/>
              <w:spacing w:after="0"/>
              <w:rPr>
                <w:sz w:val="20"/>
                <w:szCs w:val="20"/>
                <w:color w:val="auto"/>
              </w:rPr>
            </w:pPr>
            <w:r>
              <w:rPr>
                <w:rFonts w:ascii="Arial" w:cs="Arial" w:eastAsia="Arial" w:hAnsi="Arial"/>
                <w:sz w:val="13"/>
                <w:szCs w:val="13"/>
                <w:color w:val="auto"/>
              </w:rPr>
              <w:t>52</w:t>
            </w:r>
          </w:p>
        </w:tc>
        <w:tc>
          <w:tcPr>
            <w:tcW w:w="1580" w:type="dxa"/>
            <w:vAlign w:val="bottom"/>
          </w:tcPr>
          <w:p>
            <w:pPr>
              <w:jc w:val="center"/>
              <w:spacing w:after="0"/>
              <w:rPr>
                <w:sz w:val="20"/>
                <w:szCs w:val="20"/>
                <w:color w:val="auto"/>
              </w:rPr>
            </w:pPr>
            <w:r>
              <w:rPr>
                <w:rFonts w:ascii="Arial" w:cs="Arial" w:eastAsia="Arial" w:hAnsi="Arial"/>
                <w:sz w:val="13"/>
                <w:szCs w:val="13"/>
                <w:color w:val="auto"/>
              </w:rPr>
              <w:t>2014</w:t>
            </w:r>
          </w:p>
        </w:tc>
        <w:tc>
          <w:tcPr>
            <w:tcW w:w="2360" w:type="dxa"/>
            <w:vAlign w:val="bottom"/>
          </w:tcPr>
          <w:p>
            <w:pPr>
              <w:ind w:left="300"/>
              <w:spacing w:after="0"/>
              <w:rPr>
                <w:sz w:val="20"/>
                <w:szCs w:val="20"/>
                <w:color w:val="auto"/>
              </w:rPr>
            </w:pPr>
            <w:r>
              <w:rPr>
                <w:rFonts w:ascii="Arial" w:cs="Arial" w:eastAsia="Arial" w:hAnsi="Arial"/>
                <w:sz w:val="13"/>
                <w:szCs w:val="13"/>
                <w:color w:val="auto"/>
              </w:rPr>
              <w:t>Director</w:t>
            </w:r>
          </w:p>
        </w:tc>
        <w:tc>
          <w:tcPr>
            <w:tcW w:w="4000" w:type="dxa"/>
            <w:vAlign w:val="bottom"/>
          </w:tcPr>
          <w:p>
            <w:pPr>
              <w:ind w:left="460"/>
              <w:spacing w:after="0"/>
              <w:rPr>
                <w:sz w:val="20"/>
                <w:szCs w:val="20"/>
                <w:color w:val="auto"/>
              </w:rPr>
            </w:pPr>
            <w:r>
              <w:rPr>
                <w:rFonts w:ascii="Arial" w:cs="Arial" w:eastAsia="Arial" w:hAnsi="Arial"/>
                <w:sz w:val="13"/>
                <w:szCs w:val="13"/>
                <w:color w:val="auto"/>
              </w:rPr>
              <w:t>Class III (Term Ending 2024)</w:t>
            </w:r>
          </w:p>
        </w:tc>
      </w:tr>
      <w:tr>
        <w:trPr>
          <w:trHeight w:val="148"/>
        </w:trPr>
        <w:tc>
          <w:tcPr>
            <w:tcW w:w="60" w:type="dxa"/>
            <w:vAlign w:val="bottom"/>
            <w:shd w:val="clear" w:color="auto" w:fill="E5E5E5"/>
          </w:tcPr>
          <w:p>
            <w:pPr>
              <w:spacing w:after="0"/>
              <w:rPr>
                <w:sz w:val="12"/>
                <w:szCs w:val="12"/>
                <w:color w:val="auto"/>
              </w:rPr>
            </w:pPr>
          </w:p>
        </w:tc>
        <w:tc>
          <w:tcPr>
            <w:tcW w:w="2140" w:type="dxa"/>
            <w:vAlign w:val="bottom"/>
            <w:gridSpan w:val="3"/>
            <w:shd w:val="clear" w:color="auto" w:fill="E5E5E5"/>
          </w:tcPr>
          <w:p>
            <w:pPr>
              <w:spacing w:after="0"/>
              <w:rPr>
                <w:sz w:val="20"/>
                <w:szCs w:val="20"/>
                <w:color w:val="auto"/>
              </w:rPr>
            </w:pPr>
            <w:r>
              <w:rPr>
                <w:rFonts w:ascii="Arial" w:cs="Arial" w:eastAsia="Arial" w:hAnsi="Arial"/>
                <w:sz w:val="13"/>
                <w:szCs w:val="13"/>
                <w:color w:val="auto"/>
              </w:rPr>
              <w:t>Paul R. Biondi</w:t>
            </w:r>
          </w:p>
        </w:tc>
        <w:tc>
          <w:tcPr>
            <w:tcW w:w="8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52</w:t>
            </w:r>
          </w:p>
        </w:tc>
        <w:tc>
          <w:tcPr>
            <w:tcW w:w="15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2020</w:t>
            </w:r>
          </w:p>
        </w:tc>
        <w:tc>
          <w:tcPr>
            <w:tcW w:w="2360" w:type="dxa"/>
            <w:vAlign w:val="bottom"/>
            <w:shd w:val="clear" w:color="auto" w:fill="E5E5E5"/>
          </w:tcPr>
          <w:p>
            <w:pPr>
              <w:ind w:left="300"/>
              <w:spacing w:after="0"/>
              <w:rPr>
                <w:sz w:val="20"/>
                <w:szCs w:val="20"/>
                <w:color w:val="auto"/>
              </w:rPr>
            </w:pPr>
            <w:r>
              <w:rPr>
                <w:rFonts w:ascii="Arial" w:cs="Arial" w:eastAsia="Arial" w:hAnsi="Arial"/>
                <w:sz w:val="13"/>
                <w:szCs w:val="13"/>
                <w:color w:val="auto"/>
              </w:rPr>
              <w:t>Director</w:t>
            </w:r>
          </w:p>
        </w:tc>
        <w:tc>
          <w:tcPr>
            <w:tcW w:w="4000" w:type="dxa"/>
            <w:vAlign w:val="bottom"/>
            <w:shd w:val="clear" w:color="auto" w:fill="E5E5E5"/>
          </w:tcPr>
          <w:p>
            <w:pPr>
              <w:ind w:left="460"/>
              <w:spacing w:after="0"/>
              <w:rPr>
                <w:sz w:val="20"/>
                <w:szCs w:val="20"/>
                <w:color w:val="auto"/>
              </w:rPr>
            </w:pPr>
            <w:r>
              <w:rPr>
                <w:rFonts w:ascii="Arial" w:cs="Arial" w:eastAsia="Arial" w:hAnsi="Arial"/>
                <w:sz w:val="13"/>
                <w:szCs w:val="13"/>
                <w:color w:val="auto"/>
              </w:rPr>
              <w:t>Class III (Term Ending 2024)</w:t>
            </w:r>
          </w:p>
        </w:tc>
      </w:tr>
      <w:tr>
        <w:trPr>
          <w:trHeight w:val="148"/>
        </w:trPr>
        <w:tc>
          <w:tcPr>
            <w:tcW w:w="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Kurt C. Graves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54</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2015</w:t>
            </w:r>
          </w:p>
        </w:tc>
        <w:tc>
          <w:tcPr>
            <w:tcW w:w="23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Director</w:t>
            </w:r>
          </w:p>
        </w:tc>
        <w:tc>
          <w:tcPr>
            <w:tcW w:w="40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Class III (Term Ending 2024)</w:t>
            </w:r>
          </w:p>
        </w:tc>
      </w:tr>
    </w:tbl>
    <w:p>
      <w:pPr>
        <w:spacing w:after="0" w:line="89"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The principal occupations and business experience, for at least the past five years, of each Director (including the Class I Director nominees)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DENNIS A. AUSIELLO, M.D.</w:t>
      </w:r>
      <w:r>
        <w:rPr>
          <w:sz w:val="20"/>
          <w:szCs w:val="20"/>
          <w:color w:val="auto"/>
        </w:rPr>
        <w:tab/>
      </w:r>
      <w:r>
        <w:rPr>
          <w:rFonts w:ascii="Arial" w:cs="Arial" w:eastAsia="Arial" w:hAnsi="Arial"/>
          <w:sz w:val="13"/>
          <w:szCs w:val="13"/>
          <w:i w:val="1"/>
          <w:iCs w:val="1"/>
          <w:color w:val="auto"/>
        </w:rPr>
        <w:t>Age 76</w:t>
      </w:r>
    </w:p>
    <w:p>
      <w:pPr>
        <w:spacing w:after="0" w:line="76"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Dennis A. Ausiello, M.D. has served as a member of our Board of Directors since April 2015. Dr. Ausiello has served as the Jackson Distinguished 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boards of directors of Alnylam Pharmaceuticals since April 2012 and Rani Therapeutics Holdings, Inc. since September 2018, and previously served on the board of directors of Pfizer Inc. from 2006 to 2019,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1"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WILLARD H. DERE, M.D.</w:t>
      </w:r>
      <w:r>
        <w:rPr>
          <w:sz w:val="20"/>
          <w:szCs w:val="20"/>
          <w:color w:val="auto"/>
        </w:rPr>
        <w:tab/>
      </w:r>
      <w:r>
        <w:rPr>
          <w:rFonts w:ascii="Arial" w:cs="Arial" w:eastAsia="Arial" w:hAnsi="Arial"/>
          <w:sz w:val="13"/>
          <w:szCs w:val="13"/>
          <w:i w:val="1"/>
          <w:iCs w:val="1"/>
          <w:color w:val="auto"/>
        </w:rPr>
        <w:t>Age 68</w:t>
      </w:r>
    </w:p>
    <w:p>
      <w:pPr>
        <w:spacing w:after="0" w:line="7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Willard H. Dere, M.D. has served as a member our Board of Directors since July 2017. Dr. Dere has been Professor of Internal Medicine, B. Lue and Hope S. Bettilyon Presidential Endowed Chair in Internal Medicine for Diabetes Research, and Co-Director of the Clinical and Translational Science Institute at the University of Utah Health Sciences Center since November 2014 and Associate Vice President for Research since September 2019.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serves on the boards of directors of several companies, including BioMarin Pharmaceutical, Inc. since July 2016, Radius Health since November 2014, and Mersana Therapeutics, Inc. since March 2018. He also serves on the boards of directors of privately held companies. From October 2016 to December 2017, he served on the board of directors of Ocera Therapeutics.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-1560195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222250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3"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ERIC D. SHAFF</w:t>
      </w:r>
      <w:r>
        <w:rPr>
          <w:sz w:val="20"/>
          <w:szCs w:val="20"/>
          <w:color w:val="auto"/>
        </w:rPr>
        <w:tab/>
      </w:r>
      <w:r>
        <w:rPr>
          <w:rFonts w:ascii="Arial" w:cs="Arial" w:eastAsia="Arial" w:hAnsi="Arial"/>
          <w:sz w:val="13"/>
          <w:szCs w:val="13"/>
          <w:i w:val="1"/>
          <w:iCs w:val="1"/>
          <w:color w:val="auto"/>
        </w:rPr>
        <w:t>Age 46</w:t>
      </w:r>
    </w:p>
    <w:p>
      <w:pPr>
        <w:spacing w:after="0" w:line="76"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Eric D. Shaff has served as our President and Chief Executive Officer and a member of our Board of Directors since January 2019. Previously, he served as 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has served on the board of directors of Sigilon Therapeutics, Inc. since November 2017.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-1304925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0"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STEPHEN A. BERENSON</w:t>
      </w:r>
      <w:r>
        <w:rPr>
          <w:sz w:val="20"/>
          <w:szCs w:val="20"/>
          <w:color w:val="auto"/>
        </w:rPr>
        <w:tab/>
      </w:r>
      <w:r>
        <w:rPr>
          <w:rFonts w:ascii="Arial" w:cs="Arial" w:eastAsia="Arial" w:hAnsi="Arial"/>
          <w:sz w:val="13"/>
          <w:szCs w:val="13"/>
          <w:i w:val="1"/>
          <w:iCs w:val="1"/>
          <w:color w:val="auto"/>
        </w:rPr>
        <w:t>Age 61</w:t>
      </w:r>
    </w:p>
    <w:p>
      <w:pPr>
        <w:spacing w:after="0" w:line="7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Stephen A. Berenson has served as Chairman of our Board of Directors since December 2019 and as a member of our Board of Directors since August 2019. Mr. Berenson has been a Managing Partner at Flagship Pioneering, a life sciences innovation firm which conceives, creates, resources and develops first-in-category life sciences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since July 2021, and has served on the boards of directors of Moderna, Inc. since October 2017 and Repertoire Immune Medicines, a privately held company, since May 2021.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-1304925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1"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RICHARD N. KENDER</w:t>
      </w:r>
      <w:r>
        <w:rPr>
          <w:sz w:val="20"/>
          <w:szCs w:val="20"/>
          <w:color w:val="auto"/>
        </w:rPr>
        <w:tab/>
      </w:r>
      <w:r>
        <w:rPr>
          <w:rFonts w:ascii="Arial" w:cs="Arial" w:eastAsia="Arial" w:hAnsi="Arial"/>
          <w:sz w:val="13"/>
          <w:szCs w:val="13"/>
          <w:i w:val="1"/>
          <w:iCs w:val="1"/>
          <w:color w:val="auto"/>
        </w:rPr>
        <w:t>Age 66</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80"/>
        <w:spacing w:after="0" w:line="237" w:lineRule="auto"/>
        <w:rPr>
          <w:sz w:val="20"/>
          <w:szCs w:val="20"/>
          <w:color w:val="auto"/>
        </w:rPr>
      </w:pPr>
      <w:r>
        <w:rPr>
          <w:rFonts w:ascii="Arial" w:cs="Arial" w:eastAsia="Arial" w:hAnsi="Arial"/>
          <w:sz w:val="18"/>
          <w:szCs w:val="18"/>
          <w:color w:val="auto"/>
        </w:rPr>
        <w:t>Mr. Kender held positions in a variety of corporate areas at Merck &amp; Co., Inc., or Merck, a pharmaceutical company, most recently serving as Senior Vice President of Business Development and Corporate Licensing. Mr. Kender has served on the boards of directors of Poxel S.A. since March 2015, Bicycle Therapeutics PLC since July 2019, and ReViral Ltd, a privately held company, since November 2019. He previously served on the boards of directors of INC Research Holdings, Inc. between December 2014 and August 2017 and Abide Therapeutics, Inc., a privately held company, between December 2015 and May 2019.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5"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MERYL S. ZAUSNER</w:t>
      </w:r>
      <w:r>
        <w:rPr>
          <w:sz w:val="20"/>
          <w:szCs w:val="20"/>
          <w:color w:val="auto"/>
        </w:rPr>
        <w:tab/>
      </w:r>
      <w:r>
        <w:rPr>
          <w:rFonts w:ascii="Arial" w:cs="Arial" w:eastAsia="Arial" w:hAnsi="Arial"/>
          <w:sz w:val="13"/>
          <w:szCs w:val="13"/>
          <w:i w:val="1"/>
          <w:iCs w:val="1"/>
          <w:color w:val="auto"/>
        </w:rPr>
        <w:t>Age 65</w:t>
      </w:r>
    </w:p>
    <w:p>
      <w:pPr>
        <w:spacing w:after="0" w:line="7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Meryl S. Zausner has served as a member of our Board of Directors since August 2018. Ms. Zausner worked for Novartis Pharmaceuticals, Inc., or Novartis, a pharmaceutical company, from 1988 until her retirement in 2017, most recently serving as Chief Financial and Administrative Officer and a member of the Pharmaceutical Executive Committee and Global Finance Leadership Team of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w:t>
      </w:r>
      <w:r>
        <w:rPr>
          <w:rFonts w:ascii="Arial" w:cs="Arial" w:eastAsia="Arial" w:hAnsi="Arial"/>
          <w:sz w:val="15"/>
          <w:szCs w:val="15"/>
          <w:color w:val="auto"/>
        </w:rPr>
        <w:t>®</w:t>
      </w:r>
      <w:r>
        <w:rPr>
          <w:rFonts w:ascii="Arial" w:cs="Arial" w:eastAsia="Arial" w:hAnsi="Arial"/>
          <w:sz w:val="18"/>
          <w:szCs w:val="18"/>
          <w:color w:val="auto"/>
        </w:rPr>
        <w:t xml:space="preserve"> (imatinib).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-777875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80"/>
        <w:spacing w:after="0" w:line="239" w:lineRule="auto"/>
        <w:rPr>
          <w:sz w:val="20"/>
          <w:szCs w:val="20"/>
          <w:color w:val="auto"/>
        </w:rPr>
      </w:pPr>
      <w:r>
        <w:rPr>
          <w:rFonts w:ascii="Arial" w:cs="Arial" w:eastAsia="Arial" w:hAnsi="Arial"/>
          <w:sz w:val="18"/>
          <w:szCs w:val="18"/>
          <w:color w:val="auto"/>
        </w:rPr>
        <w:t>Ms. Zausner has served on the board of directors of Goldfinch Bio, Inc., a privately held company, since February 2021, and she previously served on the boards of directors of the Multiple Myeloma Research Foundation from September 2009 to June 2021 and Neon Therapeutics, Inc. from December 2017 to May 2020. Ms. Zausner received a B.S. in Accounting and Economics from the University at Albany, SUNY. We believe Ms. Zausner is qualified to serve on our Board of Directors because of her finance and leadership experience and knowledge of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0"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GRÉGORY BEHAR</w:t>
      </w:r>
      <w:r>
        <w:rPr>
          <w:sz w:val="20"/>
          <w:szCs w:val="20"/>
          <w:color w:val="auto"/>
        </w:rPr>
        <w:tab/>
      </w:r>
      <w:r>
        <w:rPr>
          <w:rFonts w:ascii="Arial" w:cs="Arial" w:eastAsia="Arial" w:hAnsi="Arial"/>
          <w:sz w:val="13"/>
          <w:szCs w:val="13"/>
          <w:i w:val="1"/>
          <w:iCs w:val="1"/>
          <w:color w:val="auto"/>
        </w:rPr>
        <w:t>Age 52</w:t>
      </w:r>
    </w:p>
    <w:p>
      <w:pPr>
        <w:spacing w:after="0" w:line="7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a business unit of Société des Produits Nestlé S.A., a health sciences company, since July 2014. From August 2011 to May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has served on the boards of directors of Nestlé Health Science since July 2014 and Sonova AG since April 2021 and previously served on the boards of directors of Axcella Health, Inc. from February 2016 to April 2022 and Aimmune Therapeutics, Inc. from November 2016 until its acquisition in October 2020.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-1304925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0"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PAUL R. BIONDI</w:t>
      </w:r>
      <w:r>
        <w:rPr>
          <w:sz w:val="20"/>
          <w:szCs w:val="20"/>
          <w:color w:val="auto"/>
        </w:rPr>
        <w:tab/>
      </w:r>
      <w:r>
        <w:rPr>
          <w:rFonts w:ascii="Arial" w:cs="Arial" w:eastAsia="Arial" w:hAnsi="Arial"/>
          <w:sz w:val="13"/>
          <w:szCs w:val="13"/>
          <w:i w:val="1"/>
          <w:iCs w:val="1"/>
          <w:color w:val="auto"/>
        </w:rPr>
        <w:t>Age 52</w:t>
      </w:r>
    </w:p>
    <w:p>
      <w:pPr>
        <w:spacing w:after="0" w:line="76"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Paul R. Biondi has served as a member of our Board of Directors since March 2020. Mr. Biondi is an Executive Partner and President of Pioneering Medicines at Flagship Pioneering, roles he has held since November 2019. Mr. Biondi joined Flagship Pioneering following a seventeen-year tenure at Bristol-Myers Squibb, or BMS, a pharmaceutical company, where he was most recently the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-411480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9" w:lineRule="exact"/>
        <w:rPr>
          <w:sz w:val="20"/>
          <w:szCs w:val="20"/>
          <w:color w:val="auto"/>
        </w:rPr>
      </w:pPr>
    </w:p>
    <w:p>
      <w:pPr>
        <w:ind w:left="420"/>
        <w:spacing w:after="0"/>
        <w:tabs>
          <w:tab w:leader="none" w:pos="10320" w:val="left"/>
        </w:tabs>
        <w:rPr>
          <w:sz w:val="20"/>
          <w:szCs w:val="20"/>
          <w:color w:val="auto"/>
        </w:rPr>
      </w:pPr>
      <w:r>
        <w:rPr>
          <w:rFonts w:ascii="Arial" w:cs="Arial" w:eastAsia="Arial" w:hAnsi="Arial"/>
          <w:sz w:val="13"/>
          <w:szCs w:val="13"/>
          <w:b w:val="1"/>
          <w:bCs w:val="1"/>
          <w:color w:val="auto"/>
        </w:rPr>
        <w:t>KURT C. GRAVES</w:t>
      </w:r>
      <w:r>
        <w:rPr>
          <w:sz w:val="20"/>
          <w:szCs w:val="20"/>
          <w:color w:val="auto"/>
        </w:rPr>
        <w:tab/>
      </w:r>
      <w:r>
        <w:rPr>
          <w:rFonts w:ascii="Arial" w:cs="Arial" w:eastAsia="Arial" w:hAnsi="Arial"/>
          <w:sz w:val="13"/>
          <w:szCs w:val="13"/>
          <w:i w:val="1"/>
          <w:iCs w:val="1"/>
          <w:color w:val="auto"/>
        </w:rPr>
        <w:t>Age 54</w:t>
      </w:r>
    </w:p>
    <w:p>
      <w:pPr>
        <w:spacing w:after="0" w:line="7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Kurt C. Graves has served as a member of our Board of Directors since November 2015. Mr. Graves has served as the Executive Chairman of i20 Therapeutics, Inc., a biotechnology company, since August 2021.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Global General Medicines Business Unit Head and Chief Marketing Officer for the pharmaceuticals division of Novartis Corp. from September 2003 to June 2007. He served on the boards of directors of Radius Health, Inc. from May 2011 to March 2020, and Achillion Pharmaceuticals, Inc. from June 2012 to January 2020. Mr. Graves received a B.S. in Biology from Hillsdale College. We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-1163955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right="260"/>
        <w:spacing w:after="0" w:line="250" w:lineRule="auto"/>
        <w:rPr>
          <w:sz w:val="20"/>
          <w:szCs w:val="20"/>
          <w:color w:val="auto"/>
        </w:rPr>
      </w:pPr>
      <w:r>
        <w:rPr>
          <w:rFonts w:ascii="Arial" w:cs="Arial" w:eastAsia="Arial" w:hAnsi="Arial"/>
          <w:sz w:val="18"/>
          <w:szCs w:val="18"/>
          <w:color w:val="auto"/>
        </w:rPr>
        <w:t>Mr. Graves is qualified to serve as a member of our Board of Directors because of his extensive experience in the life sciences industry, membership on various boards of directors and his leadership and management experience.</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Diversity Matrix (as of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7003415" cy="1466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3415" cy="1466215"/>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Size:</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518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Total Number of Directors</w:t>
            </w:r>
          </w:p>
        </w:tc>
        <w:tc>
          <w:tcPr>
            <w:tcW w:w="1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9</w:t>
            </w:r>
          </w:p>
        </w:tc>
        <w:tc>
          <w:tcPr>
            <w:tcW w:w="172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tcPr>
          <w:p>
            <w:pPr>
              <w:spacing w:after="0"/>
              <w:rPr>
                <w:sz w:val="19"/>
                <w:szCs w:val="19"/>
                <w:color w:val="auto"/>
              </w:rPr>
            </w:pPr>
          </w:p>
        </w:tc>
      </w:tr>
      <w:tr>
        <w:trPr>
          <w:trHeight w:val="210"/>
        </w:trPr>
        <w:tc>
          <w:tcPr>
            <w:tcW w:w="5180" w:type="dxa"/>
            <w:vAlign w:val="bottom"/>
            <w:tcBorders>
              <w:bottom w:val="single" w:sz="8" w:color="auto"/>
              <w:right w:val="single" w:sz="8" w:color="auto"/>
            </w:tcBorders>
            <w:shd w:val="clear" w:color="auto" w:fill="E5E5E5"/>
          </w:tcPr>
          <w:p>
            <w:pPr>
              <w:spacing w:after="0"/>
              <w:rPr>
                <w:sz w:val="18"/>
                <w:szCs w:val="18"/>
                <w:color w:val="auto"/>
              </w:rPr>
            </w:pPr>
          </w:p>
        </w:tc>
        <w:tc>
          <w:tcPr>
            <w:tcW w:w="172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b w:val="1"/>
                <w:bCs w:val="1"/>
                <w:color w:val="auto"/>
              </w:rPr>
              <w:t>Female</w:t>
            </w:r>
          </w:p>
        </w:tc>
        <w:tc>
          <w:tcPr>
            <w:tcW w:w="172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Male</w:t>
            </w:r>
          </w:p>
        </w:tc>
        <w:tc>
          <w:tcPr>
            <w:tcW w:w="2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6"/>
                <w:szCs w:val="16"/>
                <w:b w:val="1"/>
                <w:bCs w:val="1"/>
                <w:color w:val="auto"/>
              </w:rPr>
              <w:t>Non-Binary</w:t>
            </w:r>
          </w:p>
        </w:tc>
      </w:tr>
      <w:tr>
        <w:trPr>
          <w:trHeight w:val="209"/>
        </w:trPr>
        <w:tc>
          <w:tcPr>
            <w:tcW w:w="5180" w:type="dxa"/>
            <w:vAlign w:val="bottom"/>
            <w:tcBorders>
              <w:bottom w:val="single" w:sz="8" w:color="auto"/>
              <w:right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Part I: Gender Identity</w:t>
            </w:r>
          </w:p>
        </w:tc>
        <w:tc>
          <w:tcPr>
            <w:tcW w:w="1720" w:type="dxa"/>
            <w:vAlign w:val="bottom"/>
            <w:tcBorders>
              <w:bottom w:val="single" w:sz="8" w:color="auto"/>
              <w:right w:val="single" w:sz="8" w:color="E5E5E5"/>
            </w:tcBorders>
            <w:shd w:val="clear" w:color="auto" w:fill="E5E5E5"/>
          </w:tcPr>
          <w:p>
            <w:pPr>
              <w:spacing w:after="0"/>
              <w:rPr>
                <w:sz w:val="18"/>
                <w:szCs w:val="18"/>
                <w:color w:val="auto"/>
              </w:rPr>
            </w:pPr>
          </w:p>
        </w:tc>
        <w:tc>
          <w:tcPr>
            <w:tcW w:w="1720" w:type="dxa"/>
            <w:vAlign w:val="bottom"/>
            <w:tcBorders>
              <w:bottom w:val="single" w:sz="8" w:color="auto"/>
              <w:right w:val="single" w:sz="8" w:color="E5E5E5"/>
            </w:tcBorders>
            <w:shd w:val="clear" w:color="auto" w:fill="E5E5E5"/>
          </w:tcPr>
          <w:p>
            <w:pPr>
              <w:spacing w:after="0"/>
              <w:rPr>
                <w:sz w:val="18"/>
                <w:szCs w:val="18"/>
                <w:color w:val="auto"/>
              </w:rPr>
            </w:pPr>
          </w:p>
        </w:tc>
        <w:tc>
          <w:tcPr>
            <w:tcW w:w="2400" w:type="dxa"/>
            <w:vAlign w:val="bottom"/>
            <w:tcBorders>
              <w:bottom w:val="single" w:sz="8" w:color="auto"/>
            </w:tcBorders>
            <w:shd w:val="clear" w:color="auto" w:fill="E5E5E5"/>
          </w:tcPr>
          <w:p>
            <w:pPr>
              <w:spacing w:after="0"/>
              <w:rPr>
                <w:sz w:val="18"/>
                <w:szCs w:val="18"/>
                <w:color w:val="auto"/>
              </w:rPr>
            </w:pPr>
          </w:p>
        </w:tc>
      </w:tr>
      <w:tr>
        <w:trPr>
          <w:trHeight w:val="209"/>
        </w:trPr>
        <w:tc>
          <w:tcPr>
            <w:tcW w:w="51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Directors</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1</w:t>
            </w: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8</w:t>
            </w: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Borders>
              <w:bottom w:val="single" w:sz="8" w:color="auto"/>
              <w:right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auto"/>
              </w:rPr>
              <w:t>Part II: Demographic Background</w:t>
            </w:r>
          </w:p>
        </w:tc>
        <w:tc>
          <w:tcPr>
            <w:tcW w:w="1720" w:type="dxa"/>
            <w:vAlign w:val="bottom"/>
            <w:tcBorders>
              <w:bottom w:val="single" w:sz="8" w:color="auto"/>
              <w:right w:val="single" w:sz="8" w:color="E5E5E5"/>
            </w:tcBorders>
            <w:shd w:val="clear" w:color="auto" w:fill="E5E5E5"/>
          </w:tcPr>
          <w:p>
            <w:pPr>
              <w:spacing w:after="0"/>
              <w:rPr>
                <w:sz w:val="18"/>
                <w:szCs w:val="18"/>
                <w:color w:val="auto"/>
              </w:rPr>
            </w:pPr>
          </w:p>
        </w:tc>
        <w:tc>
          <w:tcPr>
            <w:tcW w:w="1720" w:type="dxa"/>
            <w:vAlign w:val="bottom"/>
            <w:tcBorders>
              <w:bottom w:val="single" w:sz="8" w:color="auto"/>
              <w:right w:val="single" w:sz="8" w:color="E5E5E5"/>
            </w:tcBorders>
            <w:shd w:val="clear" w:color="auto" w:fill="E5E5E5"/>
          </w:tcPr>
          <w:p>
            <w:pPr>
              <w:spacing w:after="0"/>
              <w:rPr>
                <w:sz w:val="18"/>
                <w:szCs w:val="18"/>
                <w:color w:val="auto"/>
              </w:rPr>
            </w:pPr>
          </w:p>
        </w:tc>
        <w:tc>
          <w:tcPr>
            <w:tcW w:w="2400" w:type="dxa"/>
            <w:vAlign w:val="bottom"/>
            <w:tcBorders>
              <w:bottom w:val="single" w:sz="8" w:color="auto"/>
            </w:tcBorders>
            <w:shd w:val="clear" w:color="auto" w:fill="E5E5E5"/>
          </w:tcPr>
          <w:p>
            <w:pPr>
              <w:spacing w:after="0"/>
              <w:rPr>
                <w:sz w:val="18"/>
                <w:szCs w:val="18"/>
                <w:color w:val="auto"/>
              </w:rPr>
            </w:pPr>
          </w:p>
        </w:tc>
      </w:tr>
      <w:tr>
        <w:trPr>
          <w:trHeight w:val="209"/>
        </w:trPr>
        <w:tc>
          <w:tcPr>
            <w:tcW w:w="51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Asian</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2</w:t>
            </w: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White</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1</w:t>
            </w: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7</w:t>
            </w: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Two or More Races or Ethnicities</w:t>
            </w: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1</w:t>
            </w:r>
          </w:p>
        </w:tc>
        <w:tc>
          <w:tcPr>
            <w:tcW w:w="2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306"/>
        </w:trPr>
        <w:tc>
          <w:tcPr>
            <w:tcW w:w="5180" w:type="dxa"/>
            <w:vAlign w:val="bottom"/>
          </w:tcPr>
          <w:p>
            <w:pPr>
              <w:spacing w:after="0"/>
              <w:rPr>
                <w:sz w:val="24"/>
                <w:szCs w:val="24"/>
                <w:color w:val="auto"/>
              </w:rPr>
            </w:pPr>
          </w:p>
        </w:tc>
        <w:tc>
          <w:tcPr>
            <w:tcW w:w="1720" w:type="dxa"/>
            <w:vAlign w:val="bottom"/>
          </w:tcPr>
          <w:p>
            <w:pPr>
              <w:ind w:left="240"/>
              <w:spacing w:after="0"/>
              <w:rPr>
                <w:sz w:val="20"/>
                <w:szCs w:val="20"/>
                <w:color w:val="auto"/>
              </w:rPr>
            </w:pPr>
            <w:r>
              <w:rPr>
                <w:rFonts w:ascii="Arial" w:cs="Arial" w:eastAsia="Arial" w:hAnsi="Arial"/>
                <w:sz w:val="13"/>
                <w:szCs w:val="13"/>
                <w:color w:val="auto"/>
              </w:rPr>
              <w:t>13</w:t>
            </w:r>
          </w:p>
        </w:tc>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2</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0"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Audit Committee of the Board of Directors (the “Audit Committee”) has appointed PricewaterhouseCoopers LLP as our independent registered public accounting firm for the fiscal year ending December 31, 2022. Our Board of Directors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68"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2021.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6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2023. Even if the appointment of PricewaterhouseCoopers LLP is ratified, the Audit Committee retains the discretion to appoint a different independent auditor at any time if it determines that such a change is in the interest of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540" w:right="184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7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PROPOSAL 3</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0"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In accordance with the Dodd-Frank Wall Street Reform and Consumer Protection Act of 2010 (the “Dodd-Frank Act”) and Rule 14a-21 under the Exchange Act, we request that our stockholders cast a non-binding, advisory vote to approve the compensation of our named executive officers identified in the section titled “Executive and Director Compensation” set forth below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we ask our stockholders to vote “FOR” the following resolution at the Annual Meeting:</w:t>
      </w:r>
    </w:p>
    <w:p>
      <w:pPr>
        <w:spacing w:after="0" w:line="104" w:lineRule="exact"/>
        <w:rPr>
          <w:sz w:val="20"/>
          <w:szCs w:val="20"/>
          <w:color w:val="auto"/>
        </w:rPr>
      </w:pPr>
    </w:p>
    <w:p>
      <w:pPr>
        <w:ind w:left="1100" w:right="140"/>
        <w:spacing w:after="0" w:line="247" w:lineRule="auto"/>
        <w:rPr>
          <w:sz w:val="20"/>
          <w:szCs w:val="20"/>
          <w:color w:val="auto"/>
        </w:rPr>
      </w:pPr>
      <w:r>
        <w:rPr>
          <w:rFonts w:ascii="Arial" w:cs="Arial" w:eastAsia="Arial" w:hAnsi="Arial"/>
          <w:sz w:val="18"/>
          <w:szCs w:val="18"/>
          <w:color w:val="auto"/>
        </w:rPr>
        <w:t>“RESOLVED, that the Company’s stockholders approve, by a non-binding advisory vote, the compensation of the named executive officers, as disclosed in the Company’s Proxy Statement for the 2022 Annual Meeting of Stockholders pursuant to the compensation disclosure rules of the Securities and Exchange Commission, including the compensation tables and narrative discussion.”</w:t>
      </w:r>
    </w:p>
    <w:p>
      <w:pPr>
        <w:spacing w:after="0" w:line="66" w:lineRule="exact"/>
        <w:rPr>
          <w:sz w:val="20"/>
          <w:szCs w:val="20"/>
          <w:color w:val="auto"/>
        </w:rPr>
      </w:pPr>
    </w:p>
    <w:p>
      <w:pPr>
        <w:ind w:left="120" w:right="320"/>
        <w:spacing w:after="0" w:line="242" w:lineRule="auto"/>
        <w:rPr>
          <w:sz w:val="20"/>
          <w:szCs w:val="20"/>
          <w:color w:val="auto"/>
        </w:rPr>
      </w:pPr>
      <w:r>
        <w:rPr>
          <w:rFonts w:ascii="Arial" w:cs="Arial" w:eastAsia="Arial" w:hAnsi="Arial"/>
          <w:sz w:val="18"/>
          <w:szCs w:val="18"/>
          <w:color w:val="auto"/>
        </w:rPr>
        <w:t>We believe that our compensation programs and policies for the year ended December 31, 2021 were an effective incentive for the achievement of our goals, aligned with stockholders’ interest and worthy of stockholder support. Additional details concerning how we structure our compensation programs to meet the objectives of our compensation program are provided in the section titled “Executive Compensation” set forth below in this proxy statement. In particular, we discuss how we design performance-based compensation programs and set compensation targets and other objectives to maintain a close correlation between Company and individual achievement.</w:t>
      </w:r>
    </w:p>
    <w:p>
      <w:pPr>
        <w:spacing w:after="0" w:line="7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This vote is merely advisory and will not be binding upon us, our Board of Directors or our Compensation and Talent Committee, nor will it create or imply any change in the duties of us, our Board of Directors or our Compensation and Talent Committee. The Compensation and Talent Committee will, however, take into account the outcome of the vote when considering future executive compensation decisions. At our 2021 Annual Meeting of Stockholders, approximately 99.4% of the votes cast on the “say-on-pay” proposal were voted “FOR” the proposal. The Board of Directors values constructive dialogue on executive compensation and other significant governance topics with our stockholders and encourages all stockholders to vote their shares on this important matter.</w:t>
      </w:r>
    </w:p>
    <w:p>
      <w:pPr>
        <w:spacing w:after="0" w:line="71"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At our 2021 Annual Meeting of Stockholders held on June 16, 2021, our stockholders recommended, on an advisory basis, that the stockholder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Annual Meeting) is expected to occur at the 2023 Annual Meeting of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The approval, on an advisory (non-binding) basis, of the compensation of our named executive officers will require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540"/>
        <w:spacing w:after="0" w:line="281" w:lineRule="auto"/>
        <w:rPr>
          <w:sz w:val="20"/>
          <w:szCs w:val="20"/>
          <w:color w:val="auto"/>
        </w:rPr>
      </w:pPr>
      <w:r>
        <w:rPr>
          <w:rFonts w:ascii="Arial" w:cs="Arial" w:eastAsia="Arial" w:hAnsi="Arial"/>
          <w:sz w:val="18"/>
          <w:szCs w:val="18"/>
          <w:b w:val="1"/>
          <w:bCs w:val="1"/>
          <w:color w:val="auto"/>
        </w:rPr>
        <w:t>The Board of Directors unanimously recommends a vote “FOR” the approval, on an advisory (non-binding) basis, of the compensation of our named executive officers.</w:t>
      </w:r>
    </w:p>
    <w:p>
      <w:pPr>
        <w:spacing w:after="0" w:line="75"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800"/>
          </w:cols>
          <w:pgMar w:left="320" w:top="455" w:right="7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Audit Committee has reviewed the audited consolidated financial statements of the Company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6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71" w:lineRule="exact"/>
        <w:rPr>
          <w:sz w:val="20"/>
          <w:szCs w:val="20"/>
          <w:color w:val="auto"/>
        </w:rPr>
      </w:pPr>
    </w:p>
    <w:p>
      <w:pPr>
        <w:jc w:val="both"/>
        <w:ind w:left="120" w:right="160"/>
        <w:spacing w:after="0" w:line="247"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N. Kender (Chair)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Willard H. Dere, M.D.</w:t>
      </w:r>
    </w:p>
    <w:p>
      <w:pPr>
        <w:ind w:left="120"/>
        <w:spacing w:after="0"/>
        <w:rPr>
          <w:sz w:val="20"/>
          <w:szCs w:val="20"/>
          <w:color w:val="auto"/>
        </w:rPr>
      </w:pPr>
      <w:r>
        <w:rPr>
          <w:rFonts w:ascii="Arial" w:cs="Arial" w:eastAsia="Arial" w:hAnsi="Arial"/>
          <w:sz w:val="18"/>
          <w:szCs w:val="18"/>
          <w:color w:val="auto"/>
        </w:rPr>
        <w:t>Meryl S. Zausner</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Fee Category</w:t>
            </w:r>
          </w:p>
        </w:tc>
        <w:tc>
          <w:tcPr>
            <w:tcW w:w="32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shd w:val="clear" w:color="auto" w:fill="E5E5E5"/>
          </w:tcPr>
          <w:p>
            <w:pPr>
              <w:spacing w:after="0"/>
              <w:rPr>
                <w:sz w:val="14"/>
                <w:szCs w:val="14"/>
                <w:color w:val="auto"/>
              </w:rPr>
            </w:pPr>
          </w:p>
        </w:tc>
        <w:tc>
          <w:tcPr>
            <w:tcW w:w="66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3"/>
                <w:szCs w:val="13"/>
                <w:b w:val="1"/>
                <w:bCs w:val="1"/>
                <w:color w:val="auto"/>
              </w:rPr>
              <w:t>2020</w:t>
            </w:r>
          </w:p>
        </w:tc>
      </w:tr>
      <w:tr>
        <w:trPr>
          <w:trHeight w:val="142"/>
        </w:trPr>
        <w:tc>
          <w:tcPr>
            <w:tcW w:w="9140" w:type="dxa"/>
            <w:vAlign w:val="bottom"/>
          </w:tcPr>
          <w:p>
            <w:pPr>
              <w:ind w:left="60"/>
              <w:spacing w:after="0" w:line="142" w:lineRule="exact"/>
              <w:rPr>
                <w:sz w:val="20"/>
                <w:szCs w:val="20"/>
                <w:color w:val="auto"/>
              </w:rPr>
            </w:pPr>
            <w:r>
              <w:rPr>
                <w:rFonts w:ascii="Arial" w:cs="Arial" w:eastAsia="Arial" w:hAnsi="Arial"/>
                <w:sz w:val="13"/>
                <w:szCs w:val="13"/>
                <w:color w:val="auto"/>
              </w:rPr>
              <w:t>Audit Fees</w:t>
            </w:r>
          </w:p>
        </w:tc>
        <w:tc>
          <w:tcPr>
            <w:tcW w:w="3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1,640,000</w:t>
            </w:r>
          </w:p>
        </w:tc>
        <w:tc>
          <w:tcPr>
            <w:tcW w:w="2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53"/>
              <w:spacing w:after="0" w:line="142" w:lineRule="exact"/>
              <w:rPr>
                <w:sz w:val="20"/>
                <w:szCs w:val="20"/>
                <w:color w:val="auto"/>
              </w:rPr>
            </w:pPr>
            <w:r>
              <w:rPr>
                <w:rFonts w:ascii="Arial" w:cs="Arial" w:eastAsia="Arial" w:hAnsi="Arial"/>
                <w:sz w:val="13"/>
                <w:szCs w:val="13"/>
                <w:color w:val="auto"/>
              </w:rPr>
              <w:t>896,000</w:t>
            </w:r>
          </w:p>
        </w:tc>
      </w:tr>
      <w:tr>
        <w:trPr>
          <w:trHeight w:val="148"/>
        </w:trPr>
        <w:tc>
          <w:tcPr>
            <w:tcW w:w="9140" w:type="dxa"/>
            <w:vAlign w:val="bottom"/>
            <w:shd w:val="clear" w:color="auto" w:fill="D8D8D8"/>
          </w:tcPr>
          <w:p>
            <w:pPr>
              <w:ind w:left="60"/>
              <w:spacing w:after="0"/>
              <w:rPr>
                <w:sz w:val="20"/>
                <w:szCs w:val="20"/>
                <w:color w:val="auto"/>
              </w:rPr>
            </w:pPr>
            <w:r>
              <w:rPr>
                <w:rFonts w:ascii="Arial" w:cs="Arial" w:eastAsia="Arial" w:hAnsi="Arial"/>
                <w:sz w:val="13"/>
                <w:szCs w:val="13"/>
                <w:color w:val="auto"/>
              </w:rPr>
              <w:t>Audit-Related Fees</w:t>
            </w:r>
          </w:p>
        </w:tc>
        <w:tc>
          <w:tcPr>
            <w:tcW w:w="3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50,000</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50,000</w:t>
            </w:r>
          </w:p>
        </w:tc>
      </w:tr>
      <w:tr>
        <w:trPr>
          <w:trHeight w:val="148"/>
        </w:trPr>
        <w:tc>
          <w:tcPr>
            <w:tcW w:w="9140" w:type="dxa"/>
            <w:vAlign w:val="bottom"/>
          </w:tcPr>
          <w:p>
            <w:pPr>
              <w:ind w:left="60"/>
              <w:spacing w:after="0"/>
              <w:rPr>
                <w:sz w:val="20"/>
                <w:szCs w:val="20"/>
                <w:color w:val="auto"/>
              </w:rPr>
            </w:pPr>
            <w:r>
              <w:rPr>
                <w:rFonts w:ascii="Arial" w:cs="Arial" w:eastAsia="Arial" w:hAnsi="Arial"/>
                <w:sz w:val="13"/>
                <w:szCs w:val="13"/>
                <w:color w:val="auto"/>
              </w:rPr>
              <w:t>Tax Fees</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33"/>
              <w:spacing w:after="0"/>
              <w:rPr>
                <w:sz w:val="20"/>
                <w:szCs w:val="20"/>
                <w:color w:val="auto"/>
              </w:rPr>
            </w:pPr>
            <w:r>
              <w:rPr>
                <w:rFonts w:ascii="Arial" w:cs="Arial" w:eastAsia="Arial" w:hAnsi="Arial"/>
                <w:sz w:val="13"/>
                <w:szCs w:val="13"/>
                <w:color w:val="auto"/>
              </w:rPr>
              <w:t>—</w:t>
            </w:r>
          </w:p>
        </w:tc>
      </w:tr>
      <w:tr>
        <w:trPr>
          <w:trHeight w:val="148"/>
        </w:trPr>
        <w:tc>
          <w:tcPr>
            <w:tcW w:w="9140" w:type="dxa"/>
            <w:vAlign w:val="bottom"/>
            <w:shd w:val="clear" w:color="auto" w:fill="D8D8D8"/>
          </w:tcPr>
          <w:p>
            <w:pPr>
              <w:ind w:left="60"/>
              <w:spacing w:after="0"/>
              <w:rPr>
                <w:sz w:val="20"/>
                <w:szCs w:val="20"/>
                <w:color w:val="auto"/>
              </w:rPr>
            </w:pPr>
            <w:r>
              <w:rPr>
                <w:rFonts w:ascii="Arial" w:cs="Arial" w:eastAsia="Arial" w:hAnsi="Arial"/>
                <w:sz w:val="13"/>
                <w:szCs w:val="13"/>
                <w:color w:val="auto"/>
              </w:rPr>
              <w:t>All Other Fees</w:t>
            </w:r>
          </w:p>
        </w:tc>
        <w:tc>
          <w:tcPr>
            <w:tcW w:w="32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2,756</w:t>
            </w:r>
          </w:p>
        </w:tc>
        <w:tc>
          <w:tcPr>
            <w:tcW w:w="2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D8D8D8"/>
          </w:tcPr>
          <w:p>
            <w:pPr>
              <w:jc w:val="right"/>
              <w:ind w:right="53"/>
              <w:spacing w:after="0"/>
              <w:rPr>
                <w:sz w:val="20"/>
                <w:szCs w:val="20"/>
                <w:color w:val="auto"/>
              </w:rPr>
            </w:pPr>
            <w:r>
              <w:rPr>
                <w:rFonts w:ascii="Arial" w:cs="Arial" w:eastAsia="Arial" w:hAnsi="Arial"/>
                <w:sz w:val="13"/>
                <w:szCs w:val="13"/>
                <w:color w:val="auto"/>
              </w:rPr>
              <w:t>2,756</w:t>
            </w:r>
          </w:p>
        </w:tc>
      </w:tr>
      <w:tr>
        <w:trPr>
          <w:trHeight w:val="148"/>
        </w:trPr>
        <w:tc>
          <w:tcPr>
            <w:tcW w:w="91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 Fees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1,692,756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948,756</w:t>
            </w: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Audit fees in 2021 and 2020 consist of fees billed for the audit of our annual consolidated financial statements, the review of the interim consolidated financial statements, and related services that are normally provided in connection with registration statements, and services performed in connection with our at the market common stock offering.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Audit-related fees in 2021 and 2020 consist of fees in connection with an audit of our grant from CARB-X.</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such fees incurred in 2021 or 2020.</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920"/>
        <w:spacing w:after="0" w:line="271" w:lineRule="auto"/>
        <w:rPr>
          <w:sz w:val="20"/>
          <w:szCs w:val="20"/>
          <w:color w:val="auto"/>
        </w:rPr>
      </w:pPr>
      <w:r>
        <w:rPr>
          <w:rFonts w:ascii="Arial" w:cs="Arial" w:eastAsia="Arial" w:hAnsi="Arial"/>
          <w:sz w:val="18"/>
          <w:szCs w:val="18"/>
          <w:color w:val="auto"/>
        </w:rPr>
        <w:t>All other fees in 2021 and 2020 represent non-audit fees in connection with access to the PricewaterhouseCoopers LLP on-line accounting research and disclosures database.</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shd w:val="clear" w:color="auto" w:fill="E5E5E5"/>
          </w:tcPr>
          <w:p>
            <w:pPr>
              <w:jc w:val="center"/>
              <w:ind w:left="73"/>
              <w:spacing w:after="0"/>
              <w:rPr>
                <w:sz w:val="20"/>
                <w:szCs w:val="20"/>
                <w:color w:val="auto"/>
              </w:rPr>
            </w:pPr>
            <w:r>
              <w:rPr>
                <w:rFonts w:ascii="Arial" w:cs="Arial" w:eastAsia="Arial" w:hAnsi="Arial"/>
                <w:sz w:val="13"/>
                <w:szCs w:val="13"/>
                <w:b w:val="1"/>
                <w:bCs w:val="1"/>
                <w:color w:val="auto"/>
              </w:rPr>
              <w:t>Age</w:t>
            </w:r>
          </w:p>
        </w:tc>
        <w:tc>
          <w:tcPr>
            <w:tcW w:w="7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3"/>
                <w:szCs w:val="13"/>
                <w:b w:val="1"/>
                <w:bCs w:val="1"/>
                <w:color w:val="auto"/>
              </w:rPr>
              <w:t>Position</w:t>
            </w:r>
          </w:p>
        </w:tc>
      </w:tr>
      <w:tr>
        <w:trPr>
          <w:trHeight w:val="142"/>
        </w:trPr>
        <w:tc>
          <w:tcPr>
            <w:tcW w:w="2740" w:type="dxa"/>
            <w:vAlign w:val="bottom"/>
          </w:tcPr>
          <w:p>
            <w:pPr>
              <w:ind w:left="60"/>
              <w:spacing w:after="0" w:line="142" w:lineRule="exact"/>
              <w:rPr>
                <w:sz w:val="20"/>
                <w:szCs w:val="20"/>
                <w:color w:val="auto"/>
              </w:rPr>
            </w:pPr>
            <w:r>
              <w:rPr>
                <w:rFonts w:ascii="Arial" w:cs="Arial" w:eastAsia="Arial" w:hAnsi="Arial"/>
                <w:sz w:val="13"/>
                <w:szCs w:val="13"/>
                <w:color w:val="auto"/>
              </w:rPr>
              <w:t>Eric D. Shaff</w:t>
            </w:r>
            <w:r>
              <w:rPr>
                <w:rFonts w:ascii="Arial" w:cs="Arial" w:eastAsia="Arial" w:hAnsi="Arial"/>
                <w:sz w:val="11"/>
                <w:szCs w:val="11"/>
                <w:color w:val="auto"/>
              </w:rPr>
              <w:t>(1)</w:t>
            </w:r>
          </w:p>
        </w:tc>
        <w:tc>
          <w:tcPr>
            <w:tcW w:w="880" w:type="dxa"/>
            <w:vAlign w:val="bottom"/>
          </w:tcPr>
          <w:p>
            <w:pPr>
              <w:jc w:val="center"/>
              <w:ind w:left="73"/>
              <w:spacing w:after="0" w:line="142" w:lineRule="exact"/>
              <w:rPr>
                <w:sz w:val="20"/>
                <w:szCs w:val="20"/>
                <w:color w:val="auto"/>
              </w:rPr>
            </w:pPr>
            <w:r>
              <w:rPr>
                <w:rFonts w:ascii="Arial" w:cs="Arial" w:eastAsia="Arial" w:hAnsi="Arial"/>
                <w:sz w:val="13"/>
                <w:szCs w:val="13"/>
                <w:color w:val="auto"/>
                <w:w w:val="96"/>
              </w:rPr>
              <w:t>46</w:t>
            </w:r>
          </w:p>
        </w:tc>
        <w:tc>
          <w:tcPr>
            <w:tcW w:w="7400" w:type="dxa"/>
            <w:vAlign w:val="bottom"/>
          </w:tcPr>
          <w:p>
            <w:pPr>
              <w:ind w:left="240"/>
              <w:spacing w:after="0" w:line="142" w:lineRule="exact"/>
              <w:rPr>
                <w:sz w:val="20"/>
                <w:szCs w:val="20"/>
                <w:color w:val="auto"/>
              </w:rPr>
            </w:pPr>
            <w:r>
              <w:rPr>
                <w:rFonts w:ascii="Arial" w:cs="Arial" w:eastAsia="Arial" w:hAnsi="Arial"/>
                <w:sz w:val="13"/>
                <w:szCs w:val="13"/>
                <w:color w:val="auto"/>
              </w:rPr>
              <w:t>President and Chief Executive Officer</w:t>
            </w:r>
          </w:p>
        </w:tc>
      </w:tr>
      <w:tr>
        <w:trPr>
          <w:trHeight w:val="149"/>
        </w:trPr>
        <w:tc>
          <w:tcPr>
            <w:tcW w:w="2740" w:type="dxa"/>
            <w:vAlign w:val="bottom"/>
            <w:shd w:val="clear" w:color="auto" w:fill="D8D8D8"/>
          </w:tcPr>
          <w:p>
            <w:pPr>
              <w:ind w:left="60"/>
              <w:spacing w:after="0"/>
              <w:rPr>
                <w:sz w:val="20"/>
                <w:szCs w:val="20"/>
                <w:color w:val="auto"/>
              </w:rPr>
            </w:pPr>
            <w:r>
              <w:rPr>
                <w:rFonts w:ascii="Arial" w:cs="Arial" w:eastAsia="Arial" w:hAnsi="Arial"/>
                <w:sz w:val="13"/>
                <w:szCs w:val="13"/>
                <w:color w:val="auto"/>
              </w:rPr>
              <w:t>David Arkowitz</w:t>
            </w:r>
            <w:r>
              <w:rPr>
                <w:rFonts w:ascii="Arial" w:cs="Arial" w:eastAsia="Arial" w:hAnsi="Arial"/>
                <w:sz w:val="11"/>
                <w:szCs w:val="11"/>
                <w:color w:val="auto"/>
              </w:rPr>
              <w:t>(2)</w:t>
            </w:r>
          </w:p>
        </w:tc>
        <w:tc>
          <w:tcPr>
            <w:tcW w:w="880" w:type="dxa"/>
            <w:vAlign w:val="bottom"/>
            <w:shd w:val="clear" w:color="auto" w:fill="D8D8D8"/>
          </w:tcPr>
          <w:p>
            <w:pPr>
              <w:jc w:val="center"/>
              <w:ind w:left="73"/>
              <w:spacing w:after="0"/>
              <w:rPr>
                <w:sz w:val="20"/>
                <w:szCs w:val="20"/>
                <w:color w:val="auto"/>
              </w:rPr>
            </w:pPr>
            <w:r>
              <w:rPr>
                <w:rFonts w:ascii="Arial" w:cs="Arial" w:eastAsia="Arial" w:hAnsi="Arial"/>
                <w:sz w:val="13"/>
                <w:szCs w:val="13"/>
                <w:color w:val="auto"/>
                <w:w w:val="96"/>
              </w:rPr>
              <w:t>60</w:t>
            </w:r>
          </w:p>
        </w:tc>
        <w:tc>
          <w:tcPr>
            <w:tcW w:w="74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Executive Vice President, Chief Financial Officer and Head of Business Development</w:t>
            </w:r>
          </w:p>
        </w:tc>
      </w:tr>
      <w:tr>
        <w:trPr>
          <w:trHeight w:val="148"/>
        </w:trPr>
        <w:tc>
          <w:tcPr>
            <w:tcW w:w="2740" w:type="dxa"/>
            <w:vAlign w:val="bottom"/>
          </w:tcPr>
          <w:p>
            <w:pPr>
              <w:ind w:left="60"/>
              <w:spacing w:after="0"/>
              <w:rPr>
                <w:sz w:val="20"/>
                <w:szCs w:val="20"/>
                <w:color w:val="auto"/>
              </w:rPr>
            </w:pPr>
            <w:r>
              <w:rPr>
                <w:rFonts w:ascii="Arial" w:cs="Arial" w:eastAsia="Arial" w:hAnsi="Arial"/>
                <w:sz w:val="13"/>
                <w:szCs w:val="13"/>
                <w:color w:val="auto"/>
              </w:rPr>
              <w:t>Paula Cloghessy</w:t>
            </w:r>
            <w:r>
              <w:rPr>
                <w:rFonts w:ascii="Arial" w:cs="Arial" w:eastAsia="Arial" w:hAnsi="Arial"/>
                <w:sz w:val="11"/>
                <w:szCs w:val="11"/>
                <w:color w:val="auto"/>
              </w:rPr>
              <w:t>(3)</w:t>
            </w:r>
          </w:p>
        </w:tc>
        <w:tc>
          <w:tcPr>
            <w:tcW w:w="880" w:type="dxa"/>
            <w:vAlign w:val="bottom"/>
          </w:tcPr>
          <w:p>
            <w:pPr>
              <w:jc w:val="center"/>
              <w:ind w:left="73"/>
              <w:spacing w:after="0"/>
              <w:rPr>
                <w:sz w:val="20"/>
                <w:szCs w:val="20"/>
                <w:color w:val="auto"/>
              </w:rPr>
            </w:pPr>
            <w:r>
              <w:rPr>
                <w:rFonts w:ascii="Arial" w:cs="Arial" w:eastAsia="Arial" w:hAnsi="Arial"/>
                <w:sz w:val="13"/>
                <w:szCs w:val="13"/>
                <w:color w:val="auto"/>
                <w:w w:val="96"/>
              </w:rPr>
              <w:t>51</w:t>
            </w:r>
          </w:p>
        </w:tc>
        <w:tc>
          <w:tcPr>
            <w:tcW w:w="7400" w:type="dxa"/>
            <w:vAlign w:val="bottom"/>
          </w:tcPr>
          <w:p>
            <w:pPr>
              <w:ind w:left="240"/>
              <w:spacing w:after="0"/>
              <w:rPr>
                <w:sz w:val="20"/>
                <w:szCs w:val="20"/>
                <w:color w:val="auto"/>
              </w:rPr>
            </w:pPr>
            <w:r>
              <w:rPr>
                <w:rFonts w:ascii="Arial" w:cs="Arial" w:eastAsia="Arial" w:hAnsi="Arial"/>
                <w:sz w:val="13"/>
                <w:szCs w:val="13"/>
                <w:color w:val="auto"/>
              </w:rPr>
              <w:t>Executive Vice President and Chief People Officer</w:t>
            </w:r>
          </w:p>
        </w:tc>
      </w:tr>
      <w:tr>
        <w:trPr>
          <w:trHeight w:val="148"/>
        </w:trPr>
        <w:tc>
          <w:tcPr>
            <w:tcW w:w="274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Thomas J. DesRosier</w:t>
            </w:r>
            <w:r>
              <w:rPr>
                <w:rFonts w:ascii="Arial" w:cs="Arial" w:eastAsia="Arial" w:hAnsi="Arial"/>
                <w:sz w:val="11"/>
                <w:szCs w:val="11"/>
                <w:color w:val="auto"/>
              </w:rPr>
              <w:t>(4)</w:t>
            </w:r>
          </w:p>
        </w:tc>
        <w:tc>
          <w:tcPr>
            <w:tcW w:w="880" w:type="dxa"/>
            <w:vAlign w:val="bottom"/>
            <w:shd w:val="clear" w:color="auto" w:fill="D8D8D8"/>
          </w:tcPr>
          <w:p>
            <w:pPr>
              <w:jc w:val="center"/>
              <w:ind w:left="73"/>
              <w:spacing w:after="0"/>
              <w:rPr>
                <w:sz w:val="20"/>
                <w:szCs w:val="20"/>
                <w:color w:val="auto"/>
              </w:rPr>
            </w:pPr>
            <w:r>
              <w:rPr>
                <w:rFonts w:ascii="Arial" w:cs="Arial" w:eastAsia="Arial" w:hAnsi="Arial"/>
                <w:sz w:val="13"/>
                <w:szCs w:val="13"/>
                <w:color w:val="auto"/>
                <w:w w:val="96"/>
              </w:rPr>
              <w:t>67</w:t>
            </w:r>
          </w:p>
        </w:tc>
        <w:tc>
          <w:tcPr>
            <w:tcW w:w="74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Executive Vice President and Chief Legal Officer</w:t>
            </w:r>
          </w:p>
        </w:tc>
      </w:tr>
      <w:tr>
        <w:trPr>
          <w:trHeight w:val="148"/>
        </w:trPr>
        <w:tc>
          <w:tcPr>
            <w:tcW w:w="2740" w:type="dxa"/>
            <w:vAlign w:val="bottom"/>
          </w:tcPr>
          <w:p>
            <w:pPr>
              <w:ind w:left="60"/>
              <w:spacing w:after="0"/>
              <w:rPr>
                <w:sz w:val="20"/>
                <w:szCs w:val="20"/>
                <w:color w:val="auto"/>
              </w:rPr>
            </w:pPr>
            <w:r>
              <w:rPr>
                <w:rFonts w:ascii="Arial" w:cs="Arial" w:eastAsia="Arial" w:hAnsi="Arial"/>
                <w:sz w:val="13"/>
                <w:szCs w:val="13"/>
                <w:color w:val="auto"/>
              </w:rPr>
              <w:t>David S. Ege, Ph.D.</w:t>
            </w:r>
            <w:r>
              <w:rPr>
                <w:rFonts w:ascii="Arial" w:cs="Arial" w:eastAsia="Arial" w:hAnsi="Arial"/>
                <w:sz w:val="11"/>
                <w:szCs w:val="11"/>
                <w:color w:val="auto"/>
              </w:rPr>
              <w:t>(5)</w:t>
            </w:r>
          </w:p>
        </w:tc>
        <w:tc>
          <w:tcPr>
            <w:tcW w:w="880" w:type="dxa"/>
            <w:vAlign w:val="bottom"/>
          </w:tcPr>
          <w:p>
            <w:pPr>
              <w:jc w:val="center"/>
              <w:ind w:left="73"/>
              <w:spacing w:after="0"/>
              <w:rPr>
                <w:sz w:val="20"/>
                <w:szCs w:val="20"/>
                <w:color w:val="auto"/>
              </w:rPr>
            </w:pPr>
            <w:r>
              <w:rPr>
                <w:rFonts w:ascii="Arial" w:cs="Arial" w:eastAsia="Arial" w:hAnsi="Arial"/>
                <w:sz w:val="13"/>
                <w:szCs w:val="13"/>
                <w:color w:val="auto"/>
                <w:w w:val="96"/>
              </w:rPr>
              <w:t>48</w:t>
            </w:r>
          </w:p>
        </w:tc>
        <w:tc>
          <w:tcPr>
            <w:tcW w:w="7400" w:type="dxa"/>
            <w:vAlign w:val="bottom"/>
          </w:tcPr>
          <w:p>
            <w:pPr>
              <w:ind w:left="240"/>
              <w:spacing w:after="0"/>
              <w:rPr>
                <w:sz w:val="20"/>
                <w:szCs w:val="20"/>
                <w:color w:val="auto"/>
              </w:rPr>
            </w:pPr>
            <w:r>
              <w:rPr>
                <w:rFonts w:ascii="Arial" w:cs="Arial" w:eastAsia="Arial" w:hAnsi="Arial"/>
                <w:sz w:val="13"/>
                <w:szCs w:val="13"/>
                <w:color w:val="auto"/>
              </w:rPr>
              <w:t>Executive Vice President and Chief Technology Officer</w:t>
            </w:r>
          </w:p>
        </w:tc>
      </w:tr>
      <w:tr>
        <w:trPr>
          <w:trHeight w:val="148"/>
        </w:trPr>
        <w:tc>
          <w:tcPr>
            <w:tcW w:w="2740" w:type="dxa"/>
            <w:vAlign w:val="bottom"/>
            <w:shd w:val="clear" w:color="auto" w:fill="D8D8D8"/>
          </w:tcPr>
          <w:p>
            <w:pPr>
              <w:ind w:left="60"/>
              <w:spacing w:after="0"/>
              <w:rPr>
                <w:sz w:val="20"/>
                <w:szCs w:val="20"/>
                <w:color w:val="auto"/>
              </w:rPr>
            </w:pPr>
            <w:r>
              <w:rPr>
                <w:rFonts w:ascii="Arial" w:cs="Arial" w:eastAsia="Arial" w:hAnsi="Arial"/>
                <w:sz w:val="13"/>
                <w:szCs w:val="13"/>
                <w:color w:val="auto"/>
              </w:rPr>
              <w:t>Matthew Henn, Ph.D.</w:t>
            </w:r>
            <w:r>
              <w:rPr>
                <w:rFonts w:ascii="Arial" w:cs="Arial" w:eastAsia="Arial" w:hAnsi="Arial"/>
                <w:sz w:val="11"/>
                <w:szCs w:val="11"/>
                <w:color w:val="auto"/>
              </w:rPr>
              <w:t>(6)</w:t>
            </w:r>
          </w:p>
        </w:tc>
        <w:tc>
          <w:tcPr>
            <w:tcW w:w="880" w:type="dxa"/>
            <w:vAlign w:val="bottom"/>
            <w:shd w:val="clear" w:color="auto" w:fill="D8D8D8"/>
          </w:tcPr>
          <w:p>
            <w:pPr>
              <w:jc w:val="center"/>
              <w:ind w:left="73"/>
              <w:spacing w:after="0"/>
              <w:rPr>
                <w:sz w:val="20"/>
                <w:szCs w:val="20"/>
                <w:color w:val="auto"/>
              </w:rPr>
            </w:pPr>
            <w:r>
              <w:rPr>
                <w:rFonts w:ascii="Arial" w:cs="Arial" w:eastAsia="Arial" w:hAnsi="Arial"/>
                <w:sz w:val="13"/>
                <w:szCs w:val="13"/>
                <w:color w:val="auto"/>
                <w:w w:val="96"/>
              </w:rPr>
              <w:t>47</w:t>
            </w:r>
          </w:p>
        </w:tc>
        <w:tc>
          <w:tcPr>
            <w:tcW w:w="7400" w:type="dxa"/>
            <w:vAlign w:val="bottom"/>
            <w:shd w:val="clear" w:color="auto" w:fill="D8D8D8"/>
          </w:tcPr>
          <w:p>
            <w:pPr>
              <w:ind w:left="240"/>
              <w:spacing w:after="0"/>
              <w:rPr>
                <w:sz w:val="20"/>
                <w:szCs w:val="20"/>
                <w:color w:val="auto"/>
              </w:rPr>
            </w:pPr>
            <w:r>
              <w:rPr>
                <w:rFonts w:ascii="Arial" w:cs="Arial" w:eastAsia="Arial" w:hAnsi="Arial"/>
                <w:sz w:val="13"/>
                <w:szCs w:val="13"/>
                <w:color w:val="auto"/>
              </w:rPr>
              <w:t>Executive Vice President and Chief Scientific Officer</w:t>
            </w:r>
          </w:p>
        </w:tc>
      </w:tr>
      <w:tr>
        <w:trPr>
          <w:trHeight w:val="149"/>
        </w:trPr>
        <w:tc>
          <w:tcPr>
            <w:tcW w:w="2740" w:type="dxa"/>
            <w:vAlign w:val="bottom"/>
          </w:tcPr>
          <w:p>
            <w:pPr>
              <w:ind w:left="60"/>
              <w:spacing w:after="0"/>
              <w:rPr>
                <w:sz w:val="20"/>
                <w:szCs w:val="20"/>
                <w:color w:val="auto"/>
              </w:rPr>
            </w:pPr>
            <w:r>
              <w:rPr>
                <w:rFonts w:ascii="Arial" w:cs="Arial" w:eastAsia="Arial" w:hAnsi="Arial"/>
                <w:sz w:val="13"/>
                <w:szCs w:val="13"/>
                <w:color w:val="auto"/>
              </w:rPr>
              <w:t>Lisa von Moltke, M.D.</w:t>
            </w:r>
            <w:r>
              <w:rPr>
                <w:rFonts w:ascii="Arial" w:cs="Arial" w:eastAsia="Arial" w:hAnsi="Arial"/>
                <w:sz w:val="11"/>
                <w:szCs w:val="11"/>
                <w:color w:val="auto"/>
              </w:rPr>
              <w:t>(7)</w:t>
            </w:r>
          </w:p>
        </w:tc>
        <w:tc>
          <w:tcPr>
            <w:tcW w:w="880" w:type="dxa"/>
            <w:vAlign w:val="bottom"/>
          </w:tcPr>
          <w:p>
            <w:pPr>
              <w:jc w:val="center"/>
              <w:ind w:left="73"/>
              <w:spacing w:after="0"/>
              <w:rPr>
                <w:sz w:val="20"/>
                <w:szCs w:val="20"/>
                <w:color w:val="auto"/>
              </w:rPr>
            </w:pPr>
            <w:r>
              <w:rPr>
                <w:rFonts w:ascii="Arial" w:cs="Arial" w:eastAsia="Arial" w:hAnsi="Arial"/>
                <w:sz w:val="13"/>
                <w:szCs w:val="13"/>
                <w:color w:val="auto"/>
                <w:w w:val="96"/>
              </w:rPr>
              <w:t>63</w:t>
            </w:r>
          </w:p>
        </w:tc>
        <w:tc>
          <w:tcPr>
            <w:tcW w:w="7400" w:type="dxa"/>
            <w:vAlign w:val="bottom"/>
          </w:tcPr>
          <w:p>
            <w:pPr>
              <w:ind w:left="240"/>
              <w:spacing w:after="0"/>
              <w:rPr>
                <w:sz w:val="20"/>
                <w:szCs w:val="20"/>
                <w:color w:val="auto"/>
              </w:rPr>
            </w:pPr>
            <w:r>
              <w:rPr>
                <w:rFonts w:ascii="Arial" w:cs="Arial" w:eastAsia="Arial" w:hAnsi="Arial"/>
                <w:sz w:val="13"/>
                <w:szCs w:val="13"/>
                <w:color w:val="auto"/>
              </w:rPr>
              <w:t>Executive Vice President and Chief Medical Officer</w:t>
            </w:r>
          </w:p>
        </w:tc>
      </w:tr>
      <w:tr>
        <w:trPr>
          <w:trHeight w:val="148"/>
        </w:trPr>
        <w:tc>
          <w:tcPr>
            <w:tcW w:w="274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Teresa L. Young, Ph.D.</w:t>
            </w:r>
            <w:r>
              <w:rPr>
                <w:rFonts w:ascii="Arial" w:cs="Arial" w:eastAsia="Arial" w:hAnsi="Arial"/>
                <w:sz w:val="11"/>
                <w:szCs w:val="11"/>
                <w:color w:val="auto"/>
              </w:rPr>
              <w:t>(8)</w:t>
            </w:r>
          </w:p>
        </w:tc>
        <w:tc>
          <w:tcPr>
            <w:tcW w:w="880" w:type="dxa"/>
            <w:vAlign w:val="bottom"/>
            <w:tcBorders>
              <w:bottom w:val="single" w:sz="8" w:color="auto"/>
            </w:tcBorders>
            <w:shd w:val="clear" w:color="auto" w:fill="D8D8D8"/>
          </w:tcPr>
          <w:p>
            <w:pPr>
              <w:jc w:val="center"/>
              <w:ind w:left="73"/>
              <w:spacing w:after="0"/>
              <w:rPr>
                <w:sz w:val="20"/>
                <w:szCs w:val="20"/>
                <w:color w:val="auto"/>
              </w:rPr>
            </w:pPr>
            <w:r>
              <w:rPr>
                <w:rFonts w:ascii="Arial" w:cs="Arial" w:eastAsia="Arial" w:hAnsi="Arial"/>
                <w:sz w:val="13"/>
                <w:szCs w:val="13"/>
                <w:color w:val="auto"/>
                <w:w w:val="96"/>
              </w:rPr>
              <w:t>55</w:t>
            </w:r>
          </w:p>
        </w:tc>
        <w:tc>
          <w:tcPr>
            <w:tcW w:w="7400" w:type="dxa"/>
            <w:vAlign w:val="bottom"/>
            <w:tcBorders>
              <w:bottom w:val="single" w:sz="8" w:color="auto"/>
            </w:tcBorders>
            <w:shd w:val="clear" w:color="auto" w:fill="D8D8D8"/>
          </w:tcPr>
          <w:p>
            <w:pPr>
              <w:ind w:left="240"/>
              <w:spacing w:after="0"/>
              <w:rPr>
                <w:sz w:val="20"/>
                <w:szCs w:val="20"/>
                <w:color w:val="auto"/>
              </w:rPr>
            </w:pPr>
            <w:r>
              <w:rPr>
                <w:rFonts w:ascii="Arial" w:cs="Arial" w:eastAsia="Arial" w:hAnsi="Arial"/>
                <w:sz w:val="13"/>
                <w:szCs w:val="13"/>
                <w:color w:val="auto"/>
              </w:rPr>
              <w:t>Executive Vice President, Chief Commercial and Strategy Officer</w:t>
            </w:r>
          </w:p>
        </w:tc>
      </w:tr>
    </w:tbl>
    <w:p>
      <w:pPr>
        <w:spacing w:after="0" w:line="109"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3"/>
          <w:szCs w:val="13"/>
          <w:color w:val="auto"/>
        </w:rPr>
        <w:t>See biography on page 11 of this proxy statement.</w:t>
      </w:r>
    </w:p>
    <w:p>
      <w:pPr>
        <w:spacing w:after="0" w:line="121" w:lineRule="exact"/>
        <w:rPr>
          <w:sz w:val="20"/>
          <w:szCs w:val="20"/>
          <w:color w:val="auto"/>
        </w:rPr>
      </w:pPr>
    </w:p>
    <w:p>
      <w:pPr>
        <w:ind w:left="340" w:right="40" w:hanging="224"/>
        <w:spacing w:after="0" w:line="241"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3"/>
          <w:szCs w:val="13"/>
          <w:color w:val="auto"/>
        </w:rPr>
        <w:t>David Arkowitz has served as our Executive Vice President, Chief Financial Officer and Head of Business Development since June 2021. Previously, he served as the Chief Financial Officer of Flexion Therapeutics, Inc., a biotechnology company that was acquired by Pacira Biosciences, from May 2018 to May 2021. From September 2013 to May 2018, Mr. Arkowitz served as Chief Operating Officer and Chief Financial Officer at Visterra, Inc., a biotechnology company that was acquired by Otsuka Pharmaceutical Co. He also previously served as Chief Financial Officer at each of Mascoma Corporation, AMAG Pharmaceuticals Inc., and Idenix Pharmaceuticals LLC and held additional leadership positions within each company. Preceding his tenure at Idenix, Mr. Arkowitz spent more than 13 years at Merck &amp; Co., Inc. where he held roles of increasing responsibility, including Vice President and Controller of the U.S. operations, Controller of the global research and development division, and the Chief Financial Officer of Merck’s Canadian subsidiary.</w:t>
      </w:r>
    </w:p>
    <w:p>
      <w:pPr>
        <w:spacing w:after="0" w:line="2" w:lineRule="exact"/>
        <w:rPr>
          <w:rFonts w:ascii="Arial" w:cs="Arial" w:eastAsia="Arial" w:hAnsi="Arial"/>
          <w:sz w:val="11"/>
          <w:szCs w:val="11"/>
          <w:color w:val="auto"/>
        </w:rPr>
      </w:pPr>
    </w:p>
    <w:p>
      <w:pPr>
        <w:jc w:val="both"/>
        <w:ind w:left="340" w:right="100"/>
        <w:spacing w:after="0" w:line="250" w:lineRule="auto"/>
        <w:rPr>
          <w:rFonts w:ascii="Arial" w:cs="Arial" w:eastAsia="Arial" w:hAnsi="Arial"/>
          <w:sz w:val="11"/>
          <w:szCs w:val="11"/>
          <w:color w:val="auto"/>
        </w:rPr>
      </w:pPr>
      <w:r>
        <w:rPr>
          <w:rFonts w:ascii="Arial" w:cs="Arial" w:eastAsia="Arial" w:hAnsi="Arial"/>
          <w:sz w:val="13"/>
          <w:szCs w:val="13"/>
          <w:color w:val="auto"/>
        </w:rPr>
        <w:t>Mr. Arkowitz has served on the boards of directors of F-star Therapeutics, Inc. since November 2020 and Yumanity Therapeutics, Inc. since December 2020 and previously served on the boards of directors of Spring Bank Pharmaceuticals, Inc. from January 2014 to November 2020 and Proteostasis Therapeutics, Inc. from March 2019 to December 2020. He obtained his B.A. in mathematics at Brandeis University and his M.B.A. in finance at Columbia University Business School.</w:t>
      </w:r>
    </w:p>
    <w:p>
      <w:pPr>
        <w:spacing w:after="0" w:line="88" w:lineRule="exact"/>
        <w:rPr>
          <w:sz w:val="20"/>
          <w:szCs w:val="20"/>
          <w:color w:val="auto"/>
        </w:rPr>
      </w:pPr>
    </w:p>
    <w:p>
      <w:pPr>
        <w:ind w:left="340" w:right="160" w:hanging="224"/>
        <w:spacing w:after="0" w:line="247" w:lineRule="auto"/>
        <w:tabs>
          <w:tab w:leader="none" w:pos="340" w:val="left"/>
        </w:tabs>
        <w:numPr>
          <w:ilvl w:val="0"/>
          <w:numId w:val="15"/>
        </w:numPr>
        <w:rPr>
          <w:rFonts w:ascii="Arial" w:cs="Arial" w:eastAsia="Arial" w:hAnsi="Arial"/>
          <w:sz w:val="11"/>
          <w:szCs w:val="11"/>
          <w:color w:val="auto"/>
        </w:rPr>
      </w:pPr>
      <w:r>
        <w:rPr>
          <w:rFonts w:ascii="Arial" w:cs="Arial" w:eastAsia="Arial" w:hAnsi="Arial"/>
          <w:sz w:val="13"/>
          <w:szCs w:val="13"/>
          <w:color w:val="auto"/>
        </w:rPr>
        <w:t>Paula Cloghessy has served as our Executive Vice President and Chief People Officer since February 2022. Previously, Ms. Cloghessy served in roles of increasing seniority at Translate Bio, Inc., or Translate Bio, a biotechnology company acquired by Sanofi S.A., or Sanofi, a global biopharmaceutical company, most recently as Chief People Officer from June 2018 to December 2021, and previously as Senior Vice President, Human Resources from January 2017 to June 2018 and as Vice President, Human Resources from July 2016 until December 2016. In these roles, Ms. Cloghessy was responsible for leading human resources and organizational development and performance. Prior to Translate Bio, Ms. Cloghessy held senior roles at Joule Unlimited Technologies, Inc. and Interleukin Genetics, Inc. Ms. Cloghessy received her B.A. in Psychology from University of Massachusetts, Boston.</w:t>
      </w:r>
    </w:p>
    <w:p>
      <w:pPr>
        <w:spacing w:after="0" w:line="243" w:lineRule="exact"/>
        <w:rPr>
          <w:sz w:val="20"/>
          <w:szCs w:val="20"/>
          <w:color w:val="auto"/>
        </w:rPr>
      </w:pPr>
    </w:p>
    <w:p>
      <w:pPr>
        <w:ind w:left="340" w:right="20" w:hanging="224"/>
        <w:spacing w:after="0" w:line="244" w:lineRule="auto"/>
        <w:tabs>
          <w:tab w:leader="none" w:pos="340" w:val="left"/>
        </w:tabs>
        <w:numPr>
          <w:ilvl w:val="0"/>
          <w:numId w:val="16"/>
        </w:numPr>
        <w:rPr>
          <w:rFonts w:ascii="Arial" w:cs="Arial" w:eastAsia="Arial" w:hAnsi="Arial"/>
          <w:sz w:val="11"/>
          <w:szCs w:val="11"/>
          <w:color w:val="auto"/>
        </w:rPr>
      </w:pPr>
      <w:r>
        <w:rPr>
          <w:rFonts w:ascii="Arial" w:cs="Arial" w:eastAsia="Arial" w:hAnsi="Arial"/>
          <w:sz w:val="13"/>
          <w:szCs w:val="13"/>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246" w:lineRule="exact"/>
        <w:rPr>
          <w:sz w:val="20"/>
          <w:szCs w:val="20"/>
          <w:color w:val="auto"/>
        </w:rPr>
      </w:pPr>
    </w:p>
    <w:p>
      <w:pPr>
        <w:ind w:left="340" w:right="20" w:hanging="224"/>
        <w:spacing w:after="0" w:line="246" w:lineRule="auto"/>
        <w:tabs>
          <w:tab w:leader="none" w:pos="340" w:val="left"/>
        </w:tabs>
        <w:numPr>
          <w:ilvl w:val="0"/>
          <w:numId w:val="17"/>
        </w:numPr>
        <w:rPr>
          <w:rFonts w:ascii="Arial" w:cs="Arial" w:eastAsia="Arial" w:hAnsi="Arial"/>
          <w:sz w:val="11"/>
          <w:szCs w:val="11"/>
          <w:color w:val="auto"/>
        </w:rPr>
      </w:pPr>
      <w:r>
        <w:rPr>
          <w:rFonts w:ascii="Arial" w:cs="Arial" w:eastAsia="Arial" w:hAnsi="Arial"/>
          <w:sz w:val="13"/>
          <w:szCs w:val="13"/>
          <w:color w:val="auto"/>
        </w:rPr>
        <w:t>David S. Ege, Ph.D. has served as our Executive Vice President and Chief Technology Officer since October 2020. Previously, Dr. Ege served in a variety 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w:t>
      </w:r>
      <w:r>
        <w:rPr>
          <w:rFonts w:ascii="Arial" w:cs="Arial" w:eastAsia="Arial" w:hAnsi="Arial"/>
          <w:sz w:val="11"/>
          <w:szCs w:val="11"/>
          <w:color w:val="auto"/>
        </w:rPr>
        <w:t>®</w:t>
      </w:r>
      <w:r>
        <w:rPr>
          <w:rFonts w:ascii="Arial" w:cs="Arial" w:eastAsia="Arial" w:hAnsi="Arial"/>
          <w:sz w:val="13"/>
          <w:szCs w:val="13"/>
          <w:color w:val="auto"/>
        </w:rPr>
        <w:t>, Gardasil9</w:t>
      </w:r>
      <w:r>
        <w:rPr>
          <w:rFonts w:ascii="Arial" w:cs="Arial" w:eastAsia="Arial" w:hAnsi="Arial"/>
          <w:sz w:val="11"/>
          <w:szCs w:val="11"/>
          <w:color w:val="auto"/>
        </w:rPr>
        <w:t>®</w:t>
      </w:r>
      <w:r>
        <w:rPr>
          <w:rFonts w:ascii="Arial" w:cs="Arial" w:eastAsia="Arial" w:hAnsi="Arial"/>
          <w:sz w:val="13"/>
          <w:szCs w:val="13"/>
          <w:color w:val="auto"/>
        </w:rPr>
        <w:t xml:space="preserve"> and Cancidas</w:t>
      </w:r>
      <w:r>
        <w:rPr>
          <w:rFonts w:ascii="Arial" w:cs="Arial" w:eastAsia="Arial" w:hAnsi="Arial"/>
          <w:sz w:val="11"/>
          <w:szCs w:val="11"/>
          <w:color w:val="auto"/>
        </w:rPr>
        <w:t>®</w:t>
      </w:r>
      <w:r>
        <w:rPr>
          <w:rFonts w:ascii="Arial" w:cs="Arial" w:eastAsia="Arial" w:hAnsi="Arial"/>
          <w:sz w:val="13"/>
          <w:szCs w:val="13"/>
          <w:color w:val="auto"/>
        </w:rPr>
        <w:t>. He has contributed to the successful first-in-class licensure and launch of cervical cancer vaccines, Gardasil</w:t>
      </w:r>
      <w:r>
        <w:rPr>
          <w:rFonts w:ascii="Arial" w:cs="Arial" w:eastAsia="Arial" w:hAnsi="Arial"/>
          <w:sz w:val="11"/>
          <w:szCs w:val="11"/>
          <w:color w:val="auto"/>
        </w:rPr>
        <w:t>®</w:t>
      </w:r>
      <w:r>
        <w:rPr>
          <w:rFonts w:ascii="Arial" w:cs="Arial" w:eastAsia="Arial" w:hAnsi="Arial"/>
          <w:sz w:val="13"/>
          <w:szCs w:val="13"/>
          <w:color w:val="auto"/>
        </w:rPr>
        <w:t xml:space="preserve"> (2006) and Gardasil9</w:t>
      </w:r>
      <w:r>
        <w:rPr>
          <w:rFonts w:ascii="Arial" w:cs="Arial" w:eastAsia="Arial" w:hAnsi="Arial"/>
          <w:sz w:val="11"/>
          <w:szCs w:val="11"/>
          <w:color w:val="auto"/>
        </w:rPr>
        <w:t>®</w:t>
      </w:r>
      <w:r>
        <w:rPr>
          <w:rFonts w:ascii="Arial" w:cs="Arial" w:eastAsia="Arial" w:hAnsi="Arial"/>
          <w:sz w:val="13"/>
          <w:szCs w:val="13"/>
          <w:color w:val="auto"/>
        </w:rPr>
        <w:t xml:space="preserve"> (2014), and a breakthrough cancer immunotherapy, Keytruda</w:t>
      </w:r>
      <w:r>
        <w:rPr>
          <w:rFonts w:ascii="Arial" w:cs="Arial" w:eastAsia="Arial" w:hAnsi="Arial"/>
          <w:sz w:val="11"/>
          <w:szCs w:val="11"/>
          <w:color w:val="auto"/>
        </w:rPr>
        <w:t>®</w:t>
      </w:r>
      <w:r>
        <w:rPr>
          <w:rFonts w:ascii="Arial" w:cs="Arial" w:eastAsia="Arial" w:hAnsi="Arial"/>
          <w:sz w:val="13"/>
          <w:szCs w:val="13"/>
          <w:color w:val="auto"/>
        </w:rPr>
        <w:t xml:space="preserve"> (2014). He graduated summa cum laude from Princeton with a B.S.E. in chemical engineering and earned his Ph.D. in chemical engineering from the University of Pennsylvania.</w:t>
      </w:r>
    </w:p>
    <w:p>
      <w:pPr>
        <w:spacing w:after="0" w:line="93" w:lineRule="exact"/>
        <w:rPr>
          <w:sz w:val="20"/>
          <w:szCs w:val="20"/>
          <w:color w:val="auto"/>
        </w:rPr>
      </w:pPr>
    </w:p>
    <w:p>
      <w:pPr>
        <w:ind w:left="340" w:right="20" w:hanging="224"/>
        <w:spacing w:after="0" w:line="246"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3"/>
          <w:szCs w:val="13"/>
          <w:color w:val="auto"/>
        </w:rPr>
        <w:t>Matthew Henn, Ph.D. has served as our Executive Vice President and Chief Scientific Officer since February 2019. Since joining our company at its launch 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the Massachusetts Institute of Technology and Harvard. He currently serves on the board of directors of Microbiome Therapeutics Innovation Group and on the scientific advisory board of Growcentia, Inc., an agricultural microbiome company. Dr. Henn earned his B.S. in Ecology and Evolutionary Sciences from</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340" w:right="280"/>
        <w:spacing w:after="0" w:line="281" w:lineRule="auto"/>
        <w:rPr>
          <w:sz w:val="20"/>
          <w:szCs w:val="20"/>
          <w:color w:val="auto"/>
        </w:rPr>
      </w:pPr>
      <w:r>
        <w:rPr>
          <w:rFonts w:ascii="Arial" w:cs="Arial" w:eastAsia="Arial" w:hAnsi="Arial"/>
          <w:sz w:val="13"/>
          <w:szCs w:val="13"/>
          <w:color w:val="auto"/>
        </w:rPr>
        <w:t>the University of New Hampshire and his Ph.D. in Ecosystem Sciences from the University of California at Berkeley, where he was a NASA Earth Systems Sciences Fellow, and trained as a NSF Postdoctoral Fellow in Microbiology at Duke University.</w:t>
      </w:r>
    </w:p>
    <w:p>
      <w:pPr>
        <w:spacing w:after="0" w:line="68" w:lineRule="exact"/>
        <w:rPr>
          <w:sz w:val="20"/>
          <w:szCs w:val="20"/>
          <w:color w:val="auto"/>
        </w:rPr>
      </w:pPr>
    </w:p>
    <w:p>
      <w:pPr>
        <w:ind w:left="340" w:right="60" w:hanging="224"/>
        <w:spacing w:after="0" w:line="244" w:lineRule="auto"/>
        <w:tabs>
          <w:tab w:leader="none" w:pos="340" w:val="left"/>
        </w:tabs>
        <w:numPr>
          <w:ilvl w:val="0"/>
          <w:numId w:val="19"/>
        </w:numPr>
        <w:rPr>
          <w:rFonts w:ascii="Arial" w:cs="Arial" w:eastAsia="Arial" w:hAnsi="Arial"/>
          <w:sz w:val="11"/>
          <w:szCs w:val="11"/>
          <w:color w:val="auto"/>
        </w:rPr>
      </w:pPr>
      <w:r>
        <w:rPr>
          <w:rFonts w:ascii="Arial" w:cs="Arial" w:eastAsia="Arial" w:hAnsi="Arial"/>
          <w:sz w:val="13"/>
          <w:szCs w:val="13"/>
          <w:color w:val="auto"/>
        </w:rPr>
        <w:t>Lisa von Moltke, M.D. has served as our Executive Vice President and Chief Medical Officer since March 2020. Previously, Dr. von Moltke worked for 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94" w:lineRule="exact"/>
        <w:rPr>
          <w:sz w:val="20"/>
          <w:szCs w:val="20"/>
          <w:color w:val="auto"/>
        </w:rPr>
      </w:pPr>
    </w:p>
    <w:p>
      <w:pPr>
        <w:ind w:left="340" w:hanging="224"/>
        <w:spacing w:after="0" w:line="245" w:lineRule="auto"/>
        <w:tabs>
          <w:tab w:leader="none" w:pos="340" w:val="left"/>
        </w:tabs>
        <w:numPr>
          <w:ilvl w:val="0"/>
          <w:numId w:val="20"/>
        </w:numPr>
        <w:rPr>
          <w:rFonts w:ascii="Arial" w:cs="Arial" w:eastAsia="Arial" w:hAnsi="Arial"/>
          <w:sz w:val="11"/>
          <w:szCs w:val="11"/>
          <w:color w:val="auto"/>
        </w:rPr>
      </w:pPr>
      <w:r>
        <w:rPr>
          <w:rFonts w:ascii="Arial" w:cs="Arial" w:eastAsia="Arial" w:hAnsi="Arial"/>
          <w:sz w:val="13"/>
          <w:szCs w:val="13"/>
          <w:color w:val="auto"/>
        </w:rPr>
        <w:t>Teresa L. Young, Ph.D. has served as our Executive Vice President, Chief Commercial and Strategy Officer since June 2020. Previously, Dr. Young 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w:t>
      </w:r>
      <w:r>
        <w:rPr>
          <w:rFonts w:ascii="Arial" w:cs="Arial" w:eastAsia="Arial" w:hAnsi="Arial"/>
          <w:sz w:val="11"/>
          <w:szCs w:val="11"/>
          <w:color w:val="auto"/>
        </w:rPr>
        <w:t>®</w:t>
      </w:r>
      <w:r>
        <w:rPr>
          <w:rFonts w:ascii="Arial" w:cs="Arial" w:eastAsia="Arial" w:hAnsi="Arial"/>
          <w:sz w:val="13"/>
          <w:szCs w:val="13"/>
          <w:color w:val="auto"/>
        </w:rPr>
        <w:t xml:space="preserve">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has adopted Corporate Governance Guidelines, an Insider Trading Compliance Policy, a Code of Business Conduct and Ethics and charters for the Nominating and Corporate Governance Committee of the Board of Directors (the “Nominating and Corporate Governance Committee”), the Audit Committee and the Compensation and Talent Committee of the Board of Directors (the “Compensation and Talent Committee”) to assist the Board in the exercise of its responsibilities and to serve as a framework for the effective governance of our Company. You can access our current committee charters, our Corporate Governance Guidelines, Insider Trading Compliance Policy, and our Code of Business Conduct and Ethics in the “Corporate Governance” section of the “Investors and News” page of our website located at www.serestherapeutics.com, or by writing to our Secretary at our offices at 200 Sidney Street, Cambridge, MA 02139.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color w:val="auto"/>
        </w:rPr>
        <w:t>Our Board of Directors currently consists of nine members: Eric D. Shaff, Dennis A. Ausiello, M.D., Grégory Behar, Stephen A. Berenson, Paul R. Biondi, Willard H. Dere, M.D., Richard N. Kender, Kurt C. Graves and Meryl S. Zausner.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All of our directors, other than Eric D. Shaff,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as to each of Mr. Berenson and Mr. Biondi, his relationship to, and our transactions with, Flagship Pioneering and its affiliates, and as to Mr. Behar, his relationship to, and our transactions with, Nestlé Health Science US Holdings, Inc. and Société des Produits Nestlé S.A. Mr. Shaff is not independent because he is the President and Chief Executive Officer of our Company. There are no family relationships among any of our directors or executive officers.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7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81"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02139.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0"/>
          <w:szCs w:val="20"/>
          <w:color w:val="auto"/>
        </w:rPr>
      </w:pPr>
    </w:p>
    <w:p>
      <w:pPr>
        <w:ind w:left="120" w:right="760"/>
        <w:spacing w:after="0" w:line="253"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61"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53" w:lineRule="auto"/>
        <w:rPr>
          <w:sz w:val="20"/>
          <w:szCs w:val="20"/>
          <w:color w:val="auto"/>
        </w:rPr>
      </w:pPr>
      <w:r>
        <w:rPr>
          <w:rFonts w:ascii="Arial" w:cs="Arial" w:eastAsia="Arial" w:hAnsi="Arial"/>
          <w:sz w:val="18"/>
          <w:szCs w:val="18"/>
          <w:color w:val="auto"/>
        </w:rPr>
        <w:t>Stockholders who wish to send communications on any topic to an individual director or to the Board should address such communications to such director or to the Board of Directors in writing: c/o Secretary, Seres Therapeutics, Inc., 200 Sidney Street, Cambridge, MA 02139.</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66"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Based on the Company’s present circumstances, the Board believes that the Company and its stockholders are best served by having Mr. Berenson serve as its Chairman of the Board and Mr. Shaff serve as its Chief Executive Officer. Our current leadership structure permits Mr. Shaff to focus his attention on managing our Company and permits Mr. Berenson to manage the Board. Accordingly, we believe our current leadership structure is the optimal structure for us at this time.</w:t>
      </w:r>
    </w:p>
    <w:p>
      <w:pPr>
        <w:spacing w:after="0" w:line="66"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However, our Board of Directors will continue to periodically review our leadership structure and may make such changes in the future as it deems appropriate. 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w:t>
      </w:r>
    </w:p>
    <w:p>
      <w:pPr>
        <w:spacing w:after="0" w:line="7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In addition, our Audit Committee has the responsibility to consider the adequacy and effectiveness of our information security policies and practices, including those concerning data privacy and cybersecurity. The Audit Committee also monitors compliance with legal and regulatory requirements and considers and approves or disapproves any related person transactions. Our Nominating and Corporate Governance Committee oversees risks associated with our corporate governance framework and monitors the effectiveness of our environmental, social and corporate governance (“ESG”) strategy and the Corporate Governance Guidelines. Our Compensation and Talent Committee assesses and monitors whether any of our compensation policies and programs has the potential to encourage excessive risk-taking. The allocation of risk oversight among the Board and its committees is consistent with the Board’s leadership structure.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ENVIRONMENTAL, SOCIAL AND CORPORATE GOVERNANCE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80"/>
        <w:spacing w:after="0" w:line="259" w:lineRule="auto"/>
        <w:rPr>
          <w:sz w:val="20"/>
          <w:szCs w:val="20"/>
          <w:color w:val="auto"/>
        </w:rPr>
      </w:pPr>
      <w:r>
        <w:rPr>
          <w:rFonts w:ascii="Arial" w:cs="Arial" w:eastAsia="Arial" w:hAnsi="Arial"/>
          <w:sz w:val="17"/>
          <w:szCs w:val="17"/>
          <w:color w:val="auto"/>
        </w:rPr>
        <w:t>We are committed to policies and practices focused on ESG matters, which commitment is shaped by our values and aim to make a positive impact in our communities. We have a history and culture of community service and continue to be involved in and supportive of Life Science Cares and Special Olympics Massachusetts. One of the 2021 initiatives that we are most proud of is a student education outreach program, Seres Scholars, which is a partnership with the Cambridge Rindge &amp; Latin School to promote equity in education by providing career mentorship, guidance, and opportunities for underserved students from our community. The program values and celebrates diversity, equity, and inclusion, and awards high school seniors with a Seres scholarship after a year and a half of participation.</w:t>
      </w:r>
    </w:p>
    <w:p>
      <w:pPr>
        <w:spacing w:after="0" w:line="5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also believe that our long-term success and ability to deliver innovative, safe and effective medicines to patients requires a diverse and inclusive workforce. We value diversity at all levels of the organization and continue to focus on extending our diversity, equity and inclusion initiatives across our entire workforce, including by working with managers to develop strategies for building diverse, high performing teams; working to attract, develop and retain diverse talent from all backgrounds; increasing awareness within our company of unconscious biases; and supporting employee affinity groups comprised of individuals who are underrepresented in our company, industry or society, such as women, members of the LGBTQ+ community and people of color. In addition, we strive to engender an open culture of mutual respect among co-workers, and one that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as relevant corporate culture, diversity, equity and inclusion, employee development and retention, and compensation and benefits.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0"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(“Latham”), distributed board evaluations to our Board and each Board member returned an evaluation anonymously. Latham tabulated the results and presented them to the Nominating and Corporate Governance Committee for review and discussion.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and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purchasing financial instruments such as zero-cost collars and forward sale contracts,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pledging the Company’s securities as collateral to secure loans.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There were eight meetings of the Board of Directors during the fiscal year ended December 31, 2021. During the fiscal year ended December 31, 2021, each director attended at least 80% of the aggregate of all meetings of the Board of Directors and meetings of the committees on which the Director served during the period in which he or she served as a director.</w:t>
      </w:r>
    </w:p>
    <w:p>
      <w:pPr>
        <w:spacing w:after="0" w:line="6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directors will attend absent compelling circumstances. All of our then-incumbent directors attended our annual meeting of stockholders held in 2021.</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860"/>
          </w:cols>
          <w:pgMar w:left="320" w:top="455"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Our Board has established three standing committees—Audit, Compensation and Talent and Nominating and Corporate Governance— each of which operates under a written charter that has been approved by our Board. All of the members of each of the Board’s three standing committees are independent as defined under the Nasdaq rules. Our Board of Directors has determined that Richard N. Kender, Willard H. Dere, M.D., and Meryl S. Zausner meet the independence requirements of Rule 10A-3 under the Securities Exchange Act of 1934, as amended (the “Exchange Act”). All members of the Compensation and Talent Committee meet the heightened standard for independence specific to members of a compensation committee under the Nasdaq rules and each qualifies as a “non-employee director” as defined in Rule 16b-3 of the Exchange Act. All members of the Nominating and Corporate Governance Committee are independent under the Nasdaq rules.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80" w:type="dxa"/>
            <w:vAlign w:val="bottom"/>
            <w:vMerge w:val="restart"/>
            <w:shd w:val="clear" w:color="auto" w:fill="E5E5E5"/>
          </w:tcPr>
          <w:p>
            <w:pPr>
              <w:ind w:left="60"/>
              <w:spacing w:after="0"/>
              <w:rPr>
                <w:sz w:val="20"/>
                <w:szCs w:val="20"/>
                <w:color w:val="auto"/>
              </w:rPr>
            </w:pPr>
            <w:r>
              <w:rPr>
                <w:rFonts w:ascii="Arial" w:cs="Arial" w:eastAsia="Arial" w:hAnsi="Arial"/>
                <w:sz w:val="13"/>
                <w:szCs w:val="13"/>
                <w:b w:val="1"/>
                <w:bCs w:val="1"/>
                <w:color w:val="auto"/>
              </w:rPr>
              <w:t>Name</w:t>
            </w:r>
          </w:p>
        </w:tc>
        <w:tc>
          <w:tcPr>
            <w:tcW w:w="1800" w:type="dxa"/>
            <w:vAlign w:val="bottom"/>
            <w:shd w:val="clear" w:color="auto" w:fill="E5E5E5"/>
          </w:tcPr>
          <w:p>
            <w:pPr>
              <w:ind w:left="700"/>
              <w:spacing w:after="0"/>
              <w:rPr>
                <w:sz w:val="20"/>
                <w:szCs w:val="20"/>
                <w:color w:val="auto"/>
              </w:rPr>
            </w:pPr>
            <w:r>
              <w:rPr>
                <w:rFonts w:ascii="Arial" w:cs="Arial" w:eastAsia="Arial" w:hAnsi="Arial"/>
                <w:sz w:val="13"/>
                <w:szCs w:val="13"/>
                <w:b w:val="1"/>
                <w:bCs w:val="1"/>
                <w:color w:val="auto"/>
              </w:rPr>
              <w:t>Audit</w:t>
            </w:r>
          </w:p>
        </w:tc>
        <w:tc>
          <w:tcPr>
            <w:tcW w:w="264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Compensation and</w:t>
            </w:r>
          </w:p>
        </w:tc>
        <w:tc>
          <w:tcPr>
            <w:tcW w:w="2300" w:type="dxa"/>
            <w:vAlign w:val="bottom"/>
            <w:shd w:val="clear" w:color="auto" w:fill="E5E5E5"/>
          </w:tcPr>
          <w:p>
            <w:pPr>
              <w:jc w:val="center"/>
              <w:ind w:left="453"/>
              <w:spacing w:after="0"/>
              <w:rPr>
                <w:sz w:val="20"/>
                <w:szCs w:val="20"/>
                <w:color w:val="auto"/>
              </w:rPr>
            </w:pPr>
            <w:r>
              <w:rPr>
                <w:rFonts w:ascii="Arial" w:cs="Arial" w:eastAsia="Arial" w:hAnsi="Arial"/>
                <w:sz w:val="13"/>
                <w:szCs w:val="13"/>
                <w:b w:val="1"/>
                <w:bCs w:val="1"/>
                <w:color w:val="auto"/>
              </w:rPr>
              <w:t>Nominating and</w:t>
            </w:r>
          </w:p>
        </w:tc>
        <w:tc>
          <w:tcPr>
            <w:tcW w:w="0" w:type="dxa"/>
            <w:vAlign w:val="bottom"/>
          </w:tcPr>
          <w:p>
            <w:pPr>
              <w:spacing w:after="0"/>
              <w:rPr>
                <w:sz w:val="1"/>
                <w:szCs w:val="1"/>
                <w:color w:val="auto"/>
              </w:rPr>
            </w:pPr>
          </w:p>
        </w:tc>
      </w:tr>
      <w:tr>
        <w:trPr>
          <w:trHeight w:val="175"/>
        </w:trPr>
        <w:tc>
          <w:tcPr>
            <w:tcW w:w="4280" w:type="dxa"/>
            <w:vAlign w:val="bottom"/>
            <w:tcBorders>
              <w:bottom w:val="single" w:sz="8" w:color="auto"/>
            </w:tcBorders>
            <w:vMerge w:val="continue"/>
            <w:shd w:val="clear" w:color="auto" w:fill="E5E5E5"/>
          </w:tcPr>
          <w:p>
            <w:pPr>
              <w:spacing w:after="0"/>
              <w:rPr>
                <w:sz w:val="15"/>
                <w:szCs w:val="15"/>
                <w:color w:val="auto"/>
              </w:rPr>
            </w:pPr>
          </w:p>
        </w:tc>
        <w:tc>
          <w:tcPr>
            <w:tcW w:w="1800" w:type="dxa"/>
            <w:vAlign w:val="bottom"/>
            <w:tcBorders>
              <w:bottom w:val="single" w:sz="8" w:color="auto"/>
            </w:tcBorders>
            <w:shd w:val="clear" w:color="auto" w:fill="E5E5E5"/>
          </w:tcPr>
          <w:p>
            <w:pPr>
              <w:spacing w:after="0"/>
              <w:rPr>
                <w:sz w:val="15"/>
                <w:szCs w:val="15"/>
                <w:color w:val="auto"/>
              </w:rPr>
            </w:pPr>
          </w:p>
        </w:tc>
        <w:tc>
          <w:tcPr>
            <w:tcW w:w="26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Talent</w:t>
            </w:r>
          </w:p>
        </w:tc>
        <w:tc>
          <w:tcPr>
            <w:tcW w:w="2300" w:type="dxa"/>
            <w:vAlign w:val="bottom"/>
            <w:tcBorders>
              <w:bottom w:val="single" w:sz="8" w:color="auto"/>
            </w:tcBorders>
            <w:shd w:val="clear" w:color="auto" w:fill="E5E5E5"/>
          </w:tcPr>
          <w:p>
            <w:pPr>
              <w:jc w:val="center"/>
              <w:ind w:left="453"/>
              <w:spacing w:after="0"/>
              <w:rPr>
                <w:sz w:val="20"/>
                <w:szCs w:val="20"/>
                <w:color w:val="auto"/>
              </w:rPr>
            </w:pPr>
            <w:r>
              <w:rPr>
                <w:rFonts w:ascii="Arial" w:cs="Arial" w:eastAsia="Arial" w:hAnsi="Arial"/>
                <w:sz w:val="13"/>
                <w:szCs w:val="13"/>
                <w:b w:val="1"/>
                <w:bCs w:val="1"/>
                <w:color w:val="auto"/>
              </w:rPr>
              <w:t>Corporate Governance</w:t>
            </w:r>
          </w:p>
        </w:tc>
        <w:tc>
          <w:tcPr>
            <w:tcW w:w="0" w:type="dxa"/>
            <w:vAlign w:val="bottom"/>
          </w:tcPr>
          <w:p>
            <w:pPr>
              <w:spacing w:after="0"/>
              <w:rPr>
                <w:sz w:val="1"/>
                <w:szCs w:val="1"/>
                <w:color w:val="auto"/>
              </w:rPr>
            </w:pPr>
          </w:p>
        </w:tc>
      </w:tr>
      <w:tr>
        <w:trPr>
          <w:trHeight w:val="142"/>
        </w:trPr>
        <w:tc>
          <w:tcPr>
            <w:tcW w:w="4280" w:type="dxa"/>
            <w:vAlign w:val="bottom"/>
          </w:tcPr>
          <w:p>
            <w:pPr>
              <w:ind w:left="60"/>
              <w:spacing w:after="0" w:line="142" w:lineRule="exact"/>
              <w:rPr>
                <w:sz w:val="20"/>
                <w:szCs w:val="20"/>
                <w:color w:val="auto"/>
              </w:rPr>
            </w:pPr>
            <w:r>
              <w:rPr>
                <w:rFonts w:ascii="Arial" w:cs="Arial" w:eastAsia="Arial" w:hAnsi="Arial"/>
                <w:sz w:val="13"/>
                <w:szCs w:val="13"/>
                <w:color w:val="auto"/>
              </w:rPr>
              <w:t>Dennis A. Ausiello, M.D.</w:t>
            </w:r>
          </w:p>
        </w:tc>
        <w:tc>
          <w:tcPr>
            <w:tcW w:w="1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00" w:type="dxa"/>
            <w:vAlign w:val="bottom"/>
          </w:tcPr>
          <w:p>
            <w:pPr>
              <w:jc w:val="center"/>
              <w:ind w:left="453"/>
              <w:spacing w:after="0" w:line="142"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8"/>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Stephen A. Berenson</w:t>
            </w:r>
          </w:p>
        </w:tc>
        <w:tc>
          <w:tcPr>
            <w:tcW w:w="1800" w:type="dxa"/>
            <w:vAlign w:val="bottom"/>
            <w:shd w:val="clear" w:color="auto" w:fill="D8D8D8"/>
          </w:tcPr>
          <w:p>
            <w:pPr>
              <w:spacing w:after="0"/>
              <w:rPr>
                <w:sz w:val="12"/>
                <w:szCs w:val="12"/>
                <w:color w:val="auto"/>
              </w:rPr>
            </w:pPr>
          </w:p>
        </w:tc>
        <w:tc>
          <w:tcPr>
            <w:tcW w:w="2640" w:type="dxa"/>
            <w:vAlign w:val="bottom"/>
            <w:shd w:val="clear" w:color="auto" w:fill="D8D8D8"/>
          </w:tcPr>
          <w:p>
            <w:pPr>
              <w:spacing w:after="0"/>
              <w:rPr>
                <w:sz w:val="12"/>
                <w:szCs w:val="12"/>
                <w:color w:val="auto"/>
              </w:rPr>
            </w:pPr>
          </w:p>
        </w:tc>
        <w:tc>
          <w:tcPr>
            <w:tcW w:w="2300" w:type="dxa"/>
            <w:vAlign w:val="bottom"/>
            <w:shd w:val="clear" w:color="auto" w:fill="D8D8D8"/>
          </w:tcPr>
          <w:p>
            <w:pPr>
              <w:jc w:val="center"/>
              <w:ind w:left="433"/>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Paul R. Biondi</w:t>
            </w:r>
          </w:p>
        </w:tc>
        <w:tc>
          <w:tcPr>
            <w:tcW w:w="1800" w:type="dxa"/>
            <w:vAlign w:val="bottom"/>
          </w:tcPr>
          <w:p>
            <w:pPr>
              <w:spacing w:after="0"/>
              <w:rPr>
                <w:sz w:val="12"/>
                <w:szCs w:val="12"/>
                <w:color w:val="auto"/>
              </w:rPr>
            </w:pPr>
          </w:p>
        </w:tc>
        <w:tc>
          <w:tcPr>
            <w:tcW w:w="26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Grégory Behar</w:t>
            </w:r>
          </w:p>
        </w:tc>
        <w:tc>
          <w:tcPr>
            <w:tcW w:w="1800" w:type="dxa"/>
            <w:vAlign w:val="bottom"/>
            <w:shd w:val="clear" w:color="auto" w:fill="D8D8D8"/>
          </w:tcPr>
          <w:p>
            <w:pPr>
              <w:spacing w:after="0"/>
              <w:rPr>
                <w:sz w:val="12"/>
                <w:szCs w:val="12"/>
                <w:color w:val="auto"/>
              </w:rPr>
            </w:pPr>
          </w:p>
        </w:tc>
        <w:tc>
          <w:tcPr>
            <w:tcW w:w="2640" w:type="dxa"/>
            <w:vAlign w:val="bottom"/>
            <w:shd w:val="clear" w:color="auto" w:fill="D8D8D8"/>
          </w:tcPr>
          <w:p>
            <w:pPr>
              <w:spacing w:after="0"/>
              <w:rPr>
                <w:sz w:val="12"/>
                <w:szCs w:val="12"/>
                <w:color w:val="auto"/>
              </w:rPr>
            </w:pPr>
          </w:p>
        </w:tc>
        <w:tc>
          <w:tcPr>
            <w:tcW w:w="2300" w:type="dxa"/>
            <w:vAlign w:val="bottom"/>
            <w:shd w:val="clear" w:color="auto" w:fill="D8D8D8"/>
          </w:tcPr>
          <w:p>
            <w:pPr>
              <w:jc w:val="center"/>
              <w:ind w:left="453"/>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Willard H. Dere, M.D.</w:t>
            </w:r>
          </w:p>
        </w:tc>
        <w:tc>
          <w:tcPr>
            <w:tcW w:w="1800" w:type="dxa"/>
            <w:vAlign w:val="bottom"/>
          </w:tcPr>
          <w:p>
            <w:pPr>
              <w:ind w:left="700"/>
              <w:spacing w:after="0"/>
              <w:rPr>
                <w:sz w:val="20"/>
                <w:szCs w:val="20"/>
                <w:color w:val="auto"/>
              </w:rPr>
            </w:pPr>
            <w:r>
              <w:rPr>
                <w:rFonts w:ascii="Arial" w:cs="Arial" w:eastAsia="Arial" w:hAnsi="Arial"/>
                <w:sz w:val="13"/>
                <w:szCs w:val="13"/>
                <w:color w:val="auto"/>
              </w:rPr>
              <w:t>X</w:t>
            </w:r>
          </w:p>
        </w:tc>
        <w:tc>
          <w:tcPr>
            <w:tcW w:w="2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D8D8D8"/>
          </w:tcPr>
          <w:p>
            <w:pPr>
              <w:ind w:left="60"/>
              <w:spacing w:after="0"/>
              <w:rPr>
                <w:sz w:val="20"/>
                <w:szCs w:val="20"/>
                <w:color w:val="auto"/>
              </w:rPr>
            </w:pPr>
            <w:r>
              <w:rPr>
                <w:rFonts w:ascii="Arial" w:cs="Arial" w:eastAsia="Arial" w:hAnsi="Arial"/>
                <w:sz w:val="13"/>
                <w:szCs w:val="13"/>
                <w:color w:val="auto"/>
              </w:rPr>
              <w:t>Kurt C. Graves</w:t>
            </w:r>
          </w:p>
        </w:tc>
        <w:tc>
          <w:tcPr>
            <w:tcW w:w="1800" w:type="dxa"/>
            <w:vAlign w:val="bottom"/>
            <w:shd w:val="clear" w:color="auto" w:fill="D8D8D8"/>
          </w:tcPr>
          <w:p>
            <w:pPr>
              <w:spacing w:after="0"/>
              <w:rPr>
                <w:sz w:val="12"/>
                <w:szCs w:val="12"/>
                <w:color w:val="auto"/>
              </w:rPr>
            </w:pPr>
          </w:p>
        </w:tc>
        <w:tc>
          <w:tcPr>
            <w:tcW w:w="2640" w:type="dxa"/>
            <w:vAlign w:val="bottom"/>
            <w:shd w:val="clear" w:color="auto" w:fill="D8D8D8"/>
          </w:tcPr>
          <w:p>
            <w:pPr>
              <w:jc w:val="center"/>
              <w:spacing w:after="0"/>
              <w:rPr>
                <w:sz w:val="20"/>
                <w:szCs w:val="20"/>
                <w:color w:val="auto"/>
              </w:rPr>
            </w:pPr>
            <w:r>
              <w:rPr>
                <w:rFonts w:ascii="Arial" w:cs="Arial" w:eastAsia="Arial" w:hAnsi="Arial"/>
                <w:sz w:val="13"/>
                <w:szCs w:val="13"/>
                <w:color w:val="auto"/>
              </w:rPr>
              <w:t>Chair</w:t>
            </w:r>
          </w:p>
        </w:tc>
        <w:tc>
          <w:tcPr>
            <w:tcW w:w="23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ind w:left="60"/>
              <w:spacing w:after="0"/>
              <w:rPr>
                <w:sz w:val="20"/>
                <w:szCs w:val="20"/>
                <w:color w:val="auto"/>
              </w:rPr>
            </w:pPr>
            <w:r>
              <w:rPr>
                <w:rFonts w:ascii="Arial" w:cs="Arial" w:eastAsia="Arial" w:hAnsi="Arial"/>
                <w:sz w:val="13"/>
                <w:szCs w:val="13"/>
                <w:color w:val="auto"/>
              </w:rPr>
              <w:t>Richard N. Kender</w:t>
            </w:r>
          </w:p>
        </w:tc>
        <w:tc>
          <w:tcPr>
            <w:tcW w:w="1800" w:type="dxa"/>
            <w:vAlign w:val="bottom"/>
          </w:tcPr>
          <w:p>
            <w:pPr>
              <w:ind w:left="600"/>
              <w:spacing w:after="0"/>
              <w:rPr>
                <w:sz w:val="20"/>
                <w:szCs w:val="20"/>
                <w:color w:val="auto"/>
              </w:rPr>
            </w:pPr>
            <w:r>
              <w:rPr>
                <w:rFonts w:ascii="Arial" w:cs="Arial" w:eastAsia="Arial" w:hAnsi="Arial"/>
                <w:sz w:val="13"/>
                <w:szCs w:val="13"/>
                <w:color w:val="auto"/>
              </w:rPr>
              <w:t>Chair</w:t>
            </w:r>
          </w:p>
        </w:tc>
        <w:tc>
          <w:tcPr>
            <w:tcW w:w="26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Meryl S. Zausner</w:t>
            </w:r>
          </w:p>
        </w:tc>
        <w:tc>
          <w:tcPr>
            <w:tcW w:w="1800" w:type="dxa"/>
            <w:vAlign w:val="bottom"/>
            <w:tcBorders>
              <w:bottom w:val="single" w:sz="8" w:color="auto"/>
            </w:tcBorders>
            <w:shd w:val="clear" w:color="auto" w:fill="D8D8D8"/>
          </w:tcPr>
          <w:p>
            <w:pPr>
              <w:ind w:left="700"/>
              <w:spacing w:after="0"/>
              <w:rPr>
                <w:sz w:val="20"/>
                <w:szCs w:val="20"/>
                <w:color w:val="auto"/>
              </w:rPr>
            </w:pPr>
            <w:r>
              <w:rPr>
                <w:rFonts w:ascii="Arial" w:cs="Arial" w:eastAsia="Arial" w:hAnsi="Arial"/>
                <w:sz w:val="13"/>
                <w:szCs w:val="13"/>
                <w:color w:val="auto"/>
              </w:rPr>
              <w:t>X</w:t>
            </w:r>
          </w:p>
        </w:tc>
        <w:tc>
          <w:tcPr>
            <w:tcW w:w="26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1"/>
              </w:rPr>
              <w:t>X</w:t>
            </w:r>
          </w:p>
        </w:tc>
        <w:tc>
          <w:tcPr>
            <w:tcW w:w="230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489"/>
        </w:trPr>
        <w:tc>
          <w:tcPr>
            <w:tcW w:w="4280" w:type="dxa"/>
            <w:vAlign w:val="bottom"/>
          </w:tcPr>
          <w:p>
            <w:pPr>
              <w:spacing w:after="0"/>
              <w:rPr>
                <w:sz w:val="20"/>
                <w:szCs w:val="20"/>
                <w:color w:val="auto"/>
              </w:rPr>
            </w:pPr>
            <w:r>
              <w:rPr>
                <w:rFonts w:ascii="Arial" w:cs="Arial" w:eastAsia="Arial" w:hAnsi="Arial"/>
                <w:sz w:val="13"/>
                <w:szCs w:val="13"/>
                <w:b w:val="1"/>
                <w:bCs w:val="1"/>
                <w:color w:val="auto"/>
              </w:rPr>
              <w:t>AUDIT COMMITTEE</w:t>
            </w:r>
          </w:p>
        </w:tc>
        <w:tc>
          <w:tcPr>
            <w:tcW w:w="18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2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280" w:type="dxa"/>
            <w:vAlign w:val="bottom"/>
          </w:tcPr>
          <w:p>
            <w:pPr>
              <w:spacing w:after="0"/>
              <w:rPr>
                <w:sz w:val="20"/>
                <w:szCs w:val="20"/>
                <w:color w:val="auto"/>
              </w:rPr>
            </w:pPr>
            <w:r>
              <w:rPr>
                <w:rFonts w:ascii="Arial" w:cs="Arial" w:eastAsia="Arial" w:hAnsi="Arial"/>
                <w:sz w:val="18"/>
                <w:szCs w:val="18"/>
                <w:color w:val="auto"/>
              </w:rPr>
              <w:t>Our Audit Committee’s responsibilities include:</w:t>
            </w:r>
          </w:p>
        </w:tc>
        <w:tc>
          <w:tcPr>
            <w:tcW w:w="18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540" w:right="560" w:hanging="439"/>
        <w:spacing w:after="0" w:line="271"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5" w:lineRule="exact"/>
        <w:rPr>
          <w:rFonts w:ascii="Arial" w:cs="Arial" w:eastAsia="Arial" w:hAnsi="Arial"/>
          <w:sz w:val="18"/>
          <w:szCs w:val="18"/>
          <w:color w:val="auto"/>
        </w:rPr>
      </w:pPr>
    </w:p>
    <w:p>
      <w:pPr>
        <w:ind w:left="1540" w:right="1100" w:hanging="439"/>
        <w:spacing w:after="0" w:line="271"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5" w:lineRule="exact"/>
        <w:rPr>
          <w:rFonts w:ascii="Arial" w:cs="Arial" w:eastAsia="Arial" w:hAnsi="Arial"/>
          <w:sz w:val="18"/>
          <w:szCs w:val="18"/>
          <w:color w:val="auto"/>
        </w:rPr>
      </w:pPr>
    </w:p>
    <w:p>
      <w:pPr>
        <w:ind w:left="1540" w:right="560" w:hanging="439"/>
        <w:spacing w:after="0" w:line="271"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5" w:lineRule="exact"/>
        <w:rPr>
          <w:rFonts w:ascii="Arial" w:cs="Arial" w:eastAsia="Arial" w:hAnsi="Arial"/>
          <w:sz w:val="18"/>
          <w:szCs w:val="18"/>
          <w:color w:val="auto"/>
        </w:rPr>
      </w:pPr>
    </w:p>
    <w:p>
      <w:pPr>
        <w:ind w:left="1540" w:right="40" w:hanging="439"/>
        <w:spacing w:after="0" w:line="271"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63" w:lineRule="exact"/>
        <w:rPr>
          <w:rFonts w:ascii="Arial" w:cs="Arial" w:eastAsia="Arial" w:hAnsi="Arial"/>
          <w:sz w:val="18"/>
          <w:szCs w:val="18"/>
          <w:color w:val="auto"/>
        </w:rPr>
      </w:pPr>
    </w:p>
    <w:p>
      <w:pPr>
        <w:ind w:left="1540" w:right="100" w:hanging="439"/>
        <w:spacing w:after="0" w:line="271"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 w:lineRule="exact"/>
        <w:rPr>
          <w:rFonts w:ascii="Arial" w:cs="Arial" w:eastAsia="Arial" w:hAnsi="Arial"/>
          <w:sz w:val="18"/>
          <w:szCs w:val="18"/>
          <w:color w:val="auto"/>
        </w:rPr>
      </w:pPr>
    </w:p>
    <w:p>
      <w:pPr>
        <w:ind w:left="1540" w:right="820" w:hanging="439"/>
        <w:spacing w:after="0" w:line="271"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17 of this proxy statement).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members of the Audit Committee are Dr. Dere, Mr. Kender and Ms. Zausner. Mr. Kender serves as the Chairperson of the committee. The members of our Audit Committee meet the requirements for financial literacy under the applicable rules of Nasdaq. Our Board of Directors has determined that each of Dr. Dere, Mr. Kender and Ms. Zausner is an “audit committee financial expert” as defined by Item 407(d)(5)(ii) of Regulation S-K.</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met six times in 2021.</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Our Compensation and Talent Committee is responsible for assisting the Board in the discharge of its responsibilities relating to the compensation of our executive officers, as well as the evaluation, talent development and succession planning for our executive officers and other senior executives. In fulfilling its purpose, our Compensation and Talent Committee has the following principal duties:</w:t>
      </w:r>
    </w:p>
    <w:p>
      <w:pPr>
        <w:spacing w:after="0" w:line="74" w:lineRule="exact"/>
        <w:rPr>
          <w:sz w:val="20"/>
          <w:szCs w:val="20"/>
          <w:color w:val="auto"/>
        </w:rPr>
      </w:pPr>
    </w:p>
    <w:p>
      <w:pPr>
        <w:ind w:left="1540" w:right="560" w:hanging="439"/>
        <w:spacing w:after="0" w:line="271"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annually reviewing and recommending corporate goals and objectives relevant to the compensation for our Chief Executive Officer;</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recommending our Chief Executive Officer’s compensation to the Board for approval;</w:t>
      </w:r>
    </w:p>
    <w:p>
      <w:pPr>
        <w:spacing w:after="0" w:line="63" w:lineRule="exact"/>
        <w:rPr>
          <w:rFonts w:ascii="Arial" w:cs="Arial" w:eastAsia="Arial" w:hAnsi="Arial"/>
          <w:sz w:val="18"/>
          <w:szCs w:val="18"/>
          <w:color w:val="auto"/>
        </w:rPr>
      </w:pPr>
    </w:p>
    <w:p>
      <w:pPr>
        <w:ind w:left="1540" w:right="480" w:hanging="439"/>
        <w:spacing w:after="0" w:line="271"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the development of our senior executives;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our diversity and inclusion policies and practices;</w:t>
      </w:r>
    </w:p>
    <w:p>
      <w:pPr>
        <w:spacing w:after="0" w:line="63" w:lineRule="exact"/>
        <w:rPr>
          <w:rFonts w:ascii="Arial" w:cs="Arial" w:eastAsia="Arial" w:hAnsi="Arial"/>
          <w:sz w:val="18"/>
          <w:szCs w:val="18"/>
          <w:color w:val="auto"/>
        </w:rPr>
      </w:pPr>
    </w:p>
    <w:p>
      <w:pPr>
        <w:ind w:left="1540" w:right="740" w:hanging="439"/>
        <w:spacing w:after="0" w:line="271"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periodically reviewing our succession plans for senior executives, other that the Chief Executive Officer, whose succession plan is reviewed by our Nominating &amp; Corporate Governance Committee;</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preparing the annual Compensation and Talent Committee report, if required by SEC rules.</w:t>
      </w:r>
    </w:p>
    <w:p>
      <w:pPr>
        <w:spacing w:after="0" w:line="104"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The Compensation and Talent Committee has the authority to retain or obtain the advice of compensation consultants, legal counsel and other advisors to assist in carrying out its responsibilities. For information regarding the role of our compensation consultants in determining our executive compensation, please refer to the section entitled “Executive and Director Compensation— Compensation Setting Process.”</w:t>
      </w:r>
    </w:p>
    <w:p>
      <w:pPr>
        <w:spacing w:after="0" w:line="6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Compensation and Talent Committee may delegate its authority under its charter to one or more subcommittees as it deems appropriate from time to time as further described in its charter, which is available on our website at www.serestherapeutics.com. The Compensation and Talent Committee may also delegate to an officer the authority to grant equity awards to certain employees, as further described in its charter and subject to the terms of our equity plans.</w:t>
      </w:r>
    </w:p>
    <w:p>
      <w:pPr>
        <w:spacing w:after="0" w:line="66" w:lineRule="exact"/>
        <w:rPr>
          <w:sz w:val="20"/>
          <w:szCs w:val="20"/>
          <w:color w:val="auto"/>
        </w:rPr>
      </w:pPr>
    </w:p>
    <w:p>
      <w:pPr>
        <w:ind w:left="120" w:right="160"/>
        <w:spacing w:after="0" w:line="301" w:lineRule="auto"/>
        <w:rPr>
          <w:sz w:val="20"/>
          <w:szCs w:val="20"/>
          <w:color w:val="auto"/>
        </w:rPr>
      </w:pPr>
      <w:r>
        <w:rPr>
          <w:rFonts w:ascii="Arial" w:cs="Arial" w:eastAsia="Arial" w:hAnsi="Arial"/>
          <w:sz w:val="17"/>
          <w:szCs w:val="17"/>
          <w:color w:val="auto"/>
        </w:rPr>
        <w:t>The members of our Compensation and Talent Committee are Messrs. Biondi, Graves and Kender and Ms. Zausner. Mr. Graves serves as the Chairperson of the Compensation and Talent Committee. The Compensation and Talent Committee met six times in 2021.</w:t>
      </w: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63" w:lineRule="exact"/>
        <w:rPr>
          <w:rFonts w:ascii="Arial" w:cs="Arial" w:eastAsia="Arial" w:hAnsi="Arial"/>
          <w:sz w:val="18"/>
          <w:szCs w:val="18"/>
          <w:color w:val="auto"/>
        </w:rPr>
      </w:pPr>
    </w:p>
    <w:p>
      <w:pPr>
        <w:ind w:left="1540" w:right="540" w:hanging="439"/>
        <w:spacing w:after="0" w:line="271"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5"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Board’s leadership structure;</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succession plans for our Chief Executive Officer;</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our strategy, initiatives, policies and risks concerning ESG matters; and</w:t>
      </w:r>
    </w:p>
    <w:p>
      <w:pPr>
        <w:spacing w:after="0" w:line="63"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0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members of our Nominating and Corporate Governance Committee are Dr. Ausiello and Messrs. Berenson and Behar. Mr. Berenson serves as the Chairperson of the Nominating and Corporate Governance Committee.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 met three times in 2021.</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000"/>
          </w:cols>
          <w:pgMar w:left="320" w:top="455"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of December 31, 2020, we were no longer an emerging growth company, but as of December 31, 2021 we continued to qualify as a “smaller reporting company” under Item 10 of Regulation S-K promulgated under the Exchange Act, and the following compensation disclosure is intended to comply with the requirements applicable to smaller reporting companies. Although the SEC rules allow the Company to provide less detail about its executive compensation program, the Compensation and Talent Committee is committed to providing the information necessary to help stockholders understand its executive compensation-related decisions in order to make voting determinations regarding our executive compensation program. Accordingly, this section discusses the material components of the executive compensation program offered to our named executive officers, or NEOs, identified below. For 2021, our NEOs were:</w:t>
      </w:r>
    </w:p>
    <w:p>
      <w:pPr>
        <w:spacing w:after="0" w:line="90" w:lineRule="exact"/>
        <w:rPr>
          <w:sz w:val="20"/>
          <w:szCs w:val="20"/>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Eric D. Shaff, our President and Chief Executive Officer;</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David Arkowitz, our Executive Vice President, Chief Financial Officer and Head of Business Development; and</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Matthew Henn, Ph.D., our Executive Vice President and Chief Scientific Officer.</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02"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We intend that the total compensation of our NEOs reflect a “pay for performance” compensation philosophy. As detailed in the next section, we generally target total compensation relative to the 50th percentile of our peer group, but the Compensation and Talent Committee retains discretion to adjust compensation reflecting individual factors or performance. Our executive compensation program consists of three primary components: base salary, annual performance-based cash incentive awards and periodic equity-based incentives, which, in 2021, consisted of grants of stock options and, for Mr. Arkowitz, restricted stock units.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0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Compensation and Talent Committee evaluates and recommends the compensation for our Chief Executive Officer to the Board and makes compensation decisions regarding all of our other NEOs. Our President and Chief Executive Officer reviews the performance of our other executive officers and then makes recommendations to the Compensation and Talent Committee to assist it in determining their compensation levels. While the Compensation and Talent Committee utilizes this information and values management’s observations with regard to compensation, the ultimate decisions regarding executive compensation are made by the Compensation and Talent Committee, except the compensation for our Chief Executive Officer, which is made by the Board.</w:t>
      </w:r>
    </w:p>
    <w:p>
      <w:pPr>
        <w:spacing w:after="0" w:line="7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Our Compensation and Talent Committee has the authority under its charter to engage the services of a consulting firm or other outside advisor to assist it in designing our compensation programs and in making executive compensation decisions. Our Compensation and Talent Committee has engaged Aon’s Human Capital Solutions practice, a division of Aon plc (“Aon”), as its compensation consultant to assess and make recommendations with respect to the amount and types of compensation to provide our executives and directors. When making executive compensation decisions in 2021, our Compensation and Talent Committee considered advice and data provided by Aon, and also met with Aon to discuss compensation of our executive officers, including Mr. Shaff. Aon reported directly to the Compensation and Talent Committee; however, Mr. Shaff, our President and Chief Executive Officer, consulted with Aon with respect to his assessments of the compensation of executive officers other than himself. Aon provided the Compensation and Talent Committee with peer group and market information that the Compensation and Talent Committee used when determining whether our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executive compensation is competitive, commensurate with the executive officers’ responsibilities and consistent with market trends in executive compensation practices for comparable companies. Aon also provides additional services to us that are unrelated to executive and director compensation. The fees for these additional services were less than $120,000 during 2021. The Compensation and Talent Committee has considered the adviser independence factors required under SEC rules and Nasdaq listing standards as they relate to Aon and does not believe Aon’s work in 2021 raised a conflict of interest.</w:t>
      </w:r>
    </w:p>
    <w:p>
      <w:pPr>
        <w:spacing w:after="0" w:line="68"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Compensation and Talent Committee recognizes the very competitive market for executive talent in our industry, and the importance of attracting and retaining strong talent as our business continues to evolve. Our positioning on compensation is intended to keep the Company competitive while strongly incentivizing performance and appropriately controlling executive compensation cost.</w:t>
      </w:r>
    </w:p>
    <w:p>
      <w:pPr>
        <w:spacing w:after="0" w:line="6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In connection with the Compensation and Talent Committee’s review of our executive compensation programs in late 2020, Aon provided market data and analysis relative to a peer group selected by the Compensation and Talent Committee in consultation with Aon. Peer group companies were selected based on the following parameters:</w:t>
      </w:r>
    </w:p>
    <w:p>
      <w:pPr>
        <w:spacing w:after="0" w:line="74" w:lineRule="exact"/>
        <w:rPr>
          <w:sz w:val="20"/>
          <w:szCs w:val="20"/>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Company Type</w:t>
      </w:r>
      <w:r>
        <w:rPr>
          <w:rFonts w:ascii="Arial" w:cs="Arial" w:eastAsia="Arial" w:hAnsi="Arial"/>
          <w:sz w:val="18"/>
          <w:szCs w:val="18"/>
          <w:color w:val="auto"/>
        </w:rPr>
        <w:t>: Biopharmaceutical companies;</w:t>
      </w:r>
    </w:p>
    <w:p>
      <w:pPr>
        <w:spacing w:after="0" w:line="63" w:lineRule="exact"/>
        <w:rPr>
          <w:rFonts w:ascii="Arial" w:cs="Arial" w:eastAsia="Arial" w:hAnsi="Arial"/>
          <w:sz w:val="18"/>
          <w:szCs w:val="18"/>
          <w:color w:val="auto"/>
        </w:rPr>
      </w:pPr>
    </w:p>
    <w:p>
      <w:pPr>
        <w:ind w:left="980" w:right="40" w:hanging="432"/>
        <w:spacing w:after="0" w:line="271"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Stage of Development</w:t>
      </w:r>
      <w:r>
        <w:rPr>
          <w:rFonts w:ascii="Arial" w:cs="Arial" w:eastAsia="Arial" w:hAnsi="Arial"/>
          <w:sz w:val="18"/>
          <w:szCs w:val="18"/>
          <w:color w:val="auto"/>
        </w:rPr>
        <w:t>: Companies with product candidates in Phase 3 clinical trials or companies that have recently submitted</w:t>
      </w:r>
      <w:r>
        <w:rPr>
          <w:rFonts w:ascii="Arial" w:cs="Arial" w:eastAsia="Arial" w:hAnsi="Arial"/>
          <w:sz w:val="18"/>
          <w:szCs w:val="18"/>
          <w:i w:val="1"/>
          <w:iCs w:val="1"/>
          <w:color w:val="auto"/>
        </w:rPr>
        <w:t xml:space="preserve"> </w:t>
      </w:r>
      <w:r>
        <w:rPr>
          <w:rFonts w:ascii="Arial" w:cs="Arial" w:eastAsia="Arial" w:hAnsi="Arial"/>
          <w:sz w:val="18"/>
          <w:szCs w:val="18"/>
          <w:color w:val="auto"/>
        </w:rPr>
        <w:t>a New Drug Application (“NDA”) or Biologic License Application (“BLA”);</w:t>
      </w:r>
    </w:p>
    <w:p>
      <w:pPr>
        <w:spacing w:after="0" w:line="5"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Market </w:t>
      </w:r>
      <w:r>
        <w:rPr>
          <w:rFonts w:ascii="Arial" w:cs="Arial" w:eastAsia="Arial" w:hAnsi="Arial"/>
          <w:sz w:val="18"/>
          <w:szCs w:val="18"/>
          <w:color w:val="auto"/>
        </w:rPr>
        <w:t>Capitalization: Between $500 million and $4 billion;</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Headcount</w:t>
      </w:r>
      <w:r>
        <w:rPr>
          <w:rFonts w:ascii="Arial" w:cs="Arial" w:eastAsia="Arial" w:hAnsi="Arial"/>
          <w:sz w:val="18"/>
          <w:szCs w:val="18"/>
          <w:color w:val="auto"/>
        </w:rPr>
        <w:t>: Between 50 and 500 employees based on current headcount and expected headcount growth; and</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Under $250 million.</w:t>
      </w:r>
    </w:p>
    <w:p>
      <w:pPr>
        <w:spacing w:after="0" w:line="10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Compared to the prior year, the criteria used to review and select peers was adjusted as follows: the company type was updated to exclude companies in turnaround situations; the stage of development changed from companies with product candidates in Phase 2 or 3 clinical trials to companies with product candidates in Phase 3 clinical trials or companies that have recently submitted a NDA or BLA; the market capitalization range was broadened (as the range was previously $100 million to $600 million); and the headcount range was broadened (as the range was previously limited to companies with less than 350 employees).</w:t>
      </w:r>
    </w:p>
    <w:p>
      <w:pPr>
        <w:spacing w:after="0" w:line="68"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Given these changes in peer company profiles, Aon recommended and, in August 2020, the Compensation and Talent Committee approved, the removal of seven companies and the addition of eight new peer companies that better aligned with the Company’s profile to form the following compensation peer group:</w:t>
      </w:r>
    </w:p>
    <w:p>
      <w:pPr>
        <w:spacing w:after="0" w:line="7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color w:val="auto"/>
              </w:rPr>
              <w:t>Apellis Pharmaceuticals, Inc.*</w:t>
            </w:r>
          </w:p>
        </w:tc>
        <w:tc>
          <w:tcPr>
            <w:tcW w:w="3340" w:type="dxa"/>
            <w:vAlign w:val="bottom"/>
          </w:tcPr>
          <w:p>
            <w:pPr>
              <w:ind w:left="440"/>
              <w:spacing w:after="0"/>
              <w:rPr>
                <w:sz w:val="20"/>
                <w:szCs w:val="20"/>
                <w:color w:val="auto"/>
              </w:rPr>
            </w:pPr>
            <w:r>
              <w:rPr>
                <w:rFonts w:ascii="Arial" w:cs="Arial" w:eastAsia="Arial" w:hAnsi="Arial"/>
                <w:sz w:val="18"/>
                <w:szCs w:val="18"/>
                <w:color w:val="auto"/>
              </w:rPr>
              <w:t>Ardelyx, Inc.</w:t>
            </w:r>
          </w:p>
        </w:tc>
        <w:tc>
          <w:tcPr>
            <w:tcW w:w="2960" w:type="dxa"/>
            <w:vAlign w:val="bottom"/>
          </w:tcPr>
          <w:p>
            <w:pPr>
              <w:ind w:left="440"/>
              <w:spacing w:after="0"/>
              <w:rPr>
                <w:sz w:val="20"/>
                <w:szCs w:val="20"/>
                <w:color w:val="auto"/>
              </w:rPr>
            </w:pPr>
            <w:r>
              <w:rPr>
                <w:rFonts w:ascii="Arial" w:cs="Arial" w:eastAsia="Arial" w:hAnsi="Arial"/>
                <w:sz w:val="18"/>
                <w:szCs w:val="18"/>
                <w:color w:val="auto"/>
              </w:rPr>
              <w:t>Arena Pharmaceuticals,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ChemoCentryx, Inc.*</w:t>
            </w:r>
          </w:p>
        </w:tc>
        <w:tc>
          <w:tcPr>
            <w:tcW w:w="3340" w:type="dxa"/>
            <w:vAlign w:val="bottom"/>
          </w:tcPr>
          <w:p>
            <w:pPr>
              <w:ind w:left="440"/>
              <w:spacing w:after="0" w:line="202" w:lineRule="exact"/>
              <w:rPr>
                <w:sz w:val="20"/>
                <w:szCs w:val="20"/>
                <w:color w:val="auto"/>
              </w:rPr>
            </w:pPr>
            <w:r>
              <w:rPr>
                <w:rFonts w:ascii="Arial" w:cs="Arial" w:eastAsia="Arial" w:hAnsi="Arial"/>
                <w:sz w:val="18"/>
                <w:szCs w:val="18"/>
                <w:color w:val="auto"/>
              </w:rPr>
              <w:t>Corbus Pharmaceuticals, Inc.</w:t>
            </w:r>
          </w:p>
        </w:tc>
        <w:tc>
          <w:tcPr>
            <w:tcW w:w="2960" w:type="dxa"/>
            <w:vAlign w:val="bottom"/>
          </w:tcPr>
          <w:p>
            <w:pPr>
              <w:ind w:left="440"/>
              <w:spacing w:after="0" w:line="202" w:lineRule="exact"/>
              <w:rPr>
                <w:sz w:val="20"/>
                <w:szCs w:val="20"/>
                <w:color w:val="auto"/>
              </w:rPr>
            </w:pPr>
            <w:r>
              <w:rPr>
                <w:rFonts w:ascii="Arial" w:cs="Arial" w:eastAsia="Arial" w:hAnsi="Arial"/>
                <w:sz w:val="18"/>
                <w:szCs w:val="18"/>
                <w:color w:val="auto"/>
              </w:rPr>
              <w:t>Cytokinetics,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Deciphera Pharmaceuticals, Inc.*</w:t>
            </w:r>
          </w:p>
        </w:tc>
        <w:tc>
          <w:tcPr>
            <w:tcW w:w="3340" w:type="dxa"/>
            <w:vAlign w:val="bottom"/>
          </w:tcPr>
          <w:p>
            <w:pPr>
              <w:ind w:left="440"/>
              <w:spacing w:after="0" w:line="202" w:lineRule="exact"/>
              <w:rPr>
                <w:sz w:val="20"/>
                <w:szCs w:val="20"/>
                <w:color w:val="auto"/>
              </w:rPr>
            </w:pPr>
            <w:r>
              <w:rPr>
                <w:rFonts w:ascii="Arial" w:cs="Arial" w:eastAsia="Arial" w:hAnsi="Arial"/>
                <w:sz w:val="18"/>
                <w:szCs w:val="18"/>
                <w:color w:val="auto"/>
              </w:rPr>
              <w:t>Dicerna Pharmaceuticals, Inc.*</w:t>
            </w:r>
          </w:p>
        </w:tc>
        <w:tc>
          <w:tcPr>
            <w:tcW w:w="2960" w:type="dxa"/>
            <w:vAlign w:val="bottom"/>
          </w:tcPr>
          <w:p>
            <w:pPr>
              <w:ind w:left="440"/>
              <w:spacing w:after="0" w:line="202" w:lineRule="exact"/>
              <w:rPr>
                <w:sz w:val="20"/>
                <w:szCs w:val="20"/>
                <w:color w:val="auto"/>
              </w:rPr>
            </w:pPr>
            <w:r>
              <w:rPr>
                <w:rFonts w:ascii="Arial" w:cs="Arial" w:eastAsia="Arial" w:hAnsi="Arial"/>
                <w:sz w:val="18"/>
                <w:szCs w:val="18"/>
                <w:color w:val="auto"/>
              </w:rPr>
              <w:t>Epizyme,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ImmunoGen, Inc.</w:t>
            </w:r>
          </w:p>
        </w:tc>
        <w:tc>
          <w:tcPr>
            <w:tcW w:w="3340" w:type="dxa"/>
            <w:vAlign w:val="bottom"/>
          </w:tcPr>
          <w:p>
            <w:pPr>
              <w:ind w:left="440"/>
              <w:spacing w:after="0" w:line="202" w:lineRule="exact"/>
              <w:rPr>
                <w:sz w:val="20"/>
                <w:szCs w:val="20"/>
                <w:color w:val="auto"/>
              </w:rPr>
            </w:pPr>
            <w:r>
              <w:rPr>
                <w:rFonts w:ascii="Arial" w:cs="Arial" w:eastAsia="Arial" w:hAnsi="Arial"/>
                <w:sz w:val="18"/>
                <w:szCs w:val="18"/>
                <w:color w:val="auto"/>
              </w:rPr>
              <w:t>Inovio Pharmaceuticals, Inc.</w:t>
            </w:r>
          </w:p>
        </w:tc>
        <w:tc>
          <w:tcPr>
            <w:tcW w:w="2960" w:type="dxa"/>
            <w:vAlign w:val="bottom"/>
          </w:tcPr>
          <w:p>
            <w:pPr>
              <w:ind w:left="440"/>
              <w:spacing w:after="0" w:line="202" w:lineRule="exact"/>
              <w:rPr>
                <w:sz w:val="20"/>
                <w:szCs w:val="20"/>
                <w:color w:val="auto"/>
              </w:rPr>
            </w:pPr>
            <w:r>
              <w:rPr>
                <w:rFonts w:ascii="Arial" w:cs="Arial" w:eastAsia="Arial" w:hAnsi="Arial"/>
                <w:sz w:val="18"/>
                <w:szCs w:val="18"/>
                <w:color w:val="auto"/>
                <w:w w:val="99"/>
              </w:rPr>
              <w:t>Intra-Cellular Therapeutics, Inc.</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Karyopham Therapeutics, Inc.</w:t>
            </w:r>
          </w:p>
        </w:tc>
        <w:tc>
          <w:tcPr>
            <w:tcW w:w="3340" w:type="dxa"/>
            <w:vAlign w:val="bottom"/>
          </w:tcPr>
          <w:p>
            <w:pPr>
              <w:ind w:left="440"/>
              <w:spacing w:after="0" w:line="202" w:lineRule="exact"/>
              <w:rPr>
                <w:sz w:val="20"/>
                <w:szCs w:val="20"/>
                <w:color w:val="auto"/>
              </w:rPr>
            </w:pPr>
            <w:r>
              <w:rPr>
                <w:rFonts w:ascii="Arial" w:cs="Arial" w:eastAsia="Arial" w:hAnsi="Arial"/>
                <w:sz w:val="18"/>
                <w:szCs w:val="18"/>
                <w:color w:val="auto"/>
              </w:rPr>
              <w:t>MacroGenics, Inc.</w:t>
            </w:r>
          </w:p>
        </w:tc>
        <w:tc>
          <w:tcPr>
            <w:tcW w:w="2960" w:type="dxa"/>
            <w:vAlign w:val="bottom"/>
          </w:tcPr>
          <w:p>
            <w:pPr>
              <w:ind w:left="440"/>
              <w:spacing w:after="0" w:line="202" w:lineRule="exact"/>
              <w:rPr>
                <w:sz w:val="20"/>
                <w:szCs w:val="20"/>
                <w:color w:val="auto"/>
              </w:rPr>
            </w:pPr>
            <w:r>
              <w:rPr>
                <w:rFonts w:ascii="Arial" w:cs="Arial" w:eastAsia="Arial" w:hAnsi="Arial"/>
                <w:sz w:val="18"/>
                <w:szCs w:val="18"/>
                <w:color w:val="auto"/>
              </w:rPr>
              <w:t>Revance Therapeutics, Inc.</w:t>
            </w:r>
          </w:p>
        </w:tc>
      </w:tr>
      <w:tr>
        <w:trPr>
          <w:trHeight w:val="239"/>
        </w:trPr>
        <w:tc>
          <w:tcPr>
            <w:tcW w:w="3100" w:type="dxa"/>
            <w:vAlign w:val="bottom"/>
          </w:tcPr>
          <w:p>
            <w:pPr>
              <w:spacing w:after="0"/>
              <w:rPr>
                <w:sz w:val="20"/>
                <w:szCs w:val="20"/>
                <w:color w:val="auto"/>
              </w:rPr>
            </w:pPr>
            <w:r>
              <w:rPr>
                <w:rFonts w:ascii="Arial" w:cs="Arial" w:eastAsia="Arial" w:hAnsi="Arial"/>
                <w:sz w:val="18"/>
                <w:szCs w:val="18"/>
                <w:color w:val="auto"/>
              </w:rPr>
              <w:t>Rhythm Pharmaceuticals, Inc.*</w:t>
            </w:r>
          </w:p>
        </w:tc>
        <w:tc>
          <w:tcPr>
            <w:tcW w:w="3340" w:type="dxa"/>
            <w:vAlign w:val="bottom"/>
          </w:tcPr>
          <w:p>
            <w:pPr>
              <w:ind w:left="440"/>
              <w:spacing w:after="0"/>
              <w:rPr>
                <w:sz w:val="20"/>
                <w:szCs w:val="20"/>
                <w:color w:val="auto"/>
              </w:rPr>
            </w:pPr>
            <w:r>
              <w:rPr>
                <w:rFonts w:ascii="Arial" w:cs="Arial" w:eastAsia="Arial" w:hAnsi="Arial"/>
                <w:sz w:val="18"/>
                <w:szCs w:val="18"/>
                <w:color w:val="auto"/>
              </w:rPr>
              <w:t>Syros Pharmaceuticals, Inc.</w:t>
            </w:r>
          </w:p>
        </w:tc>
        <w:tc>
          <w:tcPr>
            <w:tcW w:w="2960" w:type="dxa"/>
            <w:vAlign w:val="bottom"/>
          </w:tcPr>
          <w:p>
            <w:pPr>
              <w:ind w:left="440"/>
              <w:spacing w:after="0"/>
              <w:rPr>
                <w:sz w:val="20"/>
                <w:szCs w:val="20"/>
                <w:color w:val="auto"/>
              </w:rPr>
            </w:pPr>
            <w:r>
              <w:rPr>
                <w:rFonts w:ascii="Arial" w:cs="Arial" w:eastAsia="Arial" w:hAnsi="Arial"/>
                <w:sz w:val="18"/>
                <w:szCs w:val="18"/>
                <w:color w:val="auto"/>
              </w:rPr>
              <w:t>Zogenix, Inc.*</w:t>
            </w:r>
          </w:p>
        </w:tc>
      </w:tr>
    </w:tbl>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      Indicates new peer companies.</w:t>
      </w:r>
    </w:p>
    <w:p>
      <w:pPr>
        <w:spacing w:after="0" w:line="11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Compensation and Talent Committee believes the constituent companies in the peer group are similar to us based on development stage, revenue, industry, executive role considerations and market capitalization and are representative of our competitors for talent and capital. Aon provides the Compensation and Talent Committee with a competitive assessment of our compensation program for executive officers against the peer group with respect to pay philosophies, pay mix, cash and equity-linked compensation. The Compensation and Talent Committee utilizes the peer group in making compensation decisions to help ensure our compensation program for executive officers adheres 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our compensation philosophy of maintaining executive pay that rewards performance while remaining competitive, commensurate with the executive officers’ responsibilities and consistent with market trends in executive compensation practices for comparable companies.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0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20" w:type="dxa"/>
            <w:vAlign w:val="bottom"/>
            <w:vMerge w:val="restart"/>
            <w:shd w:val="clear" w:color="auto" w:fill="E5E5E5"/>
          </w:tcPr>
          <w:p>
            <w:pPr>
              <w:jc w:val="center"/>
              <w:ind w:right="13"/>
              <w:spacing w:after="0"/>
              <w:rPr>
                <w:sz w:val="20"/>
                <w:szCs w:val="20"/>
                <w:color w:val="auto"/>
              </w:rPr>
            </w:pPr>
            <w:r>
              <w:rPr>
                <w:rFonts w:ascii="Arial" w:cs="Arial" w:eastAsia="Arial" w:hAnsi="Arial"/>
                <w:sz w:val="13"/>
                <w:szCs w:val="13"/>
                <w:b w:val="1"/>
                <w:bCs w:val="1"/>
                <w:color w:val="auto"/>
              </w:rPr>
              <w:t>Stock</w:t>
            </w:r>
          </w:p>
        </w:tc>
        <w:tc>
          <w:tcPr>
            <w:tcW w:w="780" w:type="dxa"/>
            <w:vAlign w:val="bottom"/>
            <w:vMerge w:val="restart"/>
            <w:shd w:val="clear" w:color="auto" w:fill="E5E5E5"/>
          </w:tcPr>
          <w:p>
            <w:pPr>
              <w:jc w:val="center"/>
              <w:spacing w:after="0"/>
              <w:rPr>
                <w:sz w:val="20"/>
                <w:szCs w:val="20"/>
                <w:color w:val="auto"/>
              </w:rPr>
            </w:pPr>
            <w:r>
              <w:rPr>
                <w:rFonts w:ascii="Arial" w:cs="Arial" w:eastAsia="Arial" w:hAnsi="Arial"/>
                <w:sz w:val="13"/>
                <w:szCs w:val="13"/>
                <w:b w:val="1"/>
                <w:bCs w:val="1"/>
                <w:color w:val="auto"/>
              </w:rPr>
              <w:t>Option</w:t>
            </w:r>
          </w:p>
        </w:tc>
        <w:tc>
          <w:tcPr>
            <w:tcW w:w="110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Non-Equity</w:t>
            </w:r>
          </w:p>
        </w:tc>
        <w:tc>
          <w:tcPr>
            <w:tcW w:w="1100" w:type="dxa"/>
            <w:vAlign w:val="bottom"/>
            <w:vMerge w:val="restart"/>
            <w:shd w:val="clear" w:color="auto" w:fill="E5E5E5"/>
          </w:tcPr>
          <w:p>
            <w:pPr>
              <w:jc w:val="right"/>
              <w:ind w:right="213"/>
              <w:spacing w:after="0"/>
              <w:rPr>
                <w:sz w:val="20"/>
                <w:szCs w:val="20"/>
                <w:color w:val="auto"/>
              </w:rPr>
            </w:pPr>
            <w:r>
              <w:rPr>
                <w:rFonts w:ascii="Arial" w:cs="Arial" w:eastAsia="Arial" w:hAnsi="Arial"/>
                <w:sz w:val="13"/>
                <w:szCs w:val="13"/>
                <w:b w:val="1"/>
                <w:bCs w:val="1"/>
                <w:color w:val="auto"/>
              </w:rPr>
              <w:t>All Other</w:t>
            </w:r>
          </w:p>
        </w:tc>
        <w:tc>
          <w:tcPr>
            <w:tcW w:w="82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660" w:type="dxa"/>
            <w:vAlign w:val="bottom"/>
            <w:vMerge w:val="restart"/>
            <w:shd w:val="clear" w:color="auto" w:fill="E5E5E5"/>
          </w:tcPr>
          <w:p>
            <w:pPr>
              <w:ind w:left="100"/>
              <w:spacing w:after="0"/>
              <w:rPr>
                <w:sz w:val="20"/>
                <w:szCs w:val="20"/>
                <w:color w:val="auto"/>
              </w:rPr>
            </w:pPr>
            <w:r>
              <w:rPr>
                <w:rFonts w:ascii="Arial" w:cs="Arial" w:eastAsia="Arial" w:hAnsi="Arial"/>
                <w:sz w:val="13"/>
                <w:szCs w:val="13"/>
                <w:b w:val="1"/>
                <w:bCs w:val="1"/>
                <w:color w:val="auto"/>
              </w:rPr>
              <w:t>Salary</w:t>
            </w:r>
          </w:p>
        </w:tc>
        <w:tc>
          <w:tcPr>
            <w:tcW w:w="740" w:type="dxa"/>
            <w:vAlign w:val="bottom"/>
            <w:shd w:val="clear" w:color="auto" w:fill="E5E5E5"/>
          </w:tcPr>
          <w:p>
            <w:pPr>
              <w:spacing w:after="0"/>
              <w:rPr>
                <w:sz w:val="12"/>
                <w:szCs w:val="12"/>
                <w:color w:val="auto"/>
              </w:rPr>
            </w:pPr>
          </w:p>
        </w:tc>
        <w:tc>
          <w:tcPr>
            <w:tcW w:w="720" w:type="dxa"/>
            <w:vAlign w:val="bottom"/>
            <w:vMerge w:val="continue"/>
            <w:shd w:val="clear" w:color="auto" w:fill="E5E5E5"/>
          </w:tcPr>
          <w:p>
            <w:pPr>
              <w:spacing w:after="0"/>
              <w:rPr>
                <w:sz w:val="12"/>
                <w:szCs w:val="12"/>
                <w:color w:val="auto"/>
              </w:rPr>
            </w:pPr>
          </w:p>
        </w:tc>
        <w:tc>
          <w:tcPr>
            <w:tcW w:w="780" w:type="dxa"/>
            <w:vAlign w:val="bottom"/>
            <w:vMerge w:val="continue"/>
            <w:shd w:val="clear" w:color="auto" w:fill="E5E5E5"/>
          </w:tcPr>
          <w:p>
            <w:pPr>
              <w:spacing w:after="0"/>
              <w:rPr>
                <w:sz w:val="12"/>
                <w:szCs w:val="12"/>
                <w:color w:val="auto"/>
              </w:rPr>
            </w:pPr>
          </w:p>
        </w:tc>
        <w:tc>
          <w:tcPr>
            <w:tcW w:w="110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Incentive Plan</w:t>
            </w:r>
          </w:p>
        </w:tc>
        <w:tc>
          <w:tcPr>
            <w:tcW w:w="1100" w:type="dxa"/>
            <w:vAlign w:val="bottom"/>
            <w:vMerge w:val="continue"/>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660" w:type="dxa"/>
            <w:vAlign w:val="bottom"/>
            <w:vMerge w:val="continue"/>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720" w:type="dxa"/>
            <w:vAlign w:val="bottom"/>
            <w:shd w:val="clear" w:color="auto" w:fill="E5E5E5"/>
          </w:tcPr>
          <w:p>
            <w:pPr>
              <w:jc w:val="center"/>
              <w:ind w:right="13"/>
              <w:spacing w:after="0"/>
              <w:rPr>
                <w:sz w:val="20"/>
                <w:szCs w:val="20"/>
                <w:color w:val="auto"/>
              </w:rPr>
            </w:pPr>
            <w:r>
              <w:rPr>
                <w:rFonts w:ascii="Arial" w:cs="Arial" w:eastAsia="Arial" w:hAnsi="Arial"/>
                <w:sz w:val="13"/>
                <w:szCs w:val="13"/>
                <w:b w:val="1"/>
                <w:bCs w:val="1"/>
                <w:color w:val="auto"/>
              </w:rPr>
              <w:t>Awards</w:t>
            </w:r>
          </w:p>
        </w:tc>
        <w:tc>
          <w:tcPr>
            <w:tcW w:w="78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Awards</w:t>
            </w:r>
          </w:p>
        </w:tc>
        <w:tc>
          <w:tcPr>
            <w:tcW w:w="1100" w:type="dxa"/>
            <w:vAlign w:val="bottom"/>
            <w:shd w:val="clear" w:color="auto" w:fill="E5E5E5"/>
          </w:tcPr>
          <w:p>
            <w:pPr>
              <w:jc w:val="center"/>
              <w:spacing w:after="0"/>
              <w:rPr>
                <w:sz w:val="20"/>
                <w:szCs w:val="20"/>
                <w:color w:val="auto"/>
              </w:rPr>
            </w:pPr>
            <w:r>
              <w:rPr>
                <w:rFonts w:ascii="Arial" w:cs="Arial" w:eastAsia="Arial" w:hAnsi="Arial"/>
                <w:sz w:val="13"/>
                <w:szCs w:val="13"/>
                <w:b w:val="1"/>
                <w:bCs w:val="1"/>
                <w:color w:val="auto"/>
              </w:rPr>
              <w:t>Compensation</w:t>
            </w: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3"/>
                <w:szCs w:val="13"/>
                <w:b w:val="1"/>
                <w:bCs w:val="1"/>
                <w:color w:val="auto"/>
              </w:rPr>
              <w:t>Compensation</w:t>
            </w:r>
          </w:p>
        </w:tc>
        <w:tc>
          <w:tcPr>
            <w:tcW w:w="8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6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 and Principal Position</w:t>
            </w:r>
          </w:p>
        </w:tc>
        <w:tc>
          <w:tcPr>
            <w:tcW w:w="5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Year</w:t>
            </w:r>
          </w:p>
        </w:tc>
        <w:tc>
          <w:tcPr>
            <w:tcW w:w="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3"/>
                <w:szCs w:val="13"/>
                <w:b w:val="1"/>
                <w:bCs w:val="1"/>
                <w:color w:val="auto"/>
              </w:rPr>
              <w:t>Bonus</w:t>
            </w:r>
          </w:p>
        </w:tc>
        <w:tc>
          <w:tcPr>
            <w:tcW w:w="720" w:type="dxa"/>
            <w:vAlign w:val="bottom"/>
            <w:tcBorders>
              <w:bottom w:val="single" w:sz="8" w:color="auto"/>
            </w:tcBorders>
            <w:shd w:val="clear" w:color="auto" w:fill="E5E5E5"/>
          </w:tcPr>
          <w:p>
            <w:pPr>
              <w:jc w:val="center"/>
              <w:ind w:right="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7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110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(2)</w:t>
            </w:r>
          </w:p>
        </w:tc>
        <w:tc>
          <w:tcPr>
            <w:tcW w:w="1100" w:type="dxa"/>
            <w:vAlign w:val="bottom"/>
            <w:tcBorders>
              <w:bottom w:val="single" w:sz="8" w:color="auto"/>
            </w:tcBorders>
            <w:shd w:val="clear" w:color="auto" w:fill="E5E5E5"/>
          </w:tcPr>
          <w:p>
            <w:pPr>
              <w:jc w:val="right"/>
              <w:ind w:right="35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(3)</w:t>
            </w:r>
          </w:p>
        </w:tc>
        <w:tc>
          <w:tcPr>
            <w:tcW w:w="8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29"/>
        </w:trPr>
        <w:tc>
          <w:tcPr>
            <w:tcW w:w="4600" w:type="dxa"/>
            <w:vAlign w:val="bottom"/>
          </w:tcPr>
          <w:p>
            <w:pPr>
              <w:ind w:left="60"/>
              <w:spacing w:after="0" w:line="129" w:lineRule="exact"/>
              <w:rPr>
                <w:sz w:val="20"/>
                <w:szCs w:val="20"/>
                <w:color w:val="auto"/>
              </w:rPr>
            </w:pPr>
            <w:r>
              <w:rPr>
                <w:rFonts w:ascii="Arial" w:cs="Arial" w:eastAsia="Arial" w:hAnsi="Arial"/>
                <w:sz w:val="13"/>
                <w:szCs w:val="13"/>
                <w:color w:val="auto"/>
              </w:rPr>
              <w:t>Eric D. Shaff</w:t>
            </w:r>
          </w:p>
        </w:tc>
        <w:tc>
          <w:tcPr>
            <w:tcW w:w="500" w:type="dxa"/>
            <w:vAlign w:val="bottom"/>
          </w:tcPr>
          <w:p>
            <w:pPr>
              <w:ind w:left="100"/>
              <w:spacing w:after="0" w:line="129" w:lineRule="exact"/>
              <w:rPr>
                <w:sz w:val="20"/>
                <w:szCs w:val="20"/>
                <w:color w:val="auto"/>
              </w:rPr>
            </w:pPr>
            <w:r>
              <w:rPr>
                <w:rFonts w:ascii="Arial" w:cs="Arial" w:eastAsia="Arial" w:hAnsi="Arial"/>
                <w:sz w:val="13"/>
                <w:szCs w:val="13"/>
                <w:color w:val="auto"/>
              </w:rPr>
              <w:t>2021</w:t>
            </w:r>
          </w:p>
        </w:tc>
        <w:tc>
          <w:tcPr>
            <w:tcW w:w="660" w:type="dxa"/>
            <w:vAlign w:val="bottom"/>
          </w:tcPr>
          <w:p>
            <w:pPr>
              <w:ind w:left="100"/>
              <w:spacing w:after="0" w:line="129" w:lineRule="exact"/>
              <w:rPr>
                <w:sz w:val="20"/>
                <w:szCs w:val="20"/>
                <w:color w:val="auto"/>
              </w:rPr>
            </w:pPr>
            <w:r>
              <w:rPr>
                <w:rFonts w:ascii="Arial" w:cs="Arial" w:eastAsia="Arial" w:hAnsi="Arial"/>
                <w:sz w:val="13"/>
                <w:szCs w:val="13"/>
                <w:color w:val="auto"/>
              </w:rPr>
              <w:t>625,400</w:t>
            </w:r>
          </w:p>
        </w:tc>
        <w:tc>
          <w:tcPr>
            <w:tcW w:w="740" w:type="dxa"/>
            <w:vAlign w:val="bottom"/>
          </w:tcPr>
          <w:p>
            <w:pPr>
              <w:jc w:val="right"/>
              <w:ind w:right="153"/>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29"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line="129" w:lineRule="exact"/>
              <w:rPr>
                <w:sz w:val="20"/>
                <w:szCs w:val="20"/>
                <w:color w:val="auto"/>
              </w:rPr>
            </w:pPr>
            <w:r>
              <w:rPr>
                <w:rFonts w:ascii="Arial" w:cs="Arial" w:eastAsia="Arial" w:hAnsi="Arial"/>
                <w:sz w:val="13"/>
                <w:szCs w:val="13"/>
                <w:color w:val="auto"/>
              </w:rPr>
              <w:t>8,758,582</w:t>
            </w:r>
          </w:p>
        </w:tc>
        <w:tc>
          <w:tcPr>
            <w:tcW w:w="1100" w:type="dxa"/>
            <w:vAlign w:val="bottom"/>
          </w:tcPr>
          <w:p>
            <w:pPr>
              <w:jc w:val="right"/>
              <w:ind w:right="13"/>
              <w:spacing w:after="0" w:line="129" w:lineRule="exact"/>
              <w:rPr>
                <w:sz w:val="20"/>
                <w:szCs w:val="20"/>
                <w:color w:val="auto"/>
              </w:rPr>
            </w:pPr>
            <w:r>
              <w:rPr>
                <w:rFonts w:ascii="Arial" w:cs="Arial" w:eastAsia="Arial" w:hAnsi="Arial"/>
                <w:sz w:val="13"/>
                <w:szCs w:val="13"/>
                <w:color w:val="auto"/>
              </w:rPr>
              <w:t>319,000</w:t>
            </w:r>
          </w:p>
        </w:tc>
        <w:tc>
          <w:tcPr>
            <w:tcW w:w="1100" w:type="dxa"/>
            <w:vAlign w:val="bottom"/>
          </w:tcPr>
          <w:p>
            <w:pPr>
              <w:jc w:val="right"/>
              <w:ind w:right="33"/>
              <w:spacing w:after="0" w:line="129" w:lineRule="exact"/>
              <w:rPr>
                <w:sz w:val="20"/>
                <w:szCs w:val="20"/>
                <w:color w:val="auto"/>
              </w:rPr>
            </w:pPr>
            <w:r>
              <w:rPr>
                <w:rFonts w:ascii="Arial" w:cs="Arial" w:eastAsia="Arial" w:hAnsi="Arial"/>
                <w:sz w:val="13"/>
                <w:szCs w:val="13"/>
                <w:color w:val="auto"/>
              </w:rPr>
              <w:t>8,698</w:t>
            </w:r>
          </w:p>
        </w:tc>
        <w:tc>
          <w:tcPr>
            <w:tcW w:w="820" w:type="dxa"/>
            <w:vAlign w:val="bottom"/>
          </w:tcPr>
          <w:p>
            <w:pPr>
              <w:jc w:val="right"/>
              <w:ind w:right="53"/>
              <w:spacing w:after="0" w:line="129" w:lineRule="exact"/>
              <w:rPr>
                <w:sz w:val="20"/>
                <w:szCs w:val="20"/>
                <w:color w:val="auto"/>
              </w:rPr>
            </w:pPr>
            <w:r>
              <w:rPr>
                <w:rFonts w:ascii="Arial" w:cs="Arial" w:eastAsia="Arial" w:hAnsi="Arial"/>
                <w:sz w:val="13"/>
                <w:szCs w:val="13"/>
                <w:color w:val="auto"/>
              </w:rPr>
              <w:t>9,711,680</w:t>
            </w:r>
          </w:p>
        </w:tc>
        <w:tc>
          <w:tcPr>
            <w:tcW w:w="0" w:type="dxa"/>
            <w:vAlign w:val="bottom"/>
          </w:tcPr>
          <w:p>
            <w:pPr>
              <w:spacing w:after="0"/>
              <w:rPr>
                <w:sz w:val="1"/>
                <w:szCs w:val="1"/>
                <w:color w:val="auto"/>
              </w:rPr>
            </w:pPr>
          </w:p>
        </w:tc>
      </w:tr>
      <w:tr>
        <w:trPr>
          <w:trHeight w:val="161"/>
        </w:trPr>
        <w:tc>
          <w:tcPr>
            <w:tcW w:w="4600" w:type="dxa"/>
            <w:vAlign w:val="bottom"/>
          </w:tcPr>
          <w:p>
            <w:pPr>
              <w:ind w:left="60"/>
              <w:spacing w:after="0"/>
              <w:rPr>
                <w:sz w:val="20"/>
                <w:szCs w:val="20"/>
                <w:color w:val="auto"/>
              </w:rPr>
            </w:pPr>
            <w:r>
              <w:rPr>
                <w:rFonts w:ascii="Arial" w:cs="Arial" w:eastAsia="Arial" w:hAnsi="Arial"/>
                <w:sz w:val="13"/>
                <w:szCs w:val="13"/>
                <w:i w:val="1"/>
                <w:iCs w:val="1"/>
                <w:color w:val="auto"/>
              </w:rPr>
              <w:t>President and Chief Executive Officer</w:t>
            </w:r>
          </w:p>
        </w:tc>
        <w:tc>
          <w:tcPr>
            <w:tcW w:w="500" w:type="dxa"/>
            <w:vAlign w:val="bottom"/>
          </w:tcPr>
          <w:p>
            <w:pPr>
              <w:ind w:left="100"/>
              <w:spacing w:after="0"/>
              <w:rPr>
                <w:sz w:val="20"/>
                <w:szCs w:val="20"/>
                <w:color w:val="auto"/>
              </w:rPr>
            </w:pPr>
            <w:r>
              <w:rPr>
                <w:rFonts w:ascii="Arial" w:cs="Arial" w:eastAsia="Arial" w:hAnsi="Arial"/>
                <w:sz w:val="13"/>
                <w:szCs w:val="13"/>
                <w:color w:val="auto"/>
              </w:rPr>
              <w:t>2020</w:t>
            </w:r>
          </w:p>
        </w:tc>
        <w:tc>
          <w:tcPr>
            <w:tcW w:w="660" w:type="dxa"/>
            <w:vAlign w:val="bottom"/>
          </w:tcPr>
          <w:p>
            <w:pPr>
              <w:ind w:left="100"/>
              <w:spacing w:after="0"/>
              <w:rPr>
                <w:sz w:val="20"/>
                <w:szCs w:val="20"/>
                <w:color w:val="auto"/>
              </w:rPr>
            </w:pPr>
            <w:r>
              <w:rPr>
                <w:rFonts w:ascii="Arial" w:cs="Arial" w:eastAsia="Arial" w:hAnsi="Arial"/>
                <w:sz w:val="13"/>
                <w:szCs w:val="13"/>
                <w:color w:val="auto"/>
              </w:rPr>
              <w:t>590,000</w:t>
            </w:r>
          </w:p>
        </w:tc>
        <w:tc>
          <w:tcPr>
            <w:tcW w:w="7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2,050,600</w:t>
            </w:r>
          </w:p>
        </w:tc>
        <w:tc>
          <w:tcPr>
            <w:tcW w:w="1100" w:type="dxa"/>
            <w:vAlign w:val="bottom"/>
          </w:tcPr>
          <w:p>
            <w:pPr>
              <w:jc w:val="right"/>
              <w:ind w:right="13"/>
              <w:spacing w:after="0"/>
              <w:rPr>
                <w:sz w:val="20"/>
                <w:szCs w:val="20"/>
                <w:color w:val="auto"/>
              </w:rPr>
            </w:pPr>
            <w:r>
              <w:rPr>
                <w:rFonts w:ascii="Arial" w:cs="Arial" w:eastAsia="Arial" w:hAnsi="Arial"/>
                <w:sz w:val="13"/>
                <w:szCs w:val="13"/>
                <w:color w:val="auto"/>
              </w:rPr>
              <w:t>486,750</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8,550</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3,135,900</w:t>
            </w:r>
          </w:p>
        </w:tc>
        <w:tc>
          <w:tcPr>
            <w:tcW w:w="0" w:type="dxa"/>
            <w:vAlign w:val="bottom"/>
          </w:tcPr>
          <w:p>
            <w:pPr>
              <w:spacing w:after="0"/>
              <w:rPr>
                <w:sz w:val="1"/>
                <w:szCs w:val="1"/>
                <w:color w:val="auto"/>
              </w:rPr>
            </w:pPr>
          </w:p>
        </w:tc>
      </w:tr>
      <w:tr>
        <w:trPr>
          <w:trHeight w:val="136"/>
        </w:trPr>
        <w:tc>
          <w:tcPr>
            <w:tcW w:w="4600" w:type="dxa"/>
            <w:vAlign w:val="bottom"/>
            <w:shd w:val="clear" w:color="auto" w:fill="D8D8D8"/>
          </w:tcPr>
          <w:p>
            <w:pPr>
              <w:ind w:left="60"/>
              <w:spacing w:after="0" w:line="136" w:lineRule="exact"/>
              <w:rPr>
                <w:sz w:val="20"/>
                <w:szCs w:val="20"/>
                <w:color w:val="auto"/>
              </w:rPr>
            </w:pPr>
            <w:r>
              <w:rPr>
                <w:rFonts w:ascii="Arial" w:cs="Arial" w:eastAsia="Arial" w:hAnsi="Arial"/>
                <w:sz w:val="13"/>
                <w:szCs w:val="13"/>
                <w:color w:val="auto"/>
              </w:rPr>
              <w:t>David Arkowitz</w:t>
            </w:r>
          </w:p>
        </w:tc>
        <w:tc>
          <w:tcPr>
            <w:tcW w:w="500" w:type="dxa"/>
            <w:vAlign w:val="bottom"/>
            <w:shd w:val="clear" w:color="auto" w:fill="D8D8D8"/>
          </w:tcPr>
          <w:p>
            <w:pPr>
              <w:ind w:left="100"/>
              <w:spacing w:after="0" w:line="136" w:lineRule="exact"/>
              <w:rPr>
                <w:sz w:val="20"/>
                <w:szCs w:val="20"/>
                <w:color w:val="auto"/>
              </w:rPr>
            </w:pPr>
            <w:r>
              <w:rPr>
                <w:rFonts w:ascii="Arial" w:cs="Arial" w:eastAsia="Arial" w:hAnsi="Arial"/>
                <w:sz w:val="13"/>
                <w:szCs w:val="13"/>
                <w:color w:val="auto"/>
              </w:rPr>
              <w:t>2021</w:t>
            </w:r>
          </w:p>
        </w:tc>
        <w:tc>
          <w:tcPr>
            <w:tcW w:w="660" w:type="dxa"/>
            <w:vAlign w:val="bottom"/>
            <w:shd w:val="clear" w:color="auto" w:fill="D8D8D8"/>
          </w:tcPr>
          <w:p>
            <w:pPr>
              <w:ind w:left="100"/>
              <w:spacing w:after="0" w:line="136" w:lineRule="exact"/>
              <w:rPr>
                <w:sz w:val="20"/>
                <w:szCs w:val="20"/>
                <w:color w:val="auto"/>
              </w:rPr>
            </w:pPr>
            <w:r>
              <w:rPr>
                <w:rFonts w:ascii="Arial" w:cs="Arial" w:eastAsia="Arial" w:hAnsi="Arial"/>
                <w:sz w:val="13"/>
                <w:szCs w:val="13"/>
                <w:color w:val="auto"/>
              </w:rPr>
              <w:t>265,417</w:t>
            </w:r>
          </w:p>
        </w:tc>
        <w:tc>
          <w:tcPr>
            <w:tcW w:w="740" w:type="dxa"/>
            <w:vAlign w:val="bottom"/>
            <w:shd w:val="clear" w:color="auto" w:fill="D8D8D8"/>
          </w:tcPr>
          <w:p>
            <w:pPr>
              <w:jc w:val="right"/>
              <w:ind w:right="13"/>
              <w:spacing w:after="0" w:line="136" w:lineRule="exact"/>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(4)</w:t>
            </w:r>
          </w:p>
        </w:tc>
        <w:tc>
          <w:tcPr>
            <w:tcW w:w="720" w:type="dxa"/>
            <w:vAlign w:val="bottom"/>
            <w:shd w:val="clear" w:color="auto" w:fill="D8D8D8"/>
          </w:tcPr>
          <w:p>
            <w:pPr>
              <w:jc w:val="right"/>
              <w:ind w:right="33"/>
              <w:spacing w:after="0" w:line="136" w:lineRule="exact"/>
              <w:rPr>
                <w:sz w:val="20"/>
                <w:szCs w:val="20"/>
                <w:color w:val="auto"/>
              </w:rPr>
            </w:pPr>
            <w:r>
              <w:rPr>
                <w:rFonts w:ascii="Arial" w:cs="Arial" w:eastAsia="Arial" w:hAnsi="Arial"/>
                <w:sz w:val="13"/>
                <w:szCs w:val="13"/>
                <w:color w:val="auto"/>
              </w:rPr>
              <w:t>916,100</w:t>
            </w:r>
          </w:p>
        </w:tc>
        <w:tc>
          <w:tcPr>
            <w:tcW w:w="780" w:type="dxa"/>
            <w:vAlign w:val="bottom"/>
            <w:shd w:val="clear" w:color="auto" w:fill="D8D8D8"/>
          </w:tcPr>
          <w:p>
            <w:pPr>
              <w:jc w:val="right"/>
              <w:ind w:right="13"/>
              <w:spacing w:after="0" w:line="136" w:lineRule="exact"/>
              <w:rPr>
                <w:sz w:val="20"/>
                <w:szCs w:val="20"/>
                <w:color w:val="auto"/>
              </w:rPr>
            </w:pPr>
            <w:r>
              <w:rPr>
                <w:rFonts w:ascii="Arial" w:cs="Arial" w:eastAsia="Arial" w:hAnsi="Arial"/>
                <w:sz w:val="13"/>
                <w:szCs w:val="13"/>
                <w:color w:val="auto"/>
              </w:rPr>
              <w:t>3,896,775</w:t>
            </w:r>
          </w:p>
        </w:tc>
        <w:tc>
          <w:tcPr>
            <w:tcW w:w="1100" w:type="dxa"/>
            <w:vAlign w:val="bottom"/>
            <w:shd w:val="clear" w:color="auto" w:fill="D8D8D8"/>
          </w:tcPr>
          <w:p>
            <w:pPr>
              <w:jc w:val="right"/>
              <w:ind w:right="13"/>
              <w:spacing w:after="0" w:line="136" w:lineRule="exact"/>
              <w:rPr>
                <w:sz w:val="20"/>
                <w:szCs w:val="20"/>
                <w:color w:val="auto"/>
              </w:rPr>
            </w:pPr>
            <w:r>
              <w:rPr>
                <w:rFonts w:ascii="Arial" w:cs="Arial" w:eastAsia="Arial" w:hAnsi="Arial"/>
                <w:sz w:val="13"/>
                <w:szCs w:val="13"/>
                <w:color w:val="auto"/>
              </w:rPr>
              <w:t>93,994</w:t>
            </w:r>
          </w:p>
        </w:tc>
        <w:tc>
          <w:tcPr>
            <w:tcW w:w="1100" w:type="dxa"/>
            <w:vAlign w:val="bottom"/>
            <w:shd w:val="clear" w:color="auto" w:fill="D8D8D8"/>
          </w:tcPr>
          <w:p>
            <w:pPr>
              <w:jc w:val="right"/>
              <w:ind w:right="33"/>
              <w:spacing w:after="0" w:line="136" w:lineRule="exact"/>
              <w:rPr>
                <w:sz w:val="20"/>
                <w:szCs w:val="20"/>
                <w:color w:val="auto"/>
              </w:rPr>
            </w:pPr>
            <w:r>
              <w:rPr>
                <w:rFonts w:ascii="Arial" w:cs="Arial" w:eastAsia="Arial" w:hAnsi="Arial"/>
                <w:sz w:val="13"/>
                <w:szCs w:val="13"/>
                <w:color w:val="auto"/>
              </w:rPr>
              <w:t>4,409</w:t>
            </w:r>
          </w:p>
        </w:tc>
        <w:tc>
          <w:tcPr>
            <w:tcW w:w="820" w:type="dxa"/>
            <w:vAlign w:val="bottom"/>
            <w:shd w:val="clear" w:color="auto" w:fill="D8D8D8"/>
          </w:tcPr>
          <w:p>
            <w:pPr>
              <w:jc w:val="right"/>
              <w:ind w:right="53"/>
              <w:spacing w:after="0" w:line="136" w:lineRule="exact"/>
              <w:rPr>
                <w:sz w:val="20"/>
                <w:szCs w:val="20"/>
                <w:color w:val="auto"/>
              </w:rPr>
            </w:pPr>
            <w:r>
              <w:rPr>
                <w:rFonts w:ascii="Arial" w:cs="Arial" w:eastAsia="Arial" w:hAnsi="Arial"/>
                <w:sz w:val="13"/>
                <w:szCs w:val="13"/>
                <w:color w:val="auto"/>
              </w:rPr>
              <w:t>5,226,695</w:t>
            </w:r>
          </w:p>
        </w:tc>
        <w:tc>
          <w:tcPr>
            <w:tcW w:w="0" w:type="dxa"/>
            <w:vAlign w:val="bottom"/>
          </w:tcPr>
          <w:p>
            <w:pPr>
              <w:spacing w:after="0"/>
              <w:rPr>
                <w:sz w:val="1"/>
                <w:szCs w:val="1"/>
                <w:color w:val="auto"/>
              </w:rPr>
            </w:pPr>
          </w:p>
        </w:tc>
      </w:tr>
      <w:tr>
        <w:trPr>
          <w:trHeight w:val="149"/>
        </w:trPr>
        <w:tc>
          <w:tcPr>
            <w:tcW w:w="4600" w:type="dxa"/>
            <w:vAlign w:val="bottom"/>
            <w:shd w:val="clear" w:color="auto" w:fill="D8D8D8"/>
          </w:tcPr>
          <w:p>
            <w:pPr>
              <w:ind w:left="60"/>
              <w:spacing w:after="0"/>
              <w:rPr>
                <w:sz w:val="20"/>
                <w:szCs w:val="20"/>
                <w:color w:val="auto"/>
              </w:rPr>
            </w:pPr>
            <w:r>
              <w:rPr>
                <w:rFonts w:ascii="Arial" w:cs="Arial" w:eastAsia="Arial" w:hAnsi="Arial"/>
                <w:sz w:val="13"/>
                <w:szCs w:val="13"/>
                <w:i w:val="1"/>
                <w:iCs w:val="1"/>
                <w:color w:val="auto"/>
              </w:rPr>
              <w:t>Executive Vice President, Chief Financial Officer and Head of Business</w:t>
            </w:r>
          </w:p>
        </w:tc>
        <w:tc>
          <w:tcPr>
            <w:tcW w:w="50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100" w:type="dxa"/>
            <w:vAlign w:val="bottom"/>
            <w:shd w:val="clear" w:color="auto" w:fill="D8D8D8"/>
          </w:tcPr>
          <w:p>
            <w:pPr>
              <w:spacing w:after="0"/>
              <w:rPr>
                <w:sz w:val="12"/>
                <w:szCs w:val="12"/>
                <w:color w:val="auto"/>
              </w:rPr>
            </w:pPr>
          </w:p>
        </w:tc>
        <w:tc>
          <w:tcPr>
            <w:tcW w:w="110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shd w:val="clear" w:color="auto" w:fill="D8D8D8"/>
          </w:tcPr>
          <w:p>
            <w:pPr>
              <w:ind w:left="60"/>
              <w:spacing w:after="0"/>
              <w:rPr>
                <w:sz w:val="20"/>
                <w:szCs w:val="20"/>
                <w:color w:val="auto"/>
              </w:rPr>
            </w:pPr>
            <w:r>
              <w:rPr>
                <w:rFonts w:ascii="Arial" w:cs="Arial" w:eastAsia="Arial" w:hAnsi="Arial"/>
                <w:sz w:val="13"/>
                <w:szCs w:val="13"/>
                <w:i w:val="1"/>
                <w:iCs w:val="1"/>
                <w:color w:val="auto"/>
              </w:rPr>
              <w:t>Development</w:t>
            </w:r>
          </w:p>
        </w:tc>
        <w:tc>
          <w:tcPr>
            <w:tcW w:w="50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74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78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82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600" w:type="dxa"/>
            <w:vAlign w:val="bottom"/>
          </w:tcPr>
          <w:p>
            <w:pPr>
              <w:ind w:left="60"/>
              <w:spacing w:after="0" w:line="136" w:lineRule="exact"/>
              <w:rPr>
                <w:sz w:val="20"/>
                <w:szCs w:val="20"/>
                <w:color w:val="auto"/>
              </w:rPr>
            </w:pPr>
            <w:r>
              <w:rPr>
                <w:rFonts w:ascii="Arial" w:cs="Arial" w:eastAsia="Arial" w:hAnsi="Arial"/>
                <w:sz w:val="13"/>
                <w:szCs w:val="13"/>
                <w:color w:val="auto"/>
              </w:rPr>
              <w:t>Matthew Henn, Ph.D.</w:t>
            </w:r>
          </w:p>
        </w:tc>
        <w:tc>
          <w:tcPr>
            <w:tcW w:w="500" w:type="dxa"/>
            <w:vAlign w:val="bottom"/>
          </w:tcPr>
          <w:p>
            <w:pPr>
              <w:ind w:left="100"/>
              <w:spacing w:after="0" w:line="136" w:lineRule="exact"/>
              <w:rPr>
                <w:sz w:val="20"/>
                <w:szCs w:val="20"/>
                <w:color w:val="auto"/>
              </w:rPr>
            </w:pPr>
            <w:r>
              <w:rPr>
                <w:rFonts w:ascii="Arial" w:cs="Arial" w:eastAsia="Arial" w:hAnsi="Arial"/>
                <w:sz w:val="13"/>
                <w:szCs w:val="13"/>
                <w:color w:val="auto"/>
              </w:rPr>
              <w:t>2021</w:t>
            </w:r>
          </w:p>
        </w:tc>
        <w:tc>
          <w:tcPr>
            <w:tcW w:w="660" w:type="dxa"/>
            <w:vAlign w:val="bottom"/>
          </w:tcPr>
          <w:p>
            <w:pPr>
              <w:ind w:left="100"/>
              <w:spacing w:after="0" w:line="136" w:lineRule="exact"/>
              <w:rPr>
                <w:sz w:val="20"/>
                <w:szCs w:val="20"/>
                <w:color w:val="auto"/>
              </w:rPr>
            </w:pPr>
            <w:r>
              <w:rPr>
                <w:rFonts w:ascii="Arial" w:cs="Arial" w:eastAsia="Arial" w:hAnsi="Arial"/>
                <w:sz w:val="13"/>
                <w:szCs w:val="13"/>
                <w:color w:val="auto"/>
              </w:rPr>
              <w:t>430,000</w:t>
            </w:r>
          </w:p>
        </w:tc>
        <w:tc>
          <w:tcPr>
            <w:tcW w:w="740" w:type="dxa"/>
            <w:vAlign w:val="bottom"/>
          </w:tcPr>
          <w:p>
            <w:pPr>
              <w:jc w:val="right"/>
              <w:ind w:right="153"/>
              <w:spacing w:after="0" w:line="136"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3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3"/>
              <w:spacing w:after="0" w:line="136" w:lineRule="exact"/>
              <w:rPr>
                <w:sz w:val="20"/>
                <w:szCs w:val="20"/>
                <w:color w:val="auto"/>
              </w:rPr>
            </w:pPr>
            <w:r>
              <w:rPr>
                <w:rFonts w:ascii="Arial" w:cs="Arial" w:eastAsia="Arial" w:hAnsi="Arial"/>
                <w:sz w:val="13"/>
                <w:szCs w:val="13"/>
                <w:color w:val="auto"/>
              </w:rPr>
              <w:t>2,960,014</w:t>
            </w:r>
          </w:p>
        </w:tc>
        <w:tc>
          <w:tcPr>
            <w:tcW w:w="1100" w:type="dxa"/>
            <w:vAlign w:val="bottom"/>
          </w:tcPr>
          <w:p>
            <w:pPr>
              <w:jc w:val="right"/>
              <w:ind w:right="13"/>
              <w:spacing w:after="0" w:line="136" w:lineRule="exact"/>
              <w:rPr>
                <w:sz w:val="20"/>
                <w:szCs w:val="20"/>
                <w:color w:val="auto"/>
              </w:rPr>
            </w:pPr>
            <w:r>
              <w:rPr>
                <w:rFonts w:ascii="Arial" w:cs="Arial" w:eastAsia="Arial" w:hAnsi="Arial"/>
                <w:sz w:val="13"/>
                <w:szCs w:val="13"/>
                <w:color w:val="auto"/>
              </w:rPr>
              <w:t>153,080</w:t>
            </w:r>
          </w:p>
        </w:tc>
        <w:tc>
          <w:tcPr>
            <w:tcW w:w="11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8,698</w:t>
            </w:r>
          </w:p>
        </w:tc>
        <w:tc>
          <w:tcPr>
            <w:tcW w:w="8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3,551,792</w:t>
            </w:r>
          </w:p>
        </w:tc>
        <w:tc>
          <w:tcPr>
            <w:tcW w:w="0" w:type="dxa"/>
            <w:vAlign w:val="bottom"/>
          </w:tcPr>
          <w:p>
            <w:pPr>
              <w:spacing w:after="0"/>
              <w:rPr>
                <w:sz w:val="1"/>
                <w:szCs w:val="1"/>
                <w:color w:val="auto"/>
              </w:rPr>
            </w:pPr>
          </w:p>
        </w:tc>
      </w:tr>
      <w:tr>
        <w:trPr>
          <w:trHeight w:val="16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3"/>
                <w:szCs w:val="13"/>
                <w:i w:val="1"/>
                <w:iCs w:val="1"/>
                <w:color w:val="auto"/>
              </w:rPr>
              <w:t>Executive Vice President and Chief Scientific Officer</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440" w:right="220" w:hanging="324"/>
        <w:spacing w:after="0" w:line="266" w:lineRule="auto"/>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and stock awards computed in accordance with FASB ASC Topic 718. For a description of the assumptions used in valuing these awards, see Note 11 to our audited consolidated financial statements included in our Annual Report on Form 10-K for the fiscal year ended December 31, 2021.</w:t>
      </w:r>
    </w:p>
    <w:p>
      <w:pPr>
        <w:spacing w:after="0" w:line="181" w:lineRule="exact"/>
        <w:rPr>
          <w:rFonts w:ascii="Arial" w:cs="Arial" w:eastAsia="Arial" w:hAnsi="Arial"/>
          <w:sz w:val="13"/>
          <w:szCs w:val="13"/>
          <w:color w:val="auto"/>
        </w:rPr>
      </w:pPr>
    </w:p>
    <w:p>
      <w:pPr>
        <w:ind w:left="440" w:right="660" w:hanging="324"/>
        <w:spacing w:after="0" w:line="281" w:lineRule="auto"/>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amounts paid under our annual cash bonus program. For additional information regarding these amounts, refer to “—Narrative Disclosure to 2021 Summary Compensation Table—Annual Cash Bonuses.”</w:t>
      </w:r>
    </w:p>
    <w:p>
      <w:pPr>
        <w:spacing w:after="0" w:line="14" w:lineRule="exact"/>
        <w:rPr>
          <w:rFonts w:ascii="Arial" w:cs="Arial" w:eastAsia="Arial" w:hAnsi="Arial"/>
          <w:sz w:val="13"/>
          <w:szCs w:val="13"/>
          <w:color w:val="auto"/>
        </w:rPr>
      </w:pPr>
    </w:p>
    <w:p>
      <w:pPr>
        <w:ind w:left="440" w:hanging="324"/>
        <w:spacing w:after="0"/>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company matching contributions under our 401(k) plan.</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a sign-on bonus payable to Mr. Arkowitz in connection with his commencement of employment with us on June 1, 2021.</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NARRATIVE DISCLOSURE TO 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primary elements of compensation for our NEOs are base salary, annual cash bonuses and long- 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0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61"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Our Compensation and Talent Committee periodically reviews NEO base salaries in consultation with management and Aon to determine whether any adjustments are necessary or appropriate. The following table shows the annual base salaries of our NEOs for 2020, 2021 and 2022. Except as otherwise noted, all annual base salary increases were effective January 1 of the given year.</w:t>
      </w:r>
    </w:p>
    <w:p>
      <w:pPr>
        <w:spacing w:after="0" w:line="93"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17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780" w:type="dxa"/>
            <w:vAlign w:val="bottom"/>
            <w:tcBorders>
              <w:bottom w:val="single" w:sz="8" w:color="auto"/>
            </w:tcBorders>
            <w:shd w:val="clear" w:color="auto" w:fill="E5E5E5"/>
          </w:tcPr>
          <w:p>
            <w:pPr>
              <w:jc w:val="right"/>
              <w:ind w:right="413"/>
              <w:spacing w:after="0"/>
              <w:rPr>
                <w:sz w:val="20"/>
                <w:szCs w:val="20"/>
                <w:color w:val="auto"/>
              </w:rPr>
            </w:pPr>
            <w:r>
              <w:rPr>
                <w:rFonts w:ascii="Arial" w:cs="Arial" w:eastAsia="Arial" w:hAnsi="Arial"/>
                <w:sz w:val="13"/>
                <w:szCs w:val="13"/>
                <w:b w:val="1"/>
                <w:bCs w:val="1"/>
                <w:color w:val="auto"/>
              </w:rPr>
              <w:t>2020 Annual Base Salary ($)</w:t>
            </w:r>
          </w:p>
        </w:tc>
        <w:tc>
          <w:tcPr>
            <w:tcW w:w="2780" w:type="dxa"/>
            <w:vAlign w:val="bottom"/>
            <w:tcBorders>
              <w:bottom w:val="single" w:sz="8" w:color="auto"/>
            </w:tcBorders>
            <w:shd w:val="clear" w:color="auto" w:fill="E5E5E5"/>
          </w:tcPr>
          <w:p>
            <w:pPr>
              <w:jc w:val="right"/>
              <w:ind w:right="413"/>
              <w:spacing w:after="0"/>
              <w:rPr>
                <w:sz w:val="20"/>
                <w:szCs w:val="20"/>
                <w:color w:val="auto"/>
              </w:rPr>
            </w:pPr>
            <w:r>
              <w:rPr>
                <w:rFonts w:ascii="Arial" w:cs="Arial" w:eastAsia="Arial" w:hAnsi="Arial"/>
                <w:sz w:val="13"/>
                <w:szCs w:val="13"/>
                <w:b w:val="1"/>
                <w:bCs w:val="1"/>
                <w:color w:val="auto"/>
              </w:rPr>
              <w:t>2021 Annual Base Salary ($)</w:t>
            </w:r>
          </w:p>
        </w:tc>
        <w:tc>
          <w:tcPr>
            <w:tcW w:w="2780" w:type="dxa"/>
            <w:vAlign w:val="bottom"/>
            <w:tcBorders>
              <w:bottom w:val="single" w:sz="8" w:color="auto"/>
            </w:tcBorders>
            <w:shd w:val="clear" w:color="auto" w:fill="E5E5E5"/>
          </w:tcPr>
          <w:p>
            <w:pPr>
              <w:jc w:val="right"/>
              <w:ind w:right="413"/>
              <w:spacing w:after="0"/>
              <w:rPr>
                <w:sz w:val="20"/>
                <w:szCs w:val="20"/>
                <w:color w:val="auto"/>
              </w:rPr>
            </w:pPr>
            <w:r>
              <w:rPr>
                <w:rFonts w:ascii="Arial" w:cs="Arial" w:eastAsia="Arial" w:hAnsi="Arial"/>
                <w:sz w:val="13"/>
                <w:szCs w:val="13"/>
                <w:b w:val="1"/>
                <w:bCs w:val="1"/>
                <w:color w:val="auto"/>
              </w:rPr>
              <w:t>2022 Annual Base Salary ($)</w:t>
            </w:r>
          </w:p>
        </w:tc>
      </w:tr>
      <w:tr>
        <w:trPr>
          <w:trHeight w:val="142"/>
        </w:trPr>
        <w:tc>
          <w:tcPr>
            <w:tcW w:w="1780" w:type="dxa"/>
            <w:vAlign w:val="bottom"/>
          </w:tcPr>
          <w:p>
            <w:pPr>
              <w:ind w:left="80"/>
              <w:spacing w:after="0" w:line="142" w:lineRule="exact"/>
              <w:rPr>
                <w:sz w:val="20"/>
                <w:szCs w:val="20"/>
                <w:color w:val="auto"/>
              </w:rPr>
            </w:pPr>
            <w:r>
              <w:rPr>
                <w:rFonts w:ascii="Arial" w:cs="Arial" w:eastAsia="Arial" w:hAnsi="Arial"/>
                <w:sz w:val="13"/>
                <w:szCs w:val="13"/>
                <w:color w:val="auto"/>
              </w:rPr>
              <w:t>Eric D. Shaff</w:t>
            </w:r>
          </w:p>
        </w:tc>
        <w:tc>
          <w:tcPr>
            <w:tcW w:w="2780" w:type="dxa"/>
            <w:vAlign w:val="bottom"/>
          </w:tcPr>
          <w:p>
            <w:pPr>
              <w:jc w:val="right"/>
              <w:ind w:right="413"/>
              <w:spacing w:after="0" w:line="142" w:lineRule="exact"/>
              <w:rPr>
                <w:sz w:val="20"/>
                <w:szCs w:val="20"/>
                <w:color w:val="auto"/>
              </w:rPr>
            </w:pPr>
            <w:r>
              <w:rPr>
                <w:rFonts w:ascii="Arial" w:cs="Arial" w:eastAsia="Arial" w:hAnsi="Arial"/>
                <w:sz w:val="13"/>
                <w:szCs w:val="13"/>
                <w:color w:val="auto"/>
              </w:rPr>
              <w:t>590,000</w:t>
            </w:r>
          </w:p>
        </w:tc>
        <w:tc>
          <w:tcPr>
            <w:tcW w:w="2780" w:type="dxa"/>
            <w:vAlign w:val="bottom"/>
          </w:tcPr>
          <w:p>
            <w:pPr>
              <w:jc w:val="right"/>
              <w:ind w:right="413"/>
              <w:spacing w:after="0" w:line="142" w:lineRule="exact"/>
              <w:rPr>
                <w:sz w:val="20"/>
                <w:szCs w:val="20"/>
                <w:color w:val="auto"/>
              </w:rPr>
            </w:pPr>
            <w:r>
              <w:rPr>
                <w:rFonts w:ascii="Arial" w:cs="Arial" w:eastAsia="Arial" w:hAnsi="Arial"/>
                <w:sz w:val="13"/>
                <w:szCs w:val="13"/>
                <w:color w:val="auto"/>
              </w:rPr>
              <w:t>625,400</w:t>
            </w:r>
          </w:p>
        </w:tc>
        <w:tc>
          <w:tcPr>
            <w:tcW w:w="2780" w:type="dxa"/>
            <w:vAlign w:val="bottom"/>
          </w:tcPr>
          <w:p>
            <w:pPr>
              <w:jc w:val="right"/>
              <w:ind w:right="413"/>
              <w:spacing w:after="0" w:line="142" w:lineRule="exact"/>
              <w:rPr>
                <w:sz w:val="20"/>
                <w:szCs w:val="20"/>
                <w:color w:val="auto"/>
              </w:rPr>
            </w:pPr>
            <w:r>
              <w:rPr>
                <w:rFonts w:ascii="Arial" w:cs="Arial" w:eastAsia="Arial" w:hAnsi="Arial"/>
                <w:sz w:val="13"/>
                <w:szCs w:val="13"/>
                <w:color w:val="auto"/>
              </w:rPr>
              <w:t>661,600</w:t>
            </w:r>
          </w:p>
        </w:tc>
      </w:tr>
      <w:tr>
        <w:trPr>
          <w:trHeight w:val="149"/>
        </w:trPr>
        <w:tc>
          <w:tcPr>
            <w:tcW w:w="1780" w:type="dxa"/>
            <w:vAlign w:val="bottom"/>
            <w:shd w:val="clear" w:color="auto" w:fill="D8D8D8"/>
          </w:tcPr>
          <w:p>
            <w:pPr>
              <w:ind w:left="80"/>
              <w:spacing w:after="0"/>
              <w:rPr>
                <w:sz w:val="20"/>
                <w:szCs w:val="20"/>
                <w:color w:val="auto"/>
              </w:rPr>
            </w:pPr>
            <w:r>
              <w:rPr>
                <w:rFonts w:ascii="Arial" w:cs="Arial" w:eastAsia="Arial" w:hAnsi="Arial"/>
                <w:sz w:val="13"/>
                <w:szCs w:val="13"/>
                <w:color w:val="auto"/>
              </w:rPr>
              <w:t>David Arkowitz</w:t>
            </w:r>
            <w:r>
              <w:rPr>
                <w:rFonts w:ascii="Arial" w:cs="Arial" w:eastAsia="Arial" w:hAnsi="Arial"/>
                <w:sz w:val="11"/>
                <w:szCs w:val="11"/>
                <w:color w:val="auto"/>
              </w:rPr>
              <w:t>(1)</w:t>
            </w:r>
          </w:p>
        </w:tc>
        <w:tc>
          <w:tcPr>
            <w:tcW w:w="2780" w:type="dxa"/>
            <w:vAlign w:val="bottom"/>
            <w:shd w:val="clear" w:color="auto" w:fill="D8D8D8"/>
          </w:tcPr>
          <w:p>
            <w:pPr>
              <w:jc w:val="right"/>
              <w:ind w:right="413"/>
              <w:spacing w:after="0"/>
              <w:rPr>
                <w:sz w:val="20"/>
                <w:szCs w:val="20"/>
                <w:color w:val="auto"/>
              </w:rPr>
            </w:pPr>
            <w:r>
              <w:rPr>
                <w:rFonts w:ascii="Arial" w:cs="Arial" w:eastAsia="Arial" w:hAnsi="Arial"/>
                <w:sz w:val="13"/>
                <w:szCs w:val="13"/>
                <w:color w:val="auto"/>
              </w:rPr>
              <w:t>—</w:t>
            </w:r>
          </w:p>
        </w:tc>
        <w:tc>
          <w:tcPr>
            <w:tcW w:w="2780" w:type="dxa"/>
            <w:vAlign w:val="bottom"/>
            <w:shd w:val="clear" w:color="auto" w:fill="D8D8D8"/>
          </w:tcPr>
          <w:p>
            <w:pPr>
              <w:jc w:val="right"/>
              <w:ind w:right="413"/>
              <w:spacing w:after="0"/>
              <w:rPr>
                <w:sz w:val="20"/>
                <w:szCs w:val="20"/>
                <w:color w:val="auto"/>
              </w:rPr>
            </w:pPr>
            <w:r>
              <w:rPr>
                <w:rFonts w:ascii="Arial" w:cs="Arial" w:eastAsia="Arial" w:hAnsi="Arial"/>
                <w:sz w:val="13"/>
                <w:szCs w:val="13"/>
                <w:color w:val="auto"/>
              </w:rPr>
              <w:t>455,000</w:t>
            </w:r>
          </w:p>
        </w:tc>
        <w:tc>
          <w:tcPr>
            <w:tcW w:w="2780" w:type="dxa"/>
            <w:vAlign w:val="bottom"/>
            <w:shd w:val="clear" w:color="auto" w:fill="D8D8D8"/>
          </w:tcPr>
          <w:p>
            <w:pPr>
              <w:jc w:val="right"/>
              <w:ind w:right="413"/>
              <w:spacing w:after="0"/>
              <w:rPr>
                <w:sz w:val="20"/>
                <w:szCs w:val="20"/>
                <w:color w:val="auto"/>
              </w:rPr>
            </w:pPr>
            <w:r>
              <w:rPr>
                <w:rFonts w:ascii="Arial" w:cs="Arial" w:eastAsia="Arial" w:hAnsi="Arial"/>
                <w:sz w:val="13"/>
                <w:szCs w:val="13"/>
                <w:color w:val="auto"/>
              </w:rPr>
              <w:t>470,900</w:t>
            </w:r>
          </w:p>
        </w:tc>
      </w:tr>
      <w:tr>
        <w:trPr>
          <w:trHeight w:val="148"/>
        </w:trPr>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Matthew Henn, Ph.D.</w:t>
            </w:r>
          </w:p>
        </w:tc>
        <w:tc>
          <w:tcPr>
            <w:tcW w:w="27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397,000</w:t>
            </w:r>
          </w:p>
        </w:tc>
        <w:tc>
          <w:tcPr>
            <w:tcW w:w="27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430,000</w:t>
            </w:r>
          </w:p>
        </w:tc>
        <w:tc>
          <w:tcPr>
            <w:tcW w:w="278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450,000</w:t>
            </w:r>
          </w:p>
        </w:tc>
      </w:tr>
    </w:tbl>
    <w:p>
      <w:pPr>
        <w:spacing w:after="0" w:line="109"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Arkowitz commenced employment with us on June 1, 2021.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02"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color w:val="auto"/>
        </w:rPr>
        <w:t>Our NEOs generally have the opportunity to earn annual performance bonuses based on the achievement of short-term performance goals. The NEOs’ 2021 target annual cash bonuses, expressed as a percentage of base salary, were: 60% for Mr. Shaff and 40% for Mr. Arkowitz and Dr. Henn.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Our Compensation and Talent Committee generally determines annual bonuses for our NEOs by multiplying (a) base salary, by (b) target cash bonus percentage, by (c) the level of achievement of corporate and/or individual performance objectives. In addition, the Compensation and Talent Committee retains discretion to adjust annual bonuses as it determines to be appropriate to reflect company performance, individual performance or other factors that the committee believes to be appropriate. For Mr. Arkowitz and Dr. Henn, the achievement of 2021 corporate objectives was weighted 80% and the achievement of individual objectives was weighted at 20%. Mr. Shaff’s 2021 bonus was weighted 100% on corporate objectives.</w:t>
      </w:r>
    </w:p>
    <w:p>
      <w:pPr>
        <w:spacing w:after="0" w:line="179"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The table below provides additional details about the Compensation and Talent Committee’s assessment of our actual performance against our 2021 corporate objectives: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2021 Corporate Objective</w:t>
            </w:r>
          </w:p>
        </w:tc>
        <w:tc>
          <w:tcPr>
            <w:tcW w:w="2180" w:type="dxa"/>
            <w:vAlign w:val="bottom"/>
            <w:tcBorders>
              <w:bottom w:val="single" w:sz="8" w:color="auto"/>
            </w:tcBorders>
            <w:shd w:val="clear" w:color="auto" w:fill="E5E5E5"/>
          </w:tcPr>
          <w:p>
            <w:pPr>
              <w:jc w:val="right"/>
              <w:ind w:right="393"/>
              <w:spacing w:after="0"/>
              <w:rPr>
                <w:sz w:val="20"/>
                <w:szCs w:val="20"/>
                <w:color w:val="auto"/>
              </w:rPr>
            </w:pPr>
            <w:r>
              <w:rPr>
                <w:rFonts w:ascii="Arial" w:cs="Arial" w:eastAsia="Arial" w:hAnsi="Arial"/>
                <w:sz w:val="13"/>
                <w:szCs w:val="13"/>
                <w:b w:val="1"/>
                <w:bCs w:val="1"/>
                <w:color w:val="auto"/>
              </w:rPr>
              <w:t>Weighting</w:t>
            </w:r>
          </w:p>
        </w:tc>
        <w:tc>
          <w:tcPr>
            <w:tcW w:w="2320" w:type="dxa"/>
            <w:vAlign w:val="bottom"/>
            <w:tcBorders>
              <w:bottom w:val="single" w:sz="8" w:color="auto"/>
            </w:tcBorders>
            <w:shd w:val="clear" w:color="auto" w:fill="E5E5E5"/>
          </w:tcPr>
          <w:p>
            <w:pPr>
              <w:jc w:val="right"/>
              <w:ind w:right="413"/>
              <w:spacing w:after="0"/>
              <w:rPr>
                <w:sz w:val="20"/>
                <w:szCs w:val="20"/>
                <w:color w:val="auto"/>
              </w:rPr>
            </w:pPr>
            <w:r>
              <w:rPr>
                <w:rFonts w:ascii="Arial" w:cs="Arial" w:eastAsia="Arial" w:hAnsi="Arial"/>
                <w:sz w:val="13"/>
                <w:szCs w:val="13"/>
                <w:b w:val="1"/>
                <w:bCs w:val="1"/>
                <w:color w:val="auto"/>
              </w:rPr>
              <w:t>Assessed Performance</w:t>
            </w:r>
          </w:p>
        </w:tc>
      </w:tr>
      <w:tr>
        <w:trPr>
          <w:trHeight w:val="142"/>
        </w:trPr>
        <w:tc>
          <w:tcPr>
            <w:tcW w:w="6520" w:type="dxa"/>
            <w:vAlign w:val="bottom"/>
            <w:shd w:val="clear" w:color="auto" w:fill="E5E5E5"/>
          </w:tcPr>
          <w:p>
            <w:pPr>
              <w:ind w:left="60"/>
              <w:spacing w:after="0" w:line="142" w:lineRule="exact"/>
              <w:rPr>
                <w:sz w:val="20"/>
                <w:szCs w:val="20"/>
                <w:color w:val="auto"/>
              </w:rPr>
            </w:pPr>
            <w:r>
              <w:rPr>
                <w:rFonts w:ascii="Arial" w:cs="Arial" w:eastAsia="Arial" w:hAnsi="Arial"/>
                <w:sz w:val="13"/>
                <w:szCs w:val="13"/>
                <w:i w:val="1"/>
                <w:iCs w:val="1"/>
                <w:color w:val="auto"/>
              </w:rPr>
              <w:t>Program Objectives</w:t>
            </w:r>
            <w:r>
              <w:rPr>
                <w:rFonts w:ascii="Arial" w:cs="Arial" w:eastAsia="Arial" w:hAnsi="Arial"/>
                <w:sz w:val="11"/>
                <w:szCs w:val="11"/>
                <w:i w:val="1"/>
                <w:iCs w:val="1"/>
                <w:color w:val="auto"/>
              </w:rPr>
              <w:t>(1)</w:t>
            </w:r>
          </w:p>
        </w:tc>
        <w:tc>
          <w:tcPr>
            <w:tcW w:w="2180" w:type="dxa"/>
            <w:vAlign w:val="bottom"/>
            <w:shd w:val="clear" w:color="auto" w:fill="E5E5E5"/>
          </w:tcPr>
          <w:p>
            <w:pPr>
              <w:spacing w:after="0"/>
              <w:rPr>
                <w:sz w:val="12"/>
                <w:szCs w:val="12"/>
                <w:color w:val="auto"/>
              </w:rPr>
            </w:pPr>
          </w:p>
        </w:tc>
        <w:tc>
          <w:tcPr>
            <w:tcW w:w="2320" w:type="dxa"/>
            <w:vAlign w:val="bottom"/>
            <w:shd w:val="clear" w:color="auto" w:fill="E5E5E5"/>
          </w:tcPr>
          <w:p>
            <w:pPr>
              <w:spacing w:after="0"/>
              <w:rPr>
                <w:sz w:val="12"/>
                <w:szCs w:val="12"/>
                <w:color w:val="auto"/>
              </w:rPr>
            </w:pPr>
          </w:p>
        </w:tc>
      </w:tr>
      <w:tr>
        <w:trPr>
          <w:trHeight w:val="153"/>
        </w:trPr>
        <w:tc>
          <w:tcPr>
            <w:tcW w:w="6520" w:type="dxa"/>
            <w:vAlign w:val="bottom"/>
          </w:tcPr>
          <w:p>
            <w:pPr>
              <w:ind w:left="280"/>
              <w:spacing w:after="0" w:line="153" w:lineRule="exact"/>
              <w:rPr>
                <w:sz w:val="20"/>
                <w:szCs w:val="20"/>
                <w:color w:val="auto"/>
              </w:rPr>
            </w:pPr>
            <w:r>
              <w:rPr>
                <w:rFonts w:ascii="Arial" w:cs="Arial" w:eastAsia="Arial" w:hAnsi="Arial"/>
                <w:sz w:val="14"/>
                <w:szCs w:val="14"/>
                <w:color w:val="auto"/>
              </w:rPr>
              <w:t>SER-109: BLA submission readiness</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22%</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19.8%</w:t>
            </w:r>
          </w:p>
        </w:tc>
      </w:tr>
      <w:tr>
        <w:trPr>
          <w:trHeight w:val="162"/>
        </w:trPr>
        <w:tc>
          <w:tcPr>
            <w:tcW w:w="6520" w:type="dxa"/>
            <w:vAlign w:val="bottom"/>
          </w:tcPr>
          <w:p>
            <w:pPr>
              <w:ind w:left="280"/>
              <w:spacing w:after="0"/>
              <w:rPr>
                <w:sz w:val="20"/>
                <w:szCs w:val="20"/>
                <w:color w:val="auto"/>
              </w:rPr>
            </w:pPr>
            <w:r>
              <w:rPr>
                <w:rFonts w:ascii="Arial" w:cs="Arial" w:eastAsia="Arial" w:hAnsi="Arial"/>
                <w:sz w:val="14"/>
                <w:szCs w:val="14"/>
                <w:color w:val="auto"/>
              </w:rPr>
              <w:t>SER-287: Phase 2b topline results available</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15%</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7.5%</w:t>
            </w:r>
          </w:p>
        </w:tc>
      </w:tr>
      <w:tr>
        <w:trPr>
          <w:trHeight w:val="162"/>
        </w:trPr>
        <w:tc>
          <w:tcPr>
            <w:tcW w:w="6520" w:type="dxa"/>
            <w:vAlign w:val="bottom"/>
          </w:tcPr>
          <w:p>
            <w:pPr>
              <w:ind w:left="280"/>
              <w:spacing w:after="0"/>
              <w:rPr>
                <w:sz w:val="20"/>
                <w:szCs w:val="20"/>
                <w:color w:val="auto"/>
              </w:rPr>
            </w:pPr>
            <w:r>
              <w:rPr>
                <w:rFonts w:ascii="Arial" w:cs="Arial" w:eastAsia="Arial" w:hAnsi="Arial"/>
                <w:sz w:val="14"/>
                <w:szCs w:val="14"/>
                <w:color w:val="auto"/>
              </w:rPr>
              <w:t>SER-301: Evaluate phase 1b cohort 1 results</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10%</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8.5%</w:t>
            </w:r>
          </w:p>
        </w:tc>
      </w:tr>
      <w:tr>
        <w:trPr>
          <w:trHeight w:val="171"/>
        </w:trPr>
        <w:tc>
          <w:tcPr>
            <w:tcW w:w="6520" w:type="dxa"/>
            <w:vAlign w:val="bottom"/>
          </w:tcPr>
          <w:p>
            <w:pPr>
              <w:ind w:left="280"/>
              <w:spacing w:after="0"/>
              <w:rPr>
                <w:sz w:val="20"/>
                <w:szCs w:val="20"/>
                <w:color w:val="auto"/>
              </w:rPr>
            </w:pPr>
            <w:r>
              <w:rPr>
                <w:rFonts w:ascii="Arial" w:cs="Arial" w:eastAsia="Arial" w:hAnsi="Arial"/>
                <w:sz w:val="14"/>
                <w:szCs w:val="14"/>
                <w:color w:val="auto"/>
              </w:rPr>
              <w:t>SER-155: Initiate phase 1b study</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4%</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3.4%</w:t>
            </w:r>
          </w:p>
        </w:tc>
      </w:tr>
      <w:tr>
        <w:trPr>
          <w:trHeight w:val="148"/>
        </w:trPr>
        <w:tc>
          <w:tcPr>
            <w:tcW w:w="6520" w:type="dxa"/>
            <w:vAlign w:val="bottom"/>
            <w:shd w:val="clear" w:color="auto" w:fill="D8D8D8"/>
          </w:tcPr>
          <w:p>
            <w:pPr>
              <w:ind w:left="60"/>
              <w:spacing w:after="0"/>
              <w:rPr>
                <w:sz w:val="20"/>
                <w:szCs w:val="20"/>
                <w:color w:val="auto"/>
              </w:rPr>
            </w:pPr>
            <w:r>
              <w:rPr>
                <w:rFonts w:ascii="Arial" w:cs="Arial" w:eastAsia="Arial" w:hAnsi="Arial"/>
                <w:sz w:val="13"/>
                <w:szCs w:val="13"/>
                <w:i w:val="1"/>
                <w:iCs w:val="1"/>
                <w:color w:val="auto"/>
              </w:rPr>
              <w:t>Franchise Objectives</w:t>
            </w:r>
            <w:r>
              <w:rPr>
                <w:rFonts w:ascii="Arial" w:cs="Arial" w:eastAsia="Arial" w:hAnsi="Arial"/>
                <w:sz w:val="11"/>
                <w:szCs w:val="11"/>
                <w:i w:val="1"/>
                <w:iCs w:val="1"/>
                <w:color w:val="auto"/>
              </w:rPr>
              <w:t>(2)</w:t>
            </w:r>
          </w:p>
        </w:tc>
        <w:tc>
          <w:tcPr>
            <w:tcW w:w="2180" w:type="dxa"/>
            <w:vAlign w:val="bottom"/>
            <w:shd w:val="clear" w:color="auto" w:fill="D8D8D8"/>
          </w:tcPr>
          <w:p>
            <w:pPr>
              <w:spacing w:after="0"/>
              <w:rPr>
                <w:sz w:val="12"/>
                <w:szCs w:val="12"/>
                <w:color w:val="auto"/>
              </w:rPr>
            </w:pPr>
          </w:p>
        </w:tc>
        <w:tc>
          <w:tcPr>
            <w:tcW w:w="2320" w:type="dxa"/>
            <w:vAlign w:val="bottom"/>
            <w:shd w:val="clear" w:color="auto" w:fill="D8D8D8"/>
          </w:tcPr>
          <w:p>
            <w:pPr>
              <w:spacing w:after="0"/>
              <w:rPr>
                <w:sz w:val="12"/>
                <w:szCs w:val="12"/>
                <w:color w:val="auto"/>
              </w:rPr>
            </w:pPr>
          </w:p>
        </w:tc>
      </w:tr>
      <w:tr>
        <w:trPr>
          <w:trHeight w:val="153"/>
        </w:trPr>
        <w:tc>
          <w:tcPr>
            <w:tcW w:w="6520" w:type="dxa"/>
            <w:vAlign w:val="bottom"/>
          </w:tcPr>
          <w:p>
            <w:pPr>
              <w:ind w:left="280"/>
              <w:spacing w:after="0" w:line="153" w:lineRule="exact"/>
              <w:rPr>
                <w:sz w:val="20"/>
                <w:szCs w:val="20"/>
                <w:color w:val="auto"/>
              </w:rPr>
            </w:pPr>
            <w:r>
              <w:rPr>
                <w:rFonts w:ascii="Arial" w:cs="Arial" w:eastAsia="Arial" w:hAnsi="Arial"/>
                <w:sz w:val="14"/>
                <w:szCs w:val="14"/>
                <w:color w:val="auto"/>
              </w:rPr>
              <w:t>IBD franchise strategy development</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5%</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4%</w:t>
            </w:r>
          </w:p>
        </w:tc>
      </w:tr>
      <w:tr>
        <w:trPr>
          <w:trHeight w:val="171"/>
        </w:trPr>
        <w:tc>
          <w:tcPr>
            <w:tcW w:w="6520" w:type="dxa"/>
            <w:vAlign w:val="bottom"/>
          </w:tcPr>
          <w:p>
            <w:pPr>
              <w:ind w:left="280"/>
              <w:spacing w:after="0"/>
              <w:rPr>
                <w:sz w:val="20"/>
                <w:szCs w:val="20"/>
                <w:color w:val="auto"/>
              </w:rPr>
            </w:pPr>
            <w:r>
              <w:rPr>
                <w:rFonts w:ascii="Arial" w:cs="Arial" w:eastAsia="Arial" w:hAnsi="Arial"/>
                <w:sz w:val="14"/>
                <w:szCs w:val="14"/>
                <w:color w:val="auto"/>
              </w:rPr>
              <w:t>CDI franchise strategy development</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5%</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5%</w:t>
            </w:r>
          </w:p>
        </w:tc>
      </w:tr>
      <w:tr>
        <w:trPr>
          <w:trHeight w:val="148"/>
        </w:trPr>
        <w:tc>
          <w:tcPr>
            <w:tcW w:w="6520" w:type="dxa"/>
            <w:vAlign w:val="bottom"/>
            <w:shd w:val="clear" w:color="auto" w:fill="D8D8D8"/>
          </w:tcPr>
          <w:p>
            <w:pPr>
              <w:ind w:left="60"/>
              <w:spacing w:after="0"/>
              <w:rPr>
                <w:sz w:val="20"/>
                <w:szCs w:val="20"/>
                <w:color w:val="auto"/>
              </w:rPr>
            </w:pPr>
            <w:r>
              <w:rPr>
                <w:rFonts w:ascii="Arial" w:cs="Arial" w:eastAsia="Arial" w:hAnsi="Arial"/>
                <w:sz w:val="13"/>
                <w:szCs w:val="13"/>
                <w:i w:val="1"/>
                <w:iCs w:val="1"/>
                <w:color w:val="auto"/>
              </w:rPr>
              <w:t>Functional Objectives</w:t>
            </w:r>
            <w:r>
              <w:rPr>
                <w:rFonts w:ascii="Arial" w:cs="Arial" w:eastAsia="Arial" w:hAnsi="Arial"/>
                <w:sz w:val="11"/>
                <w:szCs w:val="11"/>
                <w:i w:val="1"/>
                <w:iCs w:val="1"/>
                <w:color w:val="auto"/>
              </w:rPr>
              <w:t>(3)</w:t>
            </w:r>
          </w:p>
        </w:tc>
        <w:tc>
          <w:tcPr>
            <w:tcW w:w="2180" w:type="dxa"/>
            <w:vAlign w:val="bottom"/>
            <w:shd w:val="clear" w:color="auto" w:fill="D8D8D8"/>
          </w:tcPr>
          <w:p>
            <w:pPr>
              <w:spacing w:after="0"/>
              <w:rPr>
                <w:sz w:val="12"/>
                <w:szCs w:val="12"/>
                <w:color w:val="auto"/>
              </w:rPr>
            </w:pPr>
          </w:p>
        </w:tc>
        <w:tc>
          <w:tcPr>
            <w:tcW w:w="2320" w:type="dxa"/>
            <w:vAlign w:val="bottom"/>
            <w:shd w:val="clear" w:color="auto" w:fill="D8D8D8"/>
          </w:tcPr>
          <w:p>
            <w:pPr>
              <w:spacing w:after="0"/>
              <w:rPr>
                <w:sz w:val="12"/>
                <w:szCs w:val="12"/>
                <w:color w:val="auto"/>
              </w:rPr>
            </w:pPr>
          </w:p>
        </w:tc>
      </w:tr>
      <w:tr>
        <w:trPr>
          <w:trHeight w:val="153"/>
        </w:trPr>
        <w:tc>
          <w:tcPr>
            <w:tcW w:w="6520" w:type="dxa"/>
            <w:vAlign w:val="bottom"/>
          </w:tcPr>
          <w:p>
            <w:pPr>
              <w:ind w:left="280"/>
              <w:spacing w:after="0" w:line="153" w:lineRule="exact"/>
              <w:rPr>
                <w:sz w:val="20"/>
                <w:szCs w:val="20"/>
                <w:color w:val="auto"/>
              </w:rPr>
            </w:pPr>
            <w:r>
              <w:rPr>
                <w:rFonts w:ascii="Arial" w:cs="Arial" w:eastAsia="Arial" w:hAnsi="Arial"/>
                <w:sz w:val="14"/>
                <w:szCs w:val="14"/>
                <w:color w:val="auto"/>
              </w:rPr>
              <w:t>Business development planning</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6%</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6.3%</w:t>
            </w:r>
          </w:p>
        </w:tc>
      </w:tr>
      <w:tr>
        <w:trPr>
          <w:trHeight w:val="162"/>
        </w:trPr>
        <w:tc>
          <w:tcPr>
            <w:tcW w:w="6520" w:type="dxa"/>
            <w:vAlign w:val="bottom"/>
          </w:tcPr>
          <w:p>
            <w:pPr>
              <w:ind w:left="280"/>
              <w:spacing w:after="0"/>
              <w:rPr>
                <w:sz w:val="20"/>
                <w:szCs w:val="20"/>
                <w:color w:val="auto"/>
              </w:rPr>
            </w:pPr>
            <w:r>
              <w:rPr>
                <w:rFonts w:ascii="Arial" w:cs="Arial" w:eastAsia="Arial" w:hAnsi="Arial"/>
                <w:sz w:val="14"/>
                <w:szCs w:val="14"/>
                <w:color w:val="auto"/>
              </w:rPr>
              <w:t>CMC-QS</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6%</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6.3%</w:t>
            </w:r>
          </w:p>
        </w:tc>
      </w:tr>
      <w:tr>
        <w:trPr>
          <w:trHeight w:val="162"/>
        </w:trPr>
        <w:tc>
          <w:tcPr>
            <w:tcW w:w="652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5%</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4.6%</w:t>
            </w:r>
          </w:p>
        </w:tc>
      </w:tr>
      <w:tr>
        <w:trPr>
          <w:trHeight w:val="162"/>
        </w:trPr>
        <w:tc>
          <w:tcPr>
            <w:tcW w:w="6520" w:type="dxa"/>
            <w:vAlign w:val="bottom"/>
          </w:tcPr>
          <w:p>
            <w:pPr>
              <w:ind w:left="280"/>
              <w:spacing w:after="0"/>
              <w:rPr>
                <w:sz w:val="20"/>
                <w:szCs w:val="20"/>
                <w:color w:val="auto"/>
              </w:rPr>
            </w:pPr>
            <w:r>
              <w:rPr>
                <w:rFonts w:ascii="Arial" w:cs="Arial" w:eastAsia="Arial" w:hAnsi="Arial"/>
                <w:sz w:val="14"/>
                <w:szCs w:val="14"/>
                <w:color w:val="auto"/>
              </w:rPr>
              <w:t>Finance</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15%</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13.1%</w:t>
            </w:r>
          </w:p>
        </w:tc>
      </w:tr>
      <w:tr>
        <w:trPr>
          <w:trHeight w:val="162"/>
        </w:trPr>
        <w:tc>
          <w:tcPr>
            <w:tcW w:w="6520" w:type="dxa"/>
            <w:vAlign w:val="bottom"/>
          </w:tcPr>
          <w:p>
            <w:pPr>
              <w:ind w:left="280"/>
              <w:spacing w:after="0"/>
              <w:rPr>
                <w:sz w:val="20"/>
                <w:szCs w:val="20"/>
                <w:color w:val="auto"/>
              </w:rPr>
            </w:pPr>
            <w:r>
              <w:rPr>
                <w:rFonts w:ascii="Arial" w:cs="Arial" w:eastAsia="Arial" w:hAnsi="Arial"/>
                <w:sz w:val="14"/>
                <w:szCs w:val="14"/>
                <w:color w:val="auto"/>
              </w:rPr>
              <w:t>Human Resources</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5%</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6.3%</w:t>
            </w:r>
          </w:p>
        </w:tc>
      </w:tr>
      <w:tr>
        <w:trPr>
          <w:trHeight w:val="171"/>
        </w:trPr>
        <w:tc>
          <w:tcPr>
            <w:tcW w:w="6520" w:type="dxa"/>
            <w:vAlign w:val="bottom"/>
          </w:tcPr>
          <w:p>
            <w:pPr>
              <w:ind w:left="280"/>
              <w:spacing w:after="0"/>
              <w:rPr>
                <w:sz w:val="20"/>
                <w:szCs w:val="20"/>
                <w:color w:val="auto"/>
              </w:rPr>
            </w:pPr>
            <w:r>
              <w:rPr>
                <w:rFonts w:ascii="Arial" w:cs="Arial" w:eastAsia="Arial" w:hAnsi="Arial"/>
                <w:sz w:val="14"/>
                <w:szCs w:val="14"/>
                <w:color w:val="auto"/>
              </w:rPr>
              <w:t>Compliance</w:t>
            </w:r>
          </w:p>
        </w:tc>
        <w:tc>
          <w:tcPr>
            <w:tcW w:w="2180" w:type="dxa"/>
            <w:vAlign w:val="bottom"/>
          </w:tcPr>
          <w:p>
            <w:pPr>
              <w:jc w:val="right"/>
              <w:ind w:right="273"/>
              <w:spacing w:after="0"/>
              <w:rPr>
                <w:sz w:val="20"/>
                <w:szCs w:val="20"/>
                <w:color w:val="auto"/>
              </w:rPr>
            </w:pPr>
            <w:r>
              <w:rPr>
                <w:rFonts w:ascii="Arial" w:cs="Arial" w:eastAsia="Arial" w:hAnsi="Arial"/>
                <w:sz w:val="13"/>
                <w:szCs w:val="13"/>
                <w:color w:val="auto"/>
              </w:rPr>
              <w:t>2%</w:t>
            </w:r>
          </w:p>
        </w:tc>
        <w:tc>
          <w:tcPr>
            <w:tcW w:w="2320" w:type="dxa"/>
            <w:vAlign w:val="bottom"/>
          </w:tcPr>
          <w:p>
            <w:pPr>
              <w:jc w:val="right"/>
              <w:ind w:right="293"/>
              <w:spacing w:after="0"/>
              <w:rPr>
                <w:sz w:val="20"/>
                <w:szCs w:val="20"/>
                <w:color w:val="auto"/>
              </w:rPr>
            </w:pPr>
            <w:r>
              <w:rPr>
                <w:rFonts w:ascii="Arial" w:cs="Arial" w:eastAsia="Arial" w:hAnsi="Arial"/>
                <w:sz w:val="13"/>
                <w:szCs w:val="13"/>
                <w:color w:val="auto"/>
              </w:rPr>
              <w:t>2%</w:t>
            </w:r>
          </w:p>
        </w:tc>
      </w:tr>
      <w:tr>
        <w:trPr>
          <w:trHeight w:val="148"/>
        </w:trPr>
        <w:tc>
          <w:tcPr>
            <w:tcW w:w="652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Total</w:t>
            </w:r>
          </w:p>
        </w:tc>
        <w:tc>
          <w:tcPr>
            <w:tcW w:w="2180" w:type="dxa"/>
            <w:vAlign w:val="bottom"/>
            <w:tcBorders>
              <w:bottom w:val="single" w:sz="8" w:color="auto"/>
            </w:tcBorders>
            <w:shd w:val="clear" w:color="auto" w:fill="D8D8D8"/>
          </w:tcPr>
          <w:p>
            <w:pPr>
              <w:jc w:val="right"/>
              <w:ind w:right="273"/>
              <w:spacing w:after="0"/>
              <w:rPr>
                <w:sz w:val="20"/>
                <w:szCs w:val="20"/>
                <w:color w:val="auto"/>
              </w:rPr>
            </w:pPr>
            <w:r>
              <w:rPr>
                <w:rFonts w:ascii="Arial" w:cs="Arial" w:eastAsia="Arial" w:hAnsi="Arial"/>
                <w:sz w:val="13"/>
                <w:szCs w:val="13"/>
                <w:color w:val="auto"/>
              </w:rPr>
              <w:t>100%</w:t>
            </w:r>
          </w:p>
        </w:tc>
        <w:tc>
          <w:tcPr>
            <w:tcW w:w="2320" w:type="dxa"/>
            <w:vAlign w:val="bottom"/>
            <w:tcBorders>
              <w:bottom w:val="single" w:sz="8" w:color="auto"/>
            </w:tcBorders>
            <w:shd w:val="clear" w:color="auto" w:fill="D8D8D8"/>
          </w:tcPr>
          <w:p>
            <w:pPr>
              <w:jc w:val="right"/>
              <w:ind w:right="293"/>
              <w:spacing w:after="0"/>
              <w:rPr>
                <w:sz w:val="20"/>
                <w:szCs w:val="20"/>
                <w:color w:val="auto"/>
              </w:rPr>
            </w:pPr>
            <w:r>
              <w:rPr>
                <w:rFonts w:ascii="Arial" w:cs="Arial" w:eastAsia="Arial" w:hAnsi="Arial"/>
                <w:sz w:val="13"/>
                <w:szCs w:val="13"/>
                <w:color w:val="auto"/>
              </w:rPr>
              <w:t>86.8%</w:t>
            </w:r>
          </w:p>
        </w:tc>
      </w:tr>
    </w:tbl>
    <w:p>
      <w:pPr>
        <w:spacing w:after="0" w:line="109" w:lineRule="exact"/>
        <w:rPr>
          <w:sz w:val="20"/>
          <w:szCs w:val="20"/>
          <w:color w:val="auto"/>
        </w:rPr>
      </w:pPr>
    </w:p>
    <w:p>
      <w:pPr>
        <w:ind w:left="440" w:right="180" w:hanging="324"/>
        <w:spacing w:after="0" w:line="281" w:lineRule="auto"/>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Assessed performance reflects the progress towards BLA submission for SER-109, the clinical execution and results of the SER-287 Phase 2b study, and adjustments on timing for certain program objectives.</w:t>
      </w:r>
    </w:p>
    <w:p>
      <w:pPr>
        <w:spacing w:after="0" w:line="14" w:lineRule="exact"/>
        <w:rPr>
          <w:rFonts w:ascii="Arial" w:cs="Arial" w:eastAsia="Arial" w:hAnsi="Arial"/>
          <w:sz w:val="13"/>
          <w:szCs w:val="13"/>
          <w:color w:val="auto"/>
        </w:rPr>
      </w:pPr>
    </w:p>
    <w:p>
      <w:pPr>
        <w:ind w:left="440" w:right="600" w:hanging="324"/>
        <w:spacing w:after="0" w:line="281" w:lineRule="auto"/>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Assessed performance reflects the timing and delivery of inflammatory bowel disease (“IBD”) and </w:t>
      </w:r>
      <w:r>
        <w:rPr>
          <w:rFonts w:ascii="Arial" w:cs="Arial" w:eastAsia="Arial" w:hAnsi="Arial"/>
          <w:sz w:val="13"/>
          <w:szCs w:val="13"/>
          <w:i w:val="1"/>
          <w:iCs w:val="1"/>
          <w:color w:val="auto"/>
        </w:rPr>
        <w:t>Clostridium difficile</w:t>
      </w:r>
      <w:r>
        <w:rPr>
          <w:rFonts w:ascii="Arial" w:cs="Arial" w:eastAsia="Arial" w:hAnsi="Arial"/>
          <w:sz w:val="13"/>
          <w:szCs w:val="13"/>
          <w:color w:val="auto"/>
        </w:rPr>
        <w:t xml:space="preserve"> infection (“CDI”) franchise strategies to our Board of Directors.</w:t>
      </w:r>
    </w:p>
    <w:p>
      <w:pPr>
        <w:spacing w:after="0" w:line="14" w:lineRule="exact"/>
        <w:rPr>
          <w:rFonts w:ascii="Arial" w:cs="Arial" w:eastAsia="Arial" w:hAnsi="Arial"/>
          <w:sz w:val="13"/>
          <w:szCs w:val="13"/>
          <w:color w:val="auto"/>
        </w:rPr>
      </w:pPr>
    </w:p>
    <w:p>
      <w:pPr>
        <w:ind w:left="440" w:right="320" w:hanging="324"/>
        <w:spacing w:after="0" w:line="259" w:lineRule="auto"/>
        <w:tabs>
          <w:tab w:leader="none" w:pos="4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Assessed performance reflects advancing preparations for potential commercialization of SER-109, including collaborations with NHSc Pharma Partners (“Nestlé”) to jointly commercialize SER-109, if approved, in the United States and Canada, and with BacThera AG to expand upon our existing capabilities for commercial product supply to meet anticipated demand in later years.</w:t>
      </w:r>
    </w:p>
    <w:p>
      <w:pPr>
        <w:spacing w:after="0" w:line="6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In February 2022, in consultation with management and based on guidance from Aon, the Compensation and Talent Committee determined to award Messrs. Shaff and Arkowitz and Dr. Henn 2021 performance bonuses of 85% of the corporate objective portion of their target bonus levels, and Mr. Arkowitz received 102.5% and Dr. Henn received 105% of the individual objectives portion of their target bonus level. Mr. Arkowitz’s 2021 bonus was pro-rated for his partial year of employment. The actual amounts paid to our NEOs under our 2021 annual cash bonus program are set forth in the 2021 Summary Compensation Table above.</w:t>
      </w:r>
    </w:p>
    <w:p>
      <w:pPr>
        <w:spacing w:after="0" w:line="68"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Our Compensation and Talent Committee periodically reviews NEO target bonus amounts in consultation with management and Aon to determine whether any adjustments are necessary or appropriate. The NEOs’ 2022 target annual cash bonus opportunity, expressed as a percentage of base salary, is: 60% for Mr. Shaff, 40% for Mr. Arkowitz and 40% for Dr. Henn.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2"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In 2021, the long-term incentive component of the compensation of our NEOs consisted of stock options and, for Mr. Arkowitz, restricted stock units. We typically grant equity incentive awards to</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employees when they commence employment with us and annually in conjunction with our review of individual performance. We may grant additional awards in the discretion of our Board of Directors or Compensation and Talent Committee. Our stock options allow employees to purchase shares of our Common Stock at a price equal to the fair market value of our Common Stock on the grant date and may be intended to qualify as “incentive stock options” under the Internal Revenue Code of 1986, as amended (the “Code”). Our restricted stock units represent the right to receive one share of our Common Stock or its cash value equivalent upon vesting.</w:t>
      </w:r>
    </w:p>
    <w:p>
      <w:pPr>
        <w:spacing w:after="0" w:line="6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and Talent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Agreements.”</w:t>
      </w:r>
    </w:p>
    <w:p>
      <w:pPr>
        <w:spacing w:after="0" w:line="7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In the first quarter of each calendar year, we generally award stock options based on the achievement of the previous year’s performance goals. We awarded time-based stock options to our NEOs during 2021 in the following amounts with exercise prices equal to the fair market value of our common stock on the date of grant and with the vesting schedule indicated below.</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74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6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3"/>
                <w:szCs w:val="13"/>
                <w:b w:val="1"/>
                <w:bCs w:val="1"/>
                <w:color w:val="auto"/>
              </w:rPr>
              <w:t>Options Granted (#)</w:t>
            </w:r>
          </w:p>
        </w:tc>
      </w:tr>
      <w:tr>
        <w:trPr>
          <w:trHeight w:val="142"/>
        </w:trPr>
        <w:tc>
          <w:tcPr>
            <w:tcW w:w="7460" w:type="dxa"/>
            <w:vAlign w:val="bottom"/>
          </w:tcPr>
          <w:p>
            <w:pPr>
              <w:ind w:left="80"/>
              <w:spacing w:after="0" w:line="142" w:lineRule="exact"/>
              <w:rPr>
                <w:sz w:val="20"/>
                <w:szCs w:val="20"/>
                <w:color w:val="auto"/>
              </w:rPr>
            </w:pPr>
            <w:r>
              <w:rPr>
                <w:rFonts w:ascii="Arial" w:cs="Arial" w:eastAsia="Arial" w:hAnsi="Arial"/>
                <w:sz w:val="13"/>
                <w:szCs w:val="13"/>
                <w:color w:val="auto"/>
              </w:rPr>
              <w:t>Eric D. Shaff</w:t>
            </w:r>
          </w:p>
        </w:tc>
        <w:tc>
          <w:tcPr>
            <w:tcW w:w="2660" w:type="dxa"/>
            <w:vAlign w:val="bottom"/>
          </w:tcPr>
          <w:p>
            <w:pPr>
              <w:jc w:val="right"/>
              <w:spacing w:after="0" w:line="142" w:lineRule="exact"/>
              <w:rPr>
                <w:sz w:val="20"/>
                <w:szCs w:val="20"/>
                <w:color w:val="auto"/>
              </w:rPr>
            </w:pPr>
            <w:r>
              <w:rPr>
                <w:rFonts w:ascii="Arial" w:cs="Arial" w:eastAsia="Arial" w:hAnsi="Arial"/>
                <w:sz w:val="13"/>
                <w:szCs w:val="13"/>
                <w:color w:val="auto"/>
              </w:rPr>
              <w:t>350,000</w:t>
            </w:r>
            <w:r>
              <w:rPr>
                <w:rFonts w:ascii="Arial" w:cs="Arial" w:eastAsia="Arial" w:hAnsi="Arial"/>
                <w:sz w:val="11"/>
                <w:szCs w:val="11"/>
                <w:color w:val="auto"/>
              </w:rPr>
              <w:t>(1)</w:t>
            </w:r>
          </w:p>
        </w:tc>
      </w:tr>
      <w:tr>
        <w:trPr>
          <w:trHeight w:val="148"/>
        </w:trPr>
        <w:tc>
          <w:tcPr>
            <w:tcW w:w="7460" w:type="dxa"/>
            <w:vAlign w:val="bottom"/>
            <w:shd w:val="clear" w:color="auto" w:fill="D8D8D8"/>
          </w:tcPr>
          <w:p>
            <w:pPr>
              <w:ind w:left="80"/>
              <w:spacing w:after="0"/>
              <w:rPr>
                <w:sz w:val="20"/>
                <w:szCs w:val="20"/>
                <w:color w:val="auto"/>
              </w:rPr>
            </w:pPr>
            <w:r>
              <w:rPr>
                <w:rFonts w:ascii="Arial" w:cs="Arial" w:eastAsia="Arial" w:hAnsi="Arial"/>
                <w:sz w:val="13"/>
                <w:szCs w:val="13"/>
                <w:color w:val="auto"/>
              </w:rPr>
              <w:t>David Arkowitz</w:t>
            </w:r>
          </w:p>
        </w:tc>
        <w:tc>
          <w:tcPr>
            <w:tcW w:w="26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270,000</w:t>
            </w:r>
            <w:r>
              <w:rPr>
                <w:rFonts w:ascii="Arial" w:cs="Arial" w:eastAsia="Arial" w:hAnsi="Arial"/>
                <w:sz w:val="11"/>
                <w:szCs w:val="11"/>
                <w:color w:val="auto"/>
              </w:rPr>
              <w:t>(1)</w:t>
            </w:r>
          </w:p>
        </w:tc>
      </w:tr>
      <w:tr>
        <w:trPr>
          <w:trHeight w:val="148"/>
        </w:trPr>
        <w:tc>
          <w:tcPr>
            <w:tcW w:w="74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Matthew Henn, Ph.D.</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130,000</w:t>
            </w:r>
            <w:r>
              <w:rPr>
                <w:rFonts w:ascii="Arial" w:cs="Arial" w:eastAsia="Arial" w:hAnsi="Arial"/>
                <w:sz w:val="11"/>
                <w:szCs w:val="11"/>
                <w:color w:val="auto"/>
              </w:rPr>
              <w:t>(1)</w:t>
            </w:r>
          </w:p>
        </w:tc>
      </w:tr>
    </w:tbl>
    <w:p>
      <w:pPr>
        <w:spacing w:after="0" w:line="109" w:lineRule="exact"/>
        <w:rPr>
          <w:sz w:val="20"/>
          <w:szCs w:val="20"/>
          <w:color w:val="auto"/>
        </w:rPr>
      </w:pPr>
    </w:p>
    <w:p>
      <w:pPr>
        <w:ind w:left="440" w:right="160" w:hanging="324"/>
        <w:spacing w:after="0" w:line="259" w:lineRule="auto"/>
        <w:tabs>
          <w:tab w:leader="none" w:pos="4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6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In addition, we awarded Mr. Shaff and Dr. Henn stock options during 2021 covering 143,000 shares and 36,750 shares, respectively, that were eligible to vest on the date that both of the following conditions are satisfied: (i) our Board of Directors or Compensation and Talent Committee (the “Administrator”) determines that the BLA for SER-287 has been approved by the U.S. Food and Drug Administration (“FDA”) and (ii) the Administrator determines that the primary endpoint in the SER-287 Phase 2b study has been attained on or prior to September 30, 2021 (the “Performance Condition”), provided that if the Administrator determines that the Performance Condition was not satisfied in the Company’s Phase 2b clinical trial, such stock option would immediately expire and be forfeited for no consideration. Each of these performance-based options expired in 2021 pursuant to their terms.</w:t>
      </w:r>
    </w:p>
    <w:p>
      <w:pPr>
        <w:spacing w:after="0" w:line="77"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Additionally, in connection with the commencement of his employment in June 2021, Mr. Arkowitz was granted an award of 5,000 restricted stock units, which are scheduled to vest on June 15, 2022, subject to his continued employment. Mr. Arkowitz was also granted 85,000 restricted stock units in November 2021 that vest (i) as to 50% of the restricted stock units, on the date that the Administrator determines that the BLA for SER-109 has been accepted by the FDA (the “BLA Acceptance”) on or prior to December 31, 2022 and (ii) as to the remaining 50% of such restricted stock units on the date that the Administrator determines that the BLA for SER-109 has been approved by the FDA (the “BLA Approval”) on or prior to December 31, 2023.</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02"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life insurance, short-term disability and long-term disability to the same extent as our other full-time employees, subject to the terms and eligibility requirements of those plans. We also</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 a 401(k) defined contribution plan in which our NEOs may participate, subject to limits imposed by the Code, to the same extent as all of our other full-time employees. During 2021,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employee compensation package and further incentivizes our employees, including our NEOs, in accordance with our compensation policies. We did not provide perquisites or special personal benefits to our NEOs for 2021.</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000"/>
          </w:cols>
          <w:pgMar w:left="320" w:top="455"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OUTSTANDING EQUITY AWARDS AT 2021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500" w:type="dxa"/>
            <w:vAlign w:val="bottom"/>
            <w:tcBorders>
              <w:bottom w:val="single" w:sz="8" w:color="E5E5E5"/>
            </w:tcBorders>
            <w:shd w:val="clear" w:color="auto" w:fill="E5E5E5"/>
          </w:tcPr>
          <w:p>
            <w:pPr>
              <w:spacing w:after="0"/>
              <w:rPr>
                <w:sz w:val="10"/>
                <w:szCs w:val="10"/>
                <w:color w:val="auto"/>
              </w:rPr>
            </w:pPr>
          </w:p>
        </w:tc>
        <w:tc>
          <w:tcPr>
            <w:tcW w:w="1200" w:type="dxa"/>
            <w:vAlign w:val="bottom"/>
            <w:tcBorders>
              <w:bottom w:val="single" w:sz="8" w:color="E5E5E5"/>
            </w:tcBorders>
            <w:shd w:val="clear" w:color="auto" w:fill="E5E5E5"/>
          </w:tcPr>
          <w:p>
            <w:pPr>
              <w:spacing w:after="0"/>
              <w:rPr>
                <w:sz w:val="10"/>
                <w:szCs w:val="10"/>
                <w:color w:val="auto"/>
              </w:rPr>
            </w:pPr>
          </w:p>
        </w:tc>
        <w:tc>
          <w:tcPr>
            <w:tcW w:w="760" w:type="dxa"/>
            <w:vAlign w:val="bottom"/>
            <w:tcBorders>
              <w:bottom w:val="single" w:sz="8" w:color="auto"/>
            </w:tcBorders>
            <w:shd w:val="clear" w:color="auto" w:fill="E5E5E5"/>
          </w:tcPr>
          <w:p>
            <w:pPr>
              <w:spacing w:after="0"/>
              <w:rPr>
                <w:sz w:val="10"/>
                <w:szCs w:val="10"/>
                <w:color w:val="auto"/>
              </w:rPr>
            </w:pPr>
          </w:p>
        </w:tc>
        <w:tc>
          <w:tcPr>
            <w:tcW w:w="1820" w:type="dxa"/>
            <w:vAlign w:val="bottom"/>
            <w:tcBorders>
              <w:bottom w:val="single" w:sz="8" w:color="auto"/>
            </w:tcBorders>
            <w:gridSpan w:val="2"/>
            <w:shd w:val="clear" w:color="auto" w:fill="E5E5E5"/>
          </w:tcPr>
          <w:p>
            <w:pPr>
              <w:jc w:val="right"/>
              <w:ind w:right="186"/>
              <w:spacing w:after="0"/>
              <w:rPr>
                <w:sz w:val="20"/>
                <w:szCs w:val="20"/>
                <w:color w:val="auto"/>
              </w:rPr>
            </w:pPr>
            <w:r>
              <w:rPr>
                <w:rFonts w:ascii="Arial" w:cs="Arial" w:eastAsia="Arial" w:hAnsi="Arial"/>
                <w:sz w:val="11"/>
                <w:szCs w:val="11"/>
                <w:b w:val="1"/>
                <w:bCs w:val="1"/>
                <w:color w:val="auto"/>
              </w:rPr>
              <w:t>Option Awards</w:t>
            </w:r>
          </w:p>
        </w:tc>
        <w:tc>
          <w:tcPr>
            <w:tcW w:w="680" w:type="dxa"/>
            <w:vAlign w:val="bottom"/>
            <w:tcBorders>
              <w:bottom w:val="single" w:sz="8" w:color="auto"/>
            </w:tcBorders>
            <w:shd w:val="clear" w:color="auto" w:fill="E5E5E5"/>
          </w:tcPr>
          <w:p>
            <w:pPr>
              <w:spacing w:after="0"/>
              <w:rPr>
                <w:sz w:val="10"/>
                <w:szCs w:val="10"/>
                <w:color w:val="auto"/>
              </w:rPr>
            </w:pPr>
          </w:p>
        </w:tc>
        <w:tc>
          <w:tcPr>
            <w:tcW w:w="640" w:type="dxa"/>
            <w:vAlign w:val="bottom"/>
            <w:tcBorders>
              <w:bottom w:val="single" w:sz="8" w:color="auto"/>
            </w:tcBorders>
            <w:shd w:val="clear" w:color="auto" w:fill="E5E5E5"/>
          </w:tcPr>
          <w:p>
            <w:pPr>
              <w:spacing w:after="0"/>
              <w:rPr>
                <w:sz w:val="10"/>
                <w:szCs w:val="10"/>
                <w:color w:val="auto"/>
              </w:rPr>
            </w:pPr>
          </w:p>
        </w:tc>
        <w:tc>
          <w:tcPr>
            <w:tcW w:w="220" w:type="dxa"/>
            <w:vAlign w:val="bottom"/>
            <w:tcBorders>
              <w:bottom w:val="single" w:sz="8" w:color="E5E5E5"/>
            </w:tcBorders>
            <w:shd w:val="clear" w:color="auto" w:fill="E5E5E5"/>
          </w:tcPr>
          <w:p>
            <w:pPr>
              <w:spacing w:after="0"/>
              <w:rPr>
                <w:sz w:val="10"/>
                <w:szCs w:val="10"/>
                <w:color w:val="auto"/>
              </w:rPr>
            </w:pPr>
          </w:p>
        </w:tc>
        <w:tc>
          <w:tcPr>
            <w:tcW w:w="660" w:type="dxa"/>
            <w:vAlign w:val="bottom"/>
            <w:tcBorders>
              <w:bottom w:val="single" w:sz="8" w:color="auto"/>
            </w:tcBorders>
            <w:shd w:val="clear" w:color="auto" w:fill="E5E5E5"/>
          </w:tcPr>
          <w:p>
            <w:pPr>
              <w:spacing w:after="0"/>
              <w:rPr>
                <w:sz w:val="10"/>
                <w:szCs w:val="10"/>
                <w:color w:val="auto"/>
              </w:rPr>
            </w:pPr>
          </w:p>
        </w:tc>
        <w:tc>
          <w:tcPr>
            <w:tcW w:w="1660" w:type="dxa"/>
            <w:vAlign w:val="bottom"/>
            <w:tcBorders>
              <w:bottom w:val="single" w:sz="8" w:color="auto"/>
            </w:tcBorders>
            <w:gridSpan w:val="2"/>
            <w:shd w:val="clear" w:color="auto" w:fill="E5E5E5"/>
          </w:tcPr>
          <w:p>
            <w:pPr>
              <w:jc w:val="right"/>
              <w:ind w:right="366"/>
              <w:spacing w:after="0"/>
              <w:rPr>
                <w:sz w:val="20"/>
                <w:szCs w:val="20"/>
                <w:color w:val="auto"/>
              </w:rPr>
            </w:pPr>
            <w:r>
              <w:rPr>
                <w:rFonts w:ascii="Arial" w:cs="Arial" w:eastAsia="Arial" w:hAnsi="Arial"/>
                <w:sz w:val="11"/>
                <w:szCs w:val="11"/>
                <w:b w:val="1"/>
                <w:bCs w:val="1"/>
                <w:color w:val="auto"/>
              </w:rPr>
              <w:t>Stock Awards</w:t>
            </w:r>
          </w:p>
        </w:tc>
        <w:tc>
          <w:tcPr>
            <w:tcW w:w="760" w:type="dxa"/>
            <w:vAlign w:val="bottom"/>
            <w:tcBorders>
              <w:bottom w:val="single" w:sz="8" w:color="auto"/>
            </w:tcBorders>
            <w:shd w:val="clear" w:color="auto" w:fill="E5E5E5"/>
          </w:tcPr>
          <w:p>
            <w:pPr>
              <w:spacing w:after="0"/>
              <w:rPr>
                <w:sz w:val="10"/>
                <w:szCs w:val="10"/>
                <w:color w:val="auto"/>
              </w:rPr>
            </w:pPr>
          </w:p>
        </w:tc>
        <w:tc>
          <w:tcPr>
            <w:tcW w:w="120" w:type="dxa"/>
            <w:vAlign w:val="bottom"/>
            <w:tcBorders>
              <w:bottom w:val="single" w:sz="8" w:color="E5E5E5"/>
            </w:tcBorders>
            <w:shd w:val="clear" w:color="auto" w:fill="E5E5E5"/>
          </w:tcPr>
          <w:p>
            <w:pPr>
              <w:spacing w:after="0"/>
              <w:rPr>
                <w:sz w:val="10"/>
                <w:szCs w:val="10"/>
                <w:color w:val="auto"/>
              </w:rPr>
            </w:pPr>
          </w:p>
        </w:tc>
      </w:tr>
      <w:tr>
        <w:trPr>
          <w:trHeight w:val="102"/>
        </w:trPr>
        <w:tc>
          <w:tcPr>
            <w:tcW w:w="250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c>
          <w:tcPr>
            <w:tcW w:w="760" w:type="dxa"/>
            <w:vAlign w:val="bottom"/>
            <w:shd w:val="clear" w:color="auto" w:fill="E5E5E5"/>
          </w:tcPr>
          <w:p>
            <w:pPr>
              <w:spacing w:after="0"/>
              <w:rPr>
                <w:sz w:val="8"/>
                <w:szCs w:val="8"/>
                <w:color w:val="auto"/>
              </w:rPr>
            </w:pPr>
          </w:p>
        </w:tc>
        <w:tc>
          <w:tcPr>
            <w:tcW w:w="96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68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660" w:type="dxa"/>
            <w:vAlign w:val="bottom"/>
            <w:shd w:val="clear" w:color="auto" w:fill="E5E5E5"/>
          </w:tcPr>
          <w:p>
            <w:pPr>
              <w:spacing w:after="0"/>
              <w:rPr>
                <w:sz w:val="8"/>
                <w:szCs w:val="8"/>
                <w:color w:val="auto"/>
              </w:rPr>
            </w:pPr>
          </w:p>
        </w:tc>
        <w:tc>
          <w:tcPr>
            <w:tcW w:w="760" w:type="dxa"/>
            <w:vAlign w:val="bottom"/>
            <w:shd w:val="clear" w:color="auto" w:fill="E5E5E5"/>
          </w:tcPr>
          <w:p>
            <w:pPr>
              <w:spacing w:after="0"/>
              <w:rPr>
                <w:sz w:val="8"/>
                <w:szCs w:val="8"/>
                <w:color w:val="auto"/>
              </w:rPr>
            </w:pPr>
          </w:p>
        </w:tc>
        <w:tc>
          <w:tcPr>
            <w:tcW w:w="900" w:type="dxa"/>
            <w:vAlign w:val="bottom"/>
            <w:shd w:val="clear" w:color="auto" w:fill="E5E5E5"/>
          </w:tcPr>
          <w:p>
            <w:pPr>
              <w:jc w:val="center"/>
              <w:ind w:right="26"/>
              <w:spacing w:after="0" w:line="102" w:lineRule="exact"/>
              <w:rPr>
                <w:sz w:val="20"/>
                <w:szCs w:val="20"/>
                <w:color w:val="auto"/>
              </w:rPr>
            </w:pPr>
            <w:r>
              <w:rPr>
                <w:rFonts w:ascii="Arial" w:cs="Arial" w:eastAsia="Arial" w:hAnsi="Arial"/>
                <w:sz w:val="11"/>
                <w:szCs w:val="11"/>
                <w:b w:val="1"/>
                <w:bCs w:val="1"/>
                <w:color w:val="auto"/>
              </w:rPr>
              <w:t>Equity</w:t>
            </w:r>
          </w:p>
        </w:tc>
        <w:tc>
          <w:tcPr>
            <w:tcW w:w="76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r>
      <w:tr>
        <w:trPr>
          <w:trHeight w:val="121"/>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60" w:type="dxa"/>
            <w:vAlign w:val="bottom"/>
            <w:shd w:val="clear" w:color="auto" w:fill="E5E5E5"/>
          </w:tcPr>
          <w:p>
            <w:pPr>
              <w:spacing w:after="0"/>
              <w:rPr>
                <w:sz w:val="10"/>
                <w:szCs w:val="10"/>
                <w:color w:val="auto"/>
              </w:rPr>
            </w:pPr>
          </w:p>
        </w:tc>
        <w:tc>
          <w:tcPr>
            <w:tcW w:w="86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6"/>
              </w:rPr>
              <w:t>Incentive</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rPr>
              <w:t>Equity</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60" w:type="dxa"/>
            <w:vAlign w:val="bottom"/>
            <w:shd w:val="clear" w:color="auto" w:fill="E5E5E5"/>
          </w:tcPr>
          <w:p>
            <w:pPr>
              <w:spacing w:after="0"/>
              <w:rPr>
                <w:sz w:val="10"/>
                <w:szCs w:val="10"/>
                <w:color w:val="auto"/>
              </w:rPr>
            </w:pP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5"/>
              </w:rPr>
              <w:t>Equity</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4"/>
              </w:rPr>
              <w:t>Plan</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Incentive</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60" w:type="dxa"/>
            <w:vAlign w:val="bottom"/>
            <w:shd w:val="clear" w:color="auto" w:fill="E5E5E5"/>
          </w:tcPr>
          <w:p>
            <w:pPr>
              <w:spacing w:after="0"/>
              <w:rPr>
                <w:sz w:val="10"/>
                <w:szCs w:val="10"/>
                <w:color w:val="auto"/>
              </w:rPr>
            </w:pP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Incentive</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6"/>
              </w:rPr>
              <w:t>Awards:</w:t>
            </w:r>
          </w:p>
        </w:tc>
        <w:tc>
          <w:tcPr>
            <w:tcW w:w="880" w:type="dxa"/>
            <w:vAlign w:val="bottom"/>
            <w:gridSpan w:val="2"/>
            <w:shd w:val="clear" w:color="auto" w:fill="E5E5E5"/>
          </w:tcPr>
          <w:p>
            <w:pPr>
              <w:jc w:val="center"/>
              <w:ind w:right="40"/>
              <w:spacing w:after="0" w:line="122" w:lineRule="exact"/>
              <w:rPr>
                <w:sz w:val="20"/>
                <w:szCs w:val="20"/>
                <w:color w:val="auto"/>
              </w:rPr>
            </w:pPr>
            <w:r>
              <w:rPr>
                <w:rFonts w:ascii="Arial" w:cs="Arial" w:eastAsia="Arial" w:hAnsi="Arial"/>
                <w:sz w:val="11"/>
                <w:szCs w:val="11"/>
                <w:b w:val="1"/>
                <w:bCs w:val="1"/>
                <w:color w:val="auto"/>
                <w:w w:val="97"/>
              </w:rPr>
              <w:t>Plan Awards:</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60" w:type="dxa"/>
            <w:vAlign w:val="bottom"/>
            <w:shd w:val="clear" w:color="auto" w:fill="E5E5E5"/>
          </w:tcPr>
          <w:p>
            <w:pPr>
              <w:spacing w:after="0"/>
              <w:rPr>
                <w:sz w:val="10"/>
                <w:szCs w:val="10"/>
                <w:color w:val="auto"/>
              </w:rPr>
            </w:pP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Number of</w:t>
            </w:r>
          </w:p>
        </w:tc>
        <w:tc>
          <w:tcPr>
            <w:tcW w:w="880" w:type="dxa"/>
            <w:vAlign w:val="bottom"/>
            <w:gridSpan w:val="2"/>
            <w:shd w:val="clear" w:color="auto" w:fill="E5E5E5"/>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Market or</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spacing w:after="0"/>
              <w:rPr>
                <w:sz w:val="10"/>
                <w:szCs w:val="10"/>
                <w:color w:val="auto"/>
              </w:rPr>
            </w:pPr>
          </w:p>
        </w:tc>
        <w:tc>
          <w:tcPr>
            <w:tcW w:w="960" w:type="dxa"/>
            <w:vAlign w:val="bottom"/>
            <w:shd w:val="clear" w:color="auto" w:fill="E5E5E5"/>
          </w:tcPr>
          <w:p>
            <w:pPr>
              <w:spacing w:after="0"/>
              <w:rPr>
                <w:sz w:val="10"/>
                <w:szCs w:val="10"/>
                <w:color w:val="auto"/>
              </w:rPr>
            </w:pP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Awards:</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7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rPr>
              <w:t>Market</w:t>
            </w: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Unearned</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Payout Value</w:t>
            </w:r>
          </w:p>
        </w:tc>
      </w:tr>
      <w:tr>
        <w:trPr>
          <w:trHeight w:val="121"/>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Number of</w:t>
            </w:r>
          </w:p>
        </w:tc>
        <w:tc>
          <w:tcPr>
            <w:tcW w:w="9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jc w:val="center"/>
              <w:ind w:right="66"/>
              <w:spacing w:after="0" w:line="122" w:lineRule="exact"/>
              <w:rPr>
                <w:sz w:val="20"/>
                <w:szCs w:val="20"/>
                <w:color w:val="auto"/>
              </w:rPr>
            </w:pPr>
            <w:r>
              <w:rPr>
                <w:rFonts w:ascii="Arial" w:cs="Arial" w:eastAsia="Arial" w:hAnsi="Arial"/>
                <w:sz w:val="11"/>
                <w:szCs w:val="11"/>
                <w:b w:val="1"/>
                <w:bCs w:val="1"/>
                <w:color w:val="auto"/>
                <w:w w:val="98"/>
              </w:rPr>
              <w:t>Number of</w:t>
            </w:r>
          </w:p>
        </w:tc>
        <w:tc>
          <w:tcPr>
            <w:tcW w:w="7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3"/>
              </w:rPr>
              <w:t>Value of</w:t>
            </w: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5"/>
              </w:rPr>
              <w:t>Shares,</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of Unearned</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8"/>
              </w:rPr>
              <w:t>Securities</w:t>
            </w:r>
          </w:p>
        </w:tc>
        <w:tc>
          <w:tcPr>
            <w:tcW w:w="9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Securities</w:t>
            </w: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Securities</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jc w:val="center"/>
              <w:ind w:right="66"/>
              <w:spacing w:after="0" w:line="122" w:lineRule="exact"/>
              <w:rPr>
                <w:sz w:val="20"/>
                <w:szCs w:val="20"/>
                <w:color w:val="auto"/>
              </w:rPr>
            </w:pPr>
            <w:r>
              <w:rPr>
                <w:rFonts w:ascii="Arial" w:cs="Arial" w:eastAsia="Arial" w:hAnsi="Arial"/>
                <w:sz w:val="11"/>
                <w:szCs w:val="11"/>
                <w:b w:val="1"/>
                <w:bCs w:val="1"/>
                <w:color w:val="auto"/>
                <w:w w:val="98"/>
              </w:rPr>
              <w:t>Shares or</w:t>
            </w:r>
          </w:p>
        </w:tc>
        <w:tc>
          <w:tcPr>
            <w:tcW w:w="7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Shares or</w:t>
            </w: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rPr>
              <w:t>Units or</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w w:val="99"/>
              </w:rPr>
              <w:t>Shares, Units</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76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7"/>
              </w:rPr>
              <w:t>Underlying</w:t>
            </w:r>
          </w:p>
        </w:tc>
        <w:tc>
          <w:tcPr>
            <w:tcW w:w="9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Underlying</w:t>
            </w: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Underlying</w:t>
            </w:r>
          </w:p>
        </w:tc>
        <w:tc>
          <w:tcPr>
            <w:tcW w:w="68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220" w:type="dxa"/>
            <w:vAlign w:val="bottom"/>
            <w:shd w:val="clear" w:color="auto" w:fill="E5E5E5"/>
          </w:tcPr>
          <w:p>
            <w:pPr>
              <w:spacing w:after="0"/>
              <w:rPr>
                <w:sz w:val="10"/>
                <w:szCs w:val="10"/>
                <w:color w:val="auto"/>
              </w:rPr>
            </w:pPr>
          </w:p>
        </w:tc>
        <w:tc>
          <w:tcPr>
            <w:tcW w:w="660" w:type="dxa"/>
            <w:vAlign w:val="bottom"/>
            <w:shd w:val="clear" w:color="auto" w:fill="E5E5E5"/>
          </w:tcPr>
          <w:p>
            <w:pPr>
              <w:jc w:val="center"/>
              <w:ind w:right="66"/>
              <w:spacing w:after="0" w:line="122" w:lineRule="exact"/>
              <w:rPr>
                <w:sz w:val="20"/>
                <w:szCs w:val="20"/>
                <w:color w:val="auto"/>
              </w:rPr>
            </w:pPr>
            <w:r>
              <w:rPr>
                <w:rFonts w:ascii="Arial" w:cs="Arial" w:eastAsia="Arial" w:hAnsi="Arial"/>
                <w:sz w:val="11"/>
                <w:szCs w:val="11"/>
                <w:b w:val="1"/>
                <w:bCs w:val="1"/>
                <w:color w:val="auto"/>
              </w:rPr>
              <w:t>Units of</w:t>
            </w:r>
          </w:p>
        </w:tc>
        <w:tc>
          <w:tcPr>
            <w:tcW w:w="7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Units of</w:t>
            </w: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rPr>
              <w:t>Other</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or Other</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jc w:val="center"/>
              <w:ind w:right="86"/>
              <w:spacing w:after="0" w:line="122" w:lineRule="exact"/>
              <w:rPr>
                <w:sz w:val="20"/>
                <w:szCs w:val="20"/>
                <w:color w:val="auto"/>
              </w:rPr>
            </w:pPr>
            <w:r>
              <w:rPr>
                <w:rFonts w:ascii="Arial" w:cs="Arial" w:eastAsia="Arial" w:hAnsi="Arial"/>
                <w:sz w:val="11"/>
                <w:szCs w:val="11"/>
                <w:b w:val="1"/>
                <w:bCs w:val="1"/>
                <w:color w:val="auto"/>
                <w:w w:val="95"/>
              </w:rPr>
              <w:t>Vesting</w:t>
            </w:r>
          </w:p>
        </w:tc>
        <w:tc>
          <w:tcPr>
            <w:tcW w:w="76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7"/>
              </w:rPr>
              <w:t>Unexercised</w:t>
            </w:r>
          </w:p>
        </w:tc>
        <w:tc>
          <w:tcPr>
            <w:tcW w:w="9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Unexercised</w:t>
            </w: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Unexercised</w:t>
            </w:r>
          </w:p>
        </w:tc>
        <w:tc>
          <w:tcPr>
            <w:tcW w:w="68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rPr>
              <w:t>Option</w:t>
            </w:r>
          </w:p>
        </w:tc>
        <w:tc>
          <w:tcPr>
            <w:tcW w:w="860" w:type="dxa"/>
            <w:vAlign w:val="bottom"/>
            <w:gridSpan w:val="2"/>
            <w:shd w:val="clear" w:color="auto" w:fill="E5E5E5"/>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Option</w:t>
            </w:r>
          </w:p>
        </w:tc>
        <w:tc>
          <w:tcPr>
            <w:tcW w:w="660" w:type="dxa"/>
            <w:vAlign w:val="bottom"/>
            <w:shd w:val="clear" w:color="auto" w:fill="E5E5E5"/>
          </w:tcPr>
          <w:p>
            <w:pPr>
              <w:jc w:val="center"/>
              <w:ind w:right="66"/>
              <w:spacing w:after="0" w:line="122" w:lineRule="exact"/>
              <w:rPr>
                <w:sz w:val="20"/>
                <w:szCs w:val="20"/>
                <w:color w:val="auto"/>
              </w:rPr>
            </w:pPr>
            <w:r>
              <w:rPr>
                <w:rFonts w:ascii="Arial" w:cs="Arial" w:eastAsia="Arial" w:hAnsi="Arial"/>
                <w:sz w:val="11"/>
                <w:szCs w:val="11"/>
                <w:b w:val="1"/>
                <w:bCs w:val="1"/>
                <w:color w:val="auto"/>
                <w:w w:val="95"/>
              </w:rPr>
              <w:t>Stock That</w:t>
            </w:r>
          </w:p>
        </w:tc>
        <w:tc>
          <w:tcPr>
            <w:tcW w:w="7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9"/>
              </w:rPr>
              <w:t>Stock That</w:t>
            </w: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5"/>
              </w:rPr>
              <w:t>Rights That</w:t>
            </w:r>
          </w:p>
        </w:tc>
        <w:tc>
          <w:tcPr>
            <w:tcW w:w="880" w:type="dxa"/>
            <w:vAlign w:val="bottom"/>
            <w:gridSpan w:val="2"/>
            <w:shd w:val="clear" w:color="auto" w:fill="E5E5E5"/>
          </w:tcPr>
          <w:p>
            <w:pPr>
              <w:jc w:val="center"/>
              <w:ind w:right="40"/>
              <w:spacing w:after="0" w:line="122" w:lineRule="exact"/>
              <w:rPr>
                <w:sz w:val="20"/>
                <w:szCs w:val="20"/>
                <w:color w:val="auto"/>
              </w:rPr>
            </w:pPr>
            <w:r>
              <w:rPr>
                <w:rFonts w:ascii="Arial" w:cs="Arial" w:eastAsia="Arial" w:hAnsi="Arial"/>
                <w:sz w:val="11"/>
                <w:szCs w:val="11"/>
                <w:b w:val="1"/>
                <w:bCs w:val="1"/>
                <w:color w:val="auto"/>
                <w:w w:val="99"/>
              </w:rPr>
              <w:t>Rights That</w:t>
            </w:r>
          </w:p>
        </w:tc>
      </w:tr>
      <w:tr>
        <w:trPr>
          <w:trHeight w:val="122"/>
        </w:trPr>
        <w:tc>
          <w:tcPr>
            <w:tcW w:w="2500" w:type="dxa"/>
            <w:vAlign w:val="bottom"/>
            <w:shd w:val="clear" w:color="auto" w:fill="E5E5E5"/>
          </w:tcPr>
          <w:p>
            <w:pPr>
              <w:spacing w:after="0"/>
              <w:rPr>
                <w:sz w:val="10"/>
                <w:szCs w:val="10"/>
                <w:color w:val="auto"/>
              </w:rPr>
            </w:pPr>
          </w:p>
        </w:tc>
        <w:tc>
          <w:tcPr>
            <w:tcW w:w="1200" w:type="dxa"/>
            <w:vAlign w:val="bottom"/>
            <w:shd w:val="clear" w:color="auto" w:fill="E5E5E5"/>
          </w:tcPr>
          <w:p>
            <w:pPr>
              <w:jc w:val="center"/>
              <w:ind w:right="106"/>
              <w:spacing w:after="0" w:line="122" w:lineRule="exact"/>
              <w:rPr>
                <w:sz w:val="20"/>
                <w:szCs w:val="20"/>
                <w:color w:val="auto"/>
              </w:rPr>
            </w:pPr>
            <w:r>
              <w:rPr>
                <w:rFonts w:ascii="Arial" w:cs="Arial" w:eastAsia="Arial" w:hAnsi="Arial"/>
                <w:sz w:val="11"/>
                <w:szCs w:val="11"/>
                <w:b w:val="1"/>
                <w:bCs w:val="1"/>
                <w:color w:val="auto"/>
                <w:w w:val="98"/>
              </w:rPr>
              <w:t>Commencement</w:t>
            </w:r>
          </w:p>
        </w:tc>
        <w:tc>
          <w:tcPr>
            <w:tcW w:w="760" w:type="dxa"/>
            <w:vAlign w:val="bottom"/>
            <w:shd w:val="clear" w:color="auto" w:fill="E5E5E5"/>
          </w:tcPr>
          <w:p>
            <w:pPr>
              <w:jc w:val="center"/>
              <w:ind w:right="46"/>
              <w:spacing w:after="0" w:line="122" w:lineRule="exact"/>
              <w:rPr>
                <w:sz w:val="20"/>
                <w:szCs w:val="20"/>
                <w:color w:val="auto"/>
              </w:rPr>
            </w:pPr>
            <w:r>
              <w:rPr>
                <w:rFonts w:ascii="Arial" w:cs="Arial" w:eastAsia="Arial" w:hAnsi="Arial"/>
                <w:sz w:val="11"/>
                <w:szCs w:val="11"/>
                <w:b w:val="1"/>
                <w:bCs w:val="1"/>
                <w:color w:val="auto"/>
                <w:w w:val="99"/>
              </w:rPr>
              <w:t>Options (#)</w:t>
            </w:r>
          </w:p>
        </w:tc>
        <w:tc>
          <w:tcPr>
            <w:tcW w:w="9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6"/>
              </w:rPr>
              <w:t>Options (#)</w:t>
            </w:r>
          </w:p>
        </w:tc>
        <w:tc>
          <w:tcPr>
            <w:tcW w:w="8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8"/>
              </w:rPr>
              <w:t>Unearned</w:t>
            </w:r>
          </w:p>
        </w:tc>
        <w:tc>
          <w:tcPr>
            <w:tcW w:w="68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w w:val="97"/>
              </w:rPr>
              <w:t>Exercise</w:t>
            </w:r>
          </w:p>
        </w:tc>
        <w:tc>
          <w:tcPr>
            <w:tcW w:w="860" w:type="dxa"/>
            <w:vAlign w:val="bottom"/>
            <w:gridSpan w:val="2"/>
            <w:shd w:val="clear" w:color="auto" w:fill="E5E5E5"/>
          </w:tcPr>
          <w:p>
            <w:pPr>
              <w:jc w:val="center"/>
              <w:ind w:right="120"/>
              <w:spacing w:after="0" w:line="122" w:lineRule="exact"/>
              <w:rPr>
                <w:sz w:val="20"/>
                <w:szCs w:val="20"/>
                <w:color w:val="auto"/>
              </w:rPr>
            </w:pPr>
            <w:r>
              <w:rPr>
                <w:rFonts w:ascii="Arial" w:cs="Arial" w:eastAsia="Arial" w:hAnsi="Arial"/>
                <w:sz w:val="11"/>
                <w:szCs w:val="11"/>
                <w:b w:val="1"/>
                <w:bCs w:val="1"/>
                <w:color w:val="auto"/>
              </w:rPr>
              <w:t>Expiration</w:t>
            </w:r>
          </w:p>
        </w:tc>
        <w:tc>
          <w:tcPr>
            <w:tcW w:w="660" w:type="dxa"/>
            <w:vAlign w:val="bottom"/>
            <w:shd w:val="clear" w:color="auto" w:fill="E5E5E5"/>
          </w:tcPr>
          <w:p>
            <w:pPr>
              <w:jc w:val="center"/>
              <w:ind w:right="66"/>
              <w:spacing w:after="0" w:line="122" w:lineRule="exact"/>
              <w:rPr>
                <w:sz w:val="20"/>
                <w:szCs w:val="20"/>
                <w:color w:val="auto"/>
              </w:rPr>
            </w:pPr>
            <w:r>
              <w:rPr>
                <w:rFonts w:ascii="Arial" w:cs="Arial" w:eastAsia="Arial" w:hAnsi="Arial"/>
                <w:sz w:val="11"/>
                <w:szCs w:val="11"/>
                <w:b w:val="1"/>
                <w:bCs w:val="1"/>
                <w:color w:val="auto"/>
                <w:w w:val="96"/>
              </w:rPr>
              <w:t>Have Not</w:t>
            </w:r>
          </w:p>
        </w:tc>
        <w:tc>
          <w:tcPr>
            <w:tcW w:w="760" w:type="dxa"/>
            <w:vAlign w:val="bottom"/>
            <w:shd w:val="clear" w:color="auto" w:fill="E5E5E5"/>
          </w:tcPr>
          <w:p>
            <w:pPr>
              <w:jc w:val="center"/>
              <w:spacing w:after="0" w:line="122" w:lineRule="exact"/>
              <w:rPr>
                <w:sz w:val="20"/>
                <w:szCs w:val="20"/>
                <w:color w:val="auto"/>
              </w:rPr>
            </w:pPr>
            <w:r>
              <w:rPr>
                <w:rFonts w:ascii="Arial" w:cs="Arial" w:eastAsia="Arial" w:hAnsi="Arial"/>
                <w:sz w:val="11"/>
                <w:szCs w:val="11"/>
                <w:b w:val="1"/>
                <w:bCs w:val="1"/>
                <w:color w:val="auto"/>
              </w:rPr>
              <w:t>Have Not</w:t>
            </w:r>
          </w:p>
        </w:tc>
        <w:tc>
          <w:tcPr>
            <w:tcW w:w="900" w:type="dxa"/>
            <w:vAlign w:val="bottom"/>
            <w:shd w:val="clear" w:color="auto" w:fill="E5E5E5"/>
          </w:tcPr>
          <w:p>
            <w:pPr>
              <w:jc w:val="center"/>
              <w:ind w:right="26"/>
              <w:spacing w:after="0" w:line="122" w:lineRule="exact"/>
              <w:rPr>
                <w:sz w:val="20"/>
                <w:szCs w:val="20"/>
                <w:color w:val="auto"/>
              </w:rPr>
            </w:pPr>
            <w:r>
              <w:rPr>
                <w:rFonts w:ascii="Arial" w:cs="Arial" w:eastAsia="Arial" w:hAnsi="Arial"/>
                <w:sz w:val="11"/>
                <w:szCs w:val="11"/>
                <w:b w:val="1"/>
                <w:bCs w:val="1"/>
                <w:color w:val="auto"/>
                <w:w w:val="96"/>
              </w:rPr>
              <w:t>Have Not</w:t>
            </w:r>
          </w:p>
        </w:tc>
        <w:tc>
          <w:tcPr>
            <w:tcW w:w="880" w:type="dxa"/>
            <w:vAlign w:val="bottom"/>
            <w:gridSpan w:val="2"/>
            <w:shd w:val="clear" w:color="auto" w:fill="E5E5E5"/>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Have Not</w:t>
            </w:r>
          </w:p>
        </w:tc>
      </w:tr>
      <w:tr>
        <w:trPr>
          <w:trHeight w:val="148"/>
        </w:trPr>
        <w:tc>
          <w:tcPr>
            <w:tcW w:w="2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1"/>
                <w:szCs w:val="11"/>
                <w:b w:val="1"/>
                <w:bCs w:val="1"/>
                <w:color w:val="auto"/>
              </w:rPr>
              <w:t>Name</w:t>
            </w:r>
          </w:p>
        </w:tc>
        <w:tc>
          <w:tcPr>
            <w:tcW w:w="1200" w:type="dxa"/>
            <w:vAlign w:val="bottom"/>
            <w:tcBorders>
              <w:bottom w:val="single" w:sz="8" w:color="auto"/>
            </w:tcBorders>
            <w:shd w:val="clear" w:color="auto" w:fill="E5E5E5"/>
          </w:tcPr>
          <w:p>
            <w:pPr>
              <w:jc w:val="center"/>
              <w:ind w:right="106"/>
              <w:spacing w:after="0"/>
              <w:rPr>
                <w:sz w:val="20"/>
                <w:szCs w:val="20"/>
                <w:color w:val="auto"/>
              </w:rPr>
            </w:pPr>
            <w:r>
              <w:rPr>
                <w:rFonts w:ascii="Arial" w:cs="Arial" w:eastAsia="Arial" w:hAnsi="Arial"/>
                <w:sz w:val="11"/>
                <w:szCs w:val="11"/>
                <w:b w:val="1"/>
                <w:bCs w:val="1"/>
                <w:color w:val="auto"/>
              </w:rPr>
              <w:t>Date</w:t>
            </w:r>
          </w:p>
        </w:tc>
        <w:tc>
          <w:tcPr>
            <w:tcW w:w="760" w:type="dxa"/>
            <w:vAlign w:val="bottom"/>
            <w:tcBorders>
              <w:bottom w:val="single" w:sz="8" w:color="auto"/>
            </w:tcBorders>
            <w:shd w:val="clear" w:color="auto" w:fill="E5E5E5"/>
          </w:tcPr>
          <w:p>
            <w:pPr>
              <w:jc w:val="center"/>
              <w:ind w:right="26"/>
              <w:spacing w:after="0"/>
              <w:rPr>
                <w:sz w:val="20"/>
                <w:szCs w:val="20"/>
                <w:color w:val="auto"/>
              </w:rPr>
            </w:pPr>
            <w:r>
              <w:rPr>
                <w:rFonts w:ascii="Arial" w:cs="Arial" w:eastAsia="Arial" w:hAnsi="Arial"/>
                <w:sz w:val="11"/>
                <w:szCs w:val="11"/>
                <w:b w:val="1"/>
                <w:bCs w:val="1"/>
                <w:color w:val="auto"/>
                <w:w w:val="98"/>
              </w:rPr>
              <w:t>Exercisable</w:t>
            </w:r>
          </w:p>
        </w:tc>
        <w:tc>
          <w:tcPr>
            <w:tcW w:w="9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9"/>
              </w:rPr>
              <w:t>Unexercisable</w:t>
            </w:r>
          </w:p>
        </w:tc>
        <w:tc>
          <w:tcPr>
            <w:tcW w:w="8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6"/>
              </w:rPr>
              <w:t>Options (#)</w:t>
            </w:r>
          </w:p>
        </w:tc>
        <w:tc>
          <w:tcPr>
            <w:tcW w:w="6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rPr>
              <w:t>Price ($)</w:t>
            </w:r>
          </w:p>
        </w:tc>
        <w:tc>
          <w:tcPr>
            <w:tcW w:w="860" w:type="dxa"/>
            <w:vAlign w:val="bottom"/>
            <w:tcBorders>
              <w:bottom w:val="single" w:sz="8" w:color="auto"/>
            </w:tcBorders>
            <w:gridSpan w:val="2"/>
            <w:shd w:val="clear" w:color="auto" w:fill="E5E5E5"/>
          </w:tcPr>
          <w:p>
            <w:pPr>
              <w:jc w:val="center"/>
              <w:ind w:right="140"/>
              <w:spacing w:after="0"/>
              <w:rPr>
                <w:sz w:val="20"/>
                <w:szCs w:val="20"/>
                <w:color w:val="auto"/>
              </w:rPr>
            </w:pPr>
            <w:r>
              <w:rPr>
                <w:rFonts w:ascii="Arial" w:cs="Arial" w:eastAsia="Arial" w:hAnsi="Arial"/>
                <w:sz w:val="11"/>
                <w:szCs w:val="11"/>
                <w:b w:val="1"/>
                <w:bCs w:val="1"/>
                <w:color w:val="auto"/>
              </w:rPr>
              <w:t>Date</w:t>
            </w:r>
          </w:p>
        </w:tc>
        <w:tc>
          <w:tcPr>
            <w:tcW w:w="660" w:type="dxa"/>
            <w:vAlign w:val="bottom"/>
            <w:tcBorders>
              <w:bottom w:val="single" w:sz="8" w:color="auto"/>
            </w:tcBorders>
            <w:shd w:val="clear" w:color="auto" w:fill="E5E5E5"/>
          </w:tcPr>
          <w:p>
            <w:pPr>
              <w:jc w:val="center"/>
              <w:ind w:right="66"/>
              <w:spacing w:after="0"/>
              <w:rPr>
                <w:sz w:val="20"/>
                <w:szCs w:val="20"/>
                <w:color w:val="auto"/>
              </w:rPr>
            </w:pPr>
            <w:r>
              <w:rPr>
                <w:rFonts w:ascii="Arial" w:cs="Arial" w:eastAsia="Arial" w:hAnsi="Arial"/>
                <w:sz w:val="11"/>
                <w:szCs w:val="11"/>
                <w:b w:val="1"/>
                <w:bCs w:val="1"/>
                <w:color w:val="auto"/>
                <w:w w:val="95"/>
              </w:rPr>
              <w:t>Vested (#)</w:t>
            </w:r>
          </w:p>
        </w:tc>
        <w:tc>
          <w:tcPr>
            <w:tcW w:w="7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1"/>
                <w:szCs w:val="11"/>
                <w:b w:val="1"/>
                <w:bCs w:val="1"/>
                <w:color w:val="auto"/>
                <w:w w:val="98"/>
              </w:rPr>
              <w:t>Vested ($)</w:t>
            </w:r>
          </w:p>
        </w:tc>
        <w:tc>
          <w:tcPr>
            <w:tcW w:w="900" w:type="dxa"/>
            <w:vAlign w:val="bottom"/>
            <w:tcBorders>
              <w:bottom w:val="single" w:sz="8" w:color="auto"/>
            </w:tcBorders>
            <w:shd w:val="clear" w:color="auto" w:fill="E5E5E5"/>
          </w:tcPr>
          <w:p>
            <w:pPr>
              <w:jc w:val="center"/>
              <w:ind w:right="26"/>
              <w:spacing w:after="0"/>
              <w:rPr>
                <w:sz w:val="20"/>
                <w:szCs w:val="20"/>
                <w:color w:val="auto"/>
              </w:rPr>
            </w:pPr>
            <w:r>
              <w:rPr>
                <w:rFonts w:ascii="Arial" w:cs="Arial" w:eastAsia="Arial" w:hAnsi="Arial"/>
                <w:sz w:val="11"/>
                <w:szCs w:val="11"/>
                <w:b w:val="1"/>
                <w:bCs w:val="1"/>
                <w:color w:val="auto"/>
                <w:w w:val="95"/>
              </w:rPr>
              <w:t>Vested (#)</w:t>
            </w:r>
          </w:p>
        </w:tc>
        <w:tc>
          <w:tcPr>
            <w:tcW w:w="880" w:type="dxa"/>
            <w:vAlign w:val="bottom"/>
            <w:tcBorders>
              <w:bottom w:val="single" w:sz="8" w:color="auto"/>
            </w:tcBorders>
            <w:gridSpan w:val="2"/>
            <w:shd w:val="clear" w:color="auto" w:fill="E5E5E5"/>
          </w:tcPr>
          <w:p>
            <w:pPr>
              <w:jc w:val="center"/>
              <w:ind w:right="60"/>
              <w:spacing w:after="0"/>
              <w:rPr>
                <w:sz w:val="20"/>
                <w:szCs w:val="20"/>
                <w:color w:val="auto"/>
              </w:rPr>
            </w:pPr>
            <w:r>
              <w:rPr>
                <w:rFonts w:ascii="Arial" w:cs="Arial" w:eastAsia="Arial" w:hAnsi="Arial"/>
                <w:sz w:val="11"/>
                <w:szCs w:val="11"/>
                <w:b w:val="1"/>
                <w:bCs w:val="1"/>
                <w:color w:val="auto"/>
                <w:w w:val="95"/>
              </w:rPr>
              <w:t>Vested ($)</w:t>
            </w:r>
          </w:p>
        </w:tc>
      </w:tr>
      <w:tr>
        <w:trPr>
          <w:trHeight w:val="102"/>
        </w:trPr>
        <w:tc>
          <w:tcPr>
            <w:tcW w:w="2500" w:type="dxa"/>
            <w:vAlign w:val="bottom"/>
          </w:tcPr>
          <w:p>
            <w:pPr>
              <w:ind w:left="60"/>
              <w:spacing w:after="0" w:line="102" w:lineRule="exact"/>
              <w:rPr>
                <w:sz w:val="20"/>
                <w:szCs w:val="20"/>
                <w:color w:val="auto"/>
              </w:rPr>
            </w:pPr>
            <w:r>
              <w:rPr>
                <w:rFonts w:ascii="Arial" w:cs="Arial" w:eastAsia="Arial" w:hAnsi="Arial"/>
                <w:sz w:val="11"/>
                <w:szCs w:val="11"/>
                <w:color w:val="auto"/>
              </w:rPr>
              <w:t>Eric D. Shaff</w:t>
            </w:r>
          </w:p>
        </w:tc>
        <w:tc>
          <w:tcPr>
            <w:tcW w:w="1200" w:type="dxa"/>
            <w:vAlign w:val="bottom"/>
          </w:tcPr>
          <w:p>
            <w:pPr>
              <w:jc w:val="right"/>
              <w:ind w:right="86"/>
              <w:spacing w:after="0" w:line="102" w:lineRule="exact"/>
              <w:rPr>
                <w:sz w:val="20"/>
                <w:szCs w:val="20"/>
                <w:color w:val="auto"/>
              </w:rPr>
            </w:pPr>
            <w:r>
              <w:rPr>
                <w:rFonts w:ascii="Arial" w:cs="Arial" w:eastAsia="Arial" w:hAnsi="Arial"/>
                <w:sz w:val="11"/>
                <w:szCs w:val="11"/>
                <w:color w:val="auto"/>
              </w:rPr>
              <w:t>2/4/2021</w:t>
            </w:r>
            <w:r>
              <w:rPr>
                <w:rFonts w:ascii="Arial" w:cs="Arial" w:eastAsia="Arial" w:hAnsi="Arial"/>
                <w:sz w:val="9"/>
                <w:szCs w:val="9"/>
                <w:color w:val="auto"/>
              </w:rPr>
              <w:t>(1)</w:t>
            </w:r>
          </w:p>
        </w:tc>
        <w:tc>
          <w:tcPr>
            <w:tcW w:w="760" w:type="dxa"/>
            <w:vAlign w:val="bottom"/>
          </w:tcPr>
          <w:p>
            <w:pPr>
              <w:jc w:val="right"/>
              <w:ind w:right="46"/>
              <w:spacing w:after="0" w:line="10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line="102" w:lineRule="exact"/>
              <w:rPr>
                <w:sz w:val="20"/>
                <w:szCs w:val="20"/>
                <w:color w:val="auto"/>
              </w:rPr>
            </w:pPr>
            <w:r>
              <w:rPr>
                <w:rFonts w:ascii="Arial" w:cs="Arial" w:eastAsia="Arial" w:hAnsi="Arial"/>
                <w:sz w:val="11"/>
                <w:szCs w:val="11"/>
                <w:color w:val="auto"/>
              </w:rPr>
              <w:t>350,000</w:t>
            </w:r>
          </w:p>
        </w:tc>
        <w:tc>
          <w:tcPr>
            <w:tcW w:w="860" w:type="dxa"/>
            <w:vAlign w:val="bottom"/>
          </w:tcPr>
          <w:p>
            <w:pPr>
              <w:jc w:val="right"/>
              <w:ind w:right="46"/>
              <w:spacing w:after="0" w:line="10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02" w:lineRule="exact"/>
              <w:rPr>
                <w:sz w:val="20"/>
                <w:szCs w:val="20"/>
                <w:color w:val="auto"/>
              </w:rPr>
            </w:pPr>
            <w:r>
              <w:rPr>
                <w:rFonts w:ascii="Arial" w:cs="Arial" w:eastAsia="Arial" w:hAnsi="Arial"/>
                <w:sz w:val="11"/>
                <w:szCs w:val="11"/>
                <w:color w:val="auto"/>
              </w:rPr>
              <w:t>26.34</w:t>
            </w:r>
          </w:p>
        </w:tc>
        <w:tc>
          <w:tcPr>
            <w:tcW w:w="640" w:type="dxa"/>
            <w:vAlign w:val="bottom"/>
          </w:tcPr>
          <w:p>
            <w:pPr>
              <w:jc w:val="right"/>
              <w:spacing w:after="0" w:line="102" w:lineRule="exact"/>
              <w:rPr>
                <w:sz w:val="20"/>
                <w:szCs w:val="20"/>
                <w:color w:val="auto"/>
              </w:rPr>
            </w:pPr>
            <w:r>
              <w:rPr>
                <w:rFonts w:ascii="Arial" w:cs="Arial" w:eastAsia="Arial" w:hAnsi="Arial"/>
                <w:sz w:val="11"/>
                <w:szCs w:val="11"/>
                <w:color w:val="auto"/>
              </w:rPr>
              <w:t>2/3/2031</w:t>
            </w: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1/29/2020</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437,500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562,500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3.30</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1/28/2030</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1/25/2019</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189,062</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85,938</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6.01</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1/24/2029</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1/30/2018</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112,500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7,500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10.42</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1/29/2028</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1/26/2017</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105,000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9.89</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1/25/2027</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2/1/2016</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78,500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26.20</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1/31/2026</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6/26/2015</w:t>
            </w:r>
            <w:r>
              <w:rPr>
                <w:rFonts w:ascii="Arial" w:cs="Arial" w:eastAsia="Arial" w:hAnsi="Arial"/>
                <w:sz w:val="9"/>
                <w:szCs w:val="9"/>
                <w:color w:val="auto"/>
              </w:rPr>
              <w:t>(2)</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100,000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18.00</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6/25/2025</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500" w:type="dxa"/>
            <w:vAlign w:val="bottom"/>
          </w:tcPr>
          <w:p>
            <w:pPr>
              <w:spacing w:after="0"/>
              <w:rPr>
                <w:sz w:val="11"/>
                <w:szCs w:val="11"/>
                <w:color w:val="auto"/>
              </w:rPr>
            </w:pPr>
          </w:p>
        </w:tc>
        <w:tc>
          <w:tcPr>
            <w:tcW w:w="1200" w:type="dxa"/>
            <w:vAlign w:val="bottom"/>
          </w:tcPr>
          <w:p>
            <w:pPr>
              <w:jc w:val="right"/>
              <w:ind w:right="86"/>
              <w:spacing w:after="0"/>
              <w:rPr>
                <w:sz w:val="20"/>
                <w:szCs w:val="20"/>
                <w:color w:val="auto"/>
              </w:rPr>
            </w:pPr>
            <w:r>
              <w:rPr>
                <w:rFonts w:ascii="Arial" w:cs="Arial" w:eastAsia="Arial" w:hAnsi="Arial"/>
                <w:sz w:val="11"/>
                <w:szCs w:val="11"/>
                <w:color w:val="auto"/>
              </w:rPr>
              <w:t>12/9/2014</w:t>
            </w:r>
            <w:r>
              <w:rPr>
                <w:rFonts w:ascii="Arial" w:cs="Arial" w:eastAsia="Arial" w:hAnsi="Arial"/>
                <w:sz w:val="9"/>
                <w:szCs w:val="9"/>
                <w:color w:val="auto"/>
              </w:rPr>
              <w:t>(2)</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233,454</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7.79</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12/8/2024</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2500" w:type="dxa"/>
            <w:vAlign w:val="bottom"/>
            <w:shd w:val="clear" w:color="auto" w:fill="D8D8D8"/>
          </w:tcPr>
          <w:p>
            <w:pPr>
              <w:ind w:left="60"/>
              <w:spacing w:after="0" w:line="109" w:lineRule="exact"/>
              <w:rPr>
                <w:sz w:val="20"/>
                <w:szCs w:val="20"/>
                <w:color w:val="auto"/>
              </w:rPr>
            </w:pPr>
            <w:r>
              <w:rPr>
                <w:rFonts w:ascii="Arial" w:cs="Arial" w:eastAsia="Arial" w:hAnsi="Arial"/>
                <w:sz w:val="11"/>
                <w:szCs w:val="11"/>
                <w:color w:val="auto"/>
              </w:rPr>
              <w:t>David Arkowitz</w:t>
            </w:r>
          </w:p>
        </w:tc>
        <w:tc>
          <w:tcPr>
            <w:tcW w:w="1200" w:type="dxa"/>
            <w:vAlign w:val="bottom"/>
            <w:shd w:val="clear" w:color="auto" w:fill="D8D8D8"/>
          </w:tcPr>
          <w:p>
            <w:pPr>
              <w:jc w:val="right"/>
              <w:ind w:right="86"/>
              <w:spacing w:after="0" w:line="109" w:lineRule="exact"/>
              <w:rPr>
                <w:sz w:val="20"/>
                <w:szCs w:val="20"/>
                <w:color w:val="auto"/>
              </w:rPr>
            </w:pPr>
            <w:r>
              <w:rPr>
                <w:rFonts w:ascii="Arial" w:cs="Arial" w:eastAsia="Arial" w:hAnsi="Arial"/>
                <w:sz w:val="11"/>
                <w:szCs w:val="11"/>
                <w:color w:val="auto"/>
              </w:rPr>
              <w:t>6/1/2021</w:t>
            </w:r>
            <w:r>
              <w:rPr>
                <w:rFonts w:ascii="Arial" w:cs="Arial" w:eastAsia="Arial" w:hAnsi="Arial"/>
                <w:sz w:val="9"/>
                <w:szCs w:val="9"/>
                <w:color w:val="auto"/>
              </w:rPr>
              <w:t>(1)</w:t>
            </w:r>
          </w:p>
        </w:tc>
        <w:tc>
          <w:tcPr>
            <w:tcW w:w="760" w:type="dxa"/>
            <w:vAlign w:val="bottom"/>
            <w:shd w:val="clear" w:color="auto" w:fill="D8D8D8"/>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960" w:type="dxa"/>
            <w:vAlign w:val="bottom"/>
            <w:shd w:val="clear" w:color="auto" w:fill="D8D8D8"/>
          </w:tcPr>
          <w:p>
            <w:pPr>
              <w:jc w:val="right"/>
              <w:ind w:right="46"/>
              <w:spacing w:after="0" w:line="109" w:lineRule="exact"/>
              <w:rPr>
                <w:sz w:val="20"/>
                <w:szCs w:val="20"/>
                <w:color w:val="auto"/>
              </w:rPr>
            </w:pPr>
            <w:r>
              <w:rPr>
                <w:rFonts w:ascii="Arial" w:cs="Arial" w:eastAsia="Arial" w:hAnsi="Arial"/>
                <w:sz w:val="11"/>
                <w:szCs w:val="11"/>
                <w:color w:val="auto"/>
              </w:rPr>
              <w:t>270,000</w:t>
            </w:r>
          </w:p>
        </w:tc>
        <w:tc>
          <w:tcPr>
            <w:tcW w:w="860" w:type="dxa"/>
            <w:vAlign w:val="bottom"/>
            <w:shd w:val="clear" w:color="auto" w:fill="D8D8D8"/>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680" w:type="dxa"/>
            <w:vAlign w:val="bottom"/>
            <w:shd w:val="clear" w:color="auto" w:fill="D8D8D8"/>
          </w:tcPr>
          <w:p>
            <w:pPr>
              <w:jc w:val="right"/>
              <w:ind w:right="66"/>
              <w:spacing w:after="0" w:line="109" w:lineRule="exact"/>
              <w:rPr>
                <w:sz w:val="20"/>
                <w:szCs w:val="20"/>
                <w:color w:val="auto"/>
              </w:rPr>
            </w:pPr>
            <w:r>
              <w:rPr>
                <w:rFonts w:ascii="Arial" w:cs="Arial" w:eastAsia="Arial" w:hAnsi="Arial"/>
                <w:sz w:val="11"/>
                <w:szCs w:val="11"/>
                <w:color w:val="auto"/>
              </w:rPr>
              <w:t>20.19</w:t>
            </w:r>
          </w:p>
        </w:tc>
        <w:tc>
          <w:tcPr>
            <w:tcW w:w="860" w:type="dxa"/>
            <w:vAlign w:val="bottom"/>
            <w:gridSpan w:val="2"/>
            <w:shd w:val="clear" w:color="auto" w:fill="D8D8D8"/>
          </w:tcPr>
          <w:p>
            <w:pPr>
              <w:jc w:val="right"/>
              <w:ind w:right="220"/>
              <w:spacing w:after="0" w:line="109" w:lineRule="exact"/>
              <w:rPr>
                <w:sz w:val="20"/>
                <w:szCs w:val="20"/>
                <w:color w:val="auto"/>
              </w:rPr>
            </w:pPr>
            <w:r>
              <w:rPr>
                <w:rFonts w:ascii="Arial" w:cs="Arial" w:eastAsia="Arial" w:hAnsi="Arial"/>
                <w:sz w:val="11"/>
                <w:szCs w:val="11"/>
                <w:color w:val="auto"/>
              </w:rPr>
              <w:t>5/31/2031</w:t>
            </w:r>
          </w:p>
        </w:tc>
        <w:tc>
          <w:tcPr>
            <w:tcW w:w="660" w:type="dxa"/>
            <w:vAlign w:val="bottom"/>
            <w:shd w:val="clear" w:color="auto" w:fill="D8D8D8"/>
          </w:tcPr>
          <w:p>
            <w:pPr>
              <w:spacing w:after="0"/>
              <w:rPr>
                <w:sz w:val="9"/>
                <w:szCs w:val="9"/>
                <w:color w:val="auto"/>
              </w:rPr>
            </w:pPr>
          </w:p>
        </w:tc>
        <w:tc>
          <w:tcPr>
            <w:tcW w:w="760" w:type="dxa"/>
            <w:vAlign w:val="bottom"/>
            <w:shd w:val="clear" w:color="auto" w:fill="D8D8D8"/>
          </w:tcPr>
          <w:p>
            <w:pPr>
              <w:spacing w:after="0"/>
              <w:rPr>
                <w:sz w:val="9"/>
                <w:szCs w:val="9"/>
                <w:color w:val="auto"/>
              </w:rPr>
            </w:pPr>
          </w:p>
        </w:tc>
        <w:tc>
          <w:tcPr>
            <w:tcW w:w="900" w:type="dxa"/>
            <w:vAlign w:val="bottom"/>
            <w:shd w:val="clear" w:color="auto" w:fill="D8D8D8"/>
          </w:tcPr>
          <w:p>
            <w:pPr>
              <w:spacing w:after="0"/>
              <w:rPr>
                <w:sz w:val="9"/>
                <w:szCs w:val="9"/>
                <w:color w:val="auto"/>
              </w:rPr>
            </w:pPr>
          </w:p>
        </w:tc>
        <w:tc>
          <w:tcPr>
            <w:tcW w:w="760" w:type="dxa"/>
            <w:vAlign w:val="bottom"/>
            <w:shd w:val="clear" w:color="auto" w:fill="D8D8D8"/>
          </w:tcPr>
          <w:p>
            <w:pPr>
              <w:spacing w:after="0"/>
              <w:rPr>
                <w:sz w:val="9"/>
                <w:szCs w:val="9"/>
                <w:color w:val="auto"/>
              </w:rPr>
            </w:pPr>
          </w:p>
        </w:tc>
        <w:tc>
          <w:tcPr>
            <w:tcW w:w="120" w:type="dxa"/>
            <w:vAlign w:val="bottom"/>
            <w:shd w:val="clear" w:color="auto" w:fill="D8D8D8"/>
          </w:tcPr>
          <w:p>
            <w:pPr>
              <w:spacing w:after="0"/>
              <w:rPr>
                <w:sz w:val="9"/>
                <w:szCs w:val="9"/>
                <w:color w:val="auto"/>
              </w:rPr>
            </w:pPr>
          </w:p>
        </w:tc>
      </w:tr>
      <w:tr>
        <w:trPr>
          <w:trHeight w:val="122"/>
        </w:trPr>
        <w:tc>
          <w:tcPr>
            <w:tcW w:w="2500" w:type="dxa"/>
            <w:vAlign w:val="bottom"/>
            <w:shd w:val="clear" w:color="auto" w:fill="D8D8D8"/>
          </w:tcPr>
          <w:p>
            <w:pPr>
              <w:spacing w:after="0"/>
              <w:rPr>
                <w:sz w:val="10"/>
                <w:szCs w:val="10"/>
                <w:color w:val="auto"/>
              </w:rPr>
            </w:pPr>
          </w:p>
        </w:tc>
        <w:tc>
          <w:tcPr>
            <w:tcW w:w="1200" w:type="dxa"/>
            <w:vAlign w:val="bottom"/>
            <w:shd w:val="clear" w:color="auto" w:fill="D8D8D8"/>
          </w:tcPr>
          <w:p>
            <w:pPr>
              <w:jc w:val="right"/>
              <w:ind w:right="86"/>
              <w:spacing w:after="0" w:line="122" w:lineRule="exact"/>
              <w:rPr>
                <w:sz w:val="20"/>
                <w:szCs w:val="20"/>
                <w:color w:val="auto"/>
              </w:rPr>
            </w:pPr>
            <w:r>
              <w:rPr>
                <w:rFonts w:ascii="Arial" w:cs="Arial" w:eastAsia="Arial" w:hAnsi="Arial"/>
                <w:sz w:val="11"/>
                <w:szCs w:val="11"/>
                <w:color w:val="auto"/>
              </w:rPr>
              <w:t>6/15/2022</w:t>
            </w:r>
            <w:r>
              <w:rPr>
                <w:rFonts w:ascii="Arial" w:cs="Arial" w:eastAsia="Arial" w:hAnsi="Arial"/>
                <w:sz w:val="9"/>
                <w:szCs w:val="9"/>
                <w:color w:val="auto"/>
              </w:rPr>
              <w:t>(3)</w:t>
            </w:r>
          </w:p>
        </w:tc>
        <w:tc>
          <w:tcPr>
            <w:tcW w:w="760" w:type="dxa"/>
            <w:vAlign w:val="bottom"/>
            <w:shd w:val="clear" w:color="auto" w:fill="D8D8D8"/>
          </w:tcPr>
          <w:p>
            <w:pPr>
              <w:spacing w:after="0"/>
              <w:rPr>
                <w:sz w:val="10"/>
                <w:szCs w:val="10"/>
                <w:color w:val="auto"/>
              </w:rPr>
            </w:pPr>
          </w:p>
        </w:tc>
        <w:tc>
          <w:tcPr>
            <w:tcW w:w="960" w:type="dxa"/>
            <w:vAlign w:val="bottom"/>
            <w:shd w:val="clear" w:color="auto" w:fill="D8D8D8"/>
          </w:tcPr>
          <w:p>
            <w:pPr>
              <w:spacing w:after="0"/>
              <w:rPr>
                <w:sz w:val="10"/>
                <w:szCs w:val="10"/>
                <w:color w:val="auto"/>
              </w:rPr>
            </w:pPr>
          </w:p>
        </w:tc>
        <w:tc>
          <w:tcPr>
            <w:tcW w:w="860" w:type="dxa"/>
            <w:vAlign w:val="bottom"/>
            <w:shd w:val="clear" w:color="auto" w:fill="D8D8D8"/>
          </w:tcPr>
          <w:p>
            <w:pPr>
              <w:spacing w:after="0"/>
              <w:rPr>
                <w:sz w:val="10"/>
                <w:szCs w:val="10"/>
                <w:color w:val="auto"/>
              </w:rPr>
            </w:pPr>
          </w:p>
        </w:tc>
        <w:tc>
          <w:tcPr>
            <w:tcW w:w="680" w:type="dxa"/>
            <w:vAlign w:val="bottom"/>
            <w:shd w:val="clear" w:color="auto" w:fill="D8D8D8"/>
          </w:tcPr>
          <w:p>
            <w:pPr>
              <w:spacing w:after="0"/>
              <w:rPr>
                <w:sz w:val="10"/>
                <w:szCs w:val="10"/>
                <w:color w:val="auto"/>
              </w:rPr>
            </w:pPr>
          </w:p>
        </w:tc>
        <w:tc>
          <w:tcPr>
            <w:tcW w:w="64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660" w:type="dxa"/>
            <w:vAlign w:val="bottom"/>
            <w:shd w:val="clear" w:color="auto" w:fill="D8D8D8"/>
          </w:tcPr>
          <w:p>
            <w:pPr>
              <w:jc w:val="right"/>
              <w:ind w:right="66"/>
              <w:spacing w:after="0" w:line="122" w:lineRule="exact"/>
              <w:rPr>
                <w:sz w:val="20"/>
                <w:szCs w:val="20"/>
                <w:color w:val="auto"/>
              </w:rPr>
            </w:pPr>
            <w:r>
              <w:rPr>
                <w:rFonts w:ascii="Arial" w:cs="Arial" w:eastAsia="Arial" w:hAnsi="Arial"/>
                <w:sz w:val="11"/>
                <w:szCs w:val="11"/>
                <w:color w:val="auto"/>
              </w:rPr>
              <w:t>5,000</w:t>
            </w:r>
          </w:p>
        </w:tc>
        <w:tc>
          <w:tcPr>
            <w:tcW w:w="760" w:type="dxa"/>
            <w:vAlign w:val="bottom"/>
            <w:shd w:val="clear" w:color="auto" w:fill="D8D8D8"/>
          </w:tcPr>
          <w:p>
            <w:pPr>
              <w:jc w:val="right"/>
              <w:ind w:right="46"/>
              <w:spacing w:after="0" w:line="122" w:lineRule="exact"/>
              <w:rPr>
                <w:sz w:val="20"/>
                <w:szCs w:val="20"/>
                <w:color w:val="auto"/>
              </w:rPr>
            </w:pPr>
            <w:r>
              <w:rPr>
                <w:rFonts w:ascii="Arial" w:cs="Arial" w:eastAsia="Arial" w:hAnsi="Arial"/>
                <w:sz w:val="11"/>
                <w:szCs w:val="11"/>
                <w:color w:val="auto"/>
              </w:rPr>
              <w:t>41,650</w:t>
            </w:r>
          </w:p>
        </w:tc>
        <w:tc>
          <w:tcPr>
            <w:tcW w:w="900" w:type="dxa"/>
            <w:vAlign w:val="bottom"/>
            <w:shd w:val="clear" w:color="auto" w:fill="D8D8D8"/>
          </w:tcPr>
          <w:p>
            <w:pPr>
              <w:spacing w:after="0"/>
              <w:rPr>
                <w:sz w:val="10"/>
                <w:szCs w:val="10"/>
                <w:color w:val="auto"/>
              </w:rPr>
            </w:pPr>
          </w:p>
        </w:tc>
        <w:tc>
          <w:tcPr>
            <w:tcW w:w="76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r>
      <w:tr>
        <w:trPr>
          <w:trHeight w:val="135"/>
        </w:trPr>
        <w:tc>
          <w:tcPr>
            <w:tcW w:w="2500" w:type="dxa"/>
            <w:vAlign w:val="bottom"/>
            <w:shd w:val="clear" w:color="auto" w:fill="D8D8D8"/>
          </w:tcPr>
          <w:p>
            <w:pPr>
              <w:spacing w:after="0"/>
              <w:rPr>
                <w:sz w:val="11"/>
                <w:szCs w:val="11"/>
                <w:color w:val="auto"/>
              </w:rPr>
            </w:pPr>
          </w:p>
        </w:tc>
        <w:tc>
          <w:tcPr>
            <w:tcW w:w="1200" w:type="dxa"/>
            <w:vAlign w:val="bottom"/>
            <w:shd w:val="clear" w:color="auto" w:fill="D8D8D8"/>
          </w:tcPr>
          <w:p>
            <w:pPr>
              <w:jc w:val="right"/>
              <w:ind w:right="186"/>
              <w:spacing w:after="0"/>
              <w:rPr>
                <w:sz w:val="20"/>
                <w:szCs w:val="20"/>
                <w:color w:val="auto"/>
              </w:rPr>
            </w:pPr>
            <w:r>
              <w:rPr>
                <w:rFonts w:ascii="Arial" w:cs="Arial" w:eastAsia="Arial" w:hAnsi="Arial"/>
                <w:sz w:val="11"/>
                <w:szCs w:val="11"/>
                <w:color w:val="auto"/>
              </w:rPr>
              <w:t>N/A</w:t>
            </w:r>
          </w:p>
        </w:tc>
        <w:tc>
          <w:tcPr>
            <w:tcW w:w="760" w:type="dxa"/>
            <w:vAlign w:val="bottom"/>
            <w:shd w:val="clear" w:color="auto" w:fill="D8D8D8"/>
          </w:tcPr>
          <w:p>
            <w:pPr>
              <w:spacing w:after="0"/>
              <w:rPr>
                <w:sz w:val="11"/>
                <w:szCs w:val="11"/>
                <w:color w:val="auto"/>
              </w:rPr>
            </w:pPr>
          </w:p>
        </w:tc>
        <w:tc>
          <w:tcPr>
            <w:tcW w:w="960" w:type="dxa"/>
            <w:vAlign w:val="bottom"/>
            <w:shd w:val="clear" w:color="auto" w:fill="D8D8D8"/>
          </w:tcPr>
          <w:p>
            <w:pPr>
              <w:spacing w:after="0"/>
              <w:rPr>
                <w:sz w:val="11"/>
                <w:szCs w:val="11"/>
                <w:color w:val="auto"/>
              </w:rPr>
            </w:pPr>
          </w:p>
        </w:tc>
        <w:tc>
          <w:tcPr>
            <w:tcW w:w="860" w:type="dxa"/>
            <w:vAlign w:val="bottom"/>
            <w:shd w:val="clear" w:color="auto" w:fill="D8D8D8"/>
          </w:tcPr>
          <w:p>
            <w:pPr>
              <w:spacing w:after="0"/>
              <w:rPr>
                <w:sz w:val="11"/>
                <w:szCs w:val="11"/>
                <w:color w:val="auto"/>
              </w:rPr>
            </w:pPr>
          </w:p>
        </w:tc>
        <w:tc>
          <w:tcPr>
            <w:tcW w:w="68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660" w:type="dxa"/>
            <w:vAlign w:val="bottom"/>
            <w:shd w:val="clear" w:color="auto" w:fill="D8D8D8"/>
          </w:tcPr>
          <w:p>
            <w:pPr>
              <w:spacing w:after="0"/>
              <w:rPr>
                <w:sz w:val="11"/>
                <w:szCs w:val="11"/>
                <w:color w:val="auto"/>
              </w:rPr>
            </w:pPr>
          </w:p>
        </w:tc>
        <w:tc>
          <w:tcPr>
            <w:tcW w:w="760" w:type="dxa"/>
            <w:vAlign w:val="bottom"/>
            <w:shd w:val="clear" w:color="auto" w:fill="D8D8D8"/>
          </w:tcPr>
          <w:p>
            <w:pPr>
              <w:spacing w:after="0"/>
              <w:rPr>
                <w:sz w:val="11"/>
                <w:szCs w:val="11"/>
                <w:color w:val="auto"/>
              </w:rPr>
            </w:pPr>
          </w:p>
        </w:tc>
        <w:tc>
          <w:tcPr>
            <w:tcW w:w="900" w:type="dxa"/>
            <w:vAlign w:val="bottom"/>
            <w:shd w:val="clear" w:color="auto" w:fill="D8D8D8"/>
          </w:tcPr>
          <w:p>
            <w:pPr>
              <w:jc w:val="right"/>
              <w:ind w:right="26"/>
              <w:spacing w:after="0"/>
              <w:rPr>
                <w:sz w:val="20"/>
                <w:szCs w:val="20"/>
                <w:color w:val="auto"/>
              </w:rPr>
            </w:pPr>
            <w:r>
              <w:rPr>
                <w:rFonts w:ascii="Arial" w:cs="Arial" w:eastAsia="Arial" w:hAnsi="Arial"/>
                <w:sz w:val="11"/>
                <w:szCs w:val="11"/>
                <w:color w:val="auto"/>
              </w:rPr>
              <w:t>85,000</w:t>
            </w:r>
            <w:r>
              <w:rPr>
                <w:rFonts w:ascii="Arial" w:cs="Arial" w:eastAsia="Arial" w:hAnsi="Arial"/>
                <w:sz w:val="9"/>
                <w:szCs w:val="9"/>
                <w:color w:val="auto"/>
              </w:rPr>
              <w:t>(4)</w:t>
            </w:r>
          </w:p>
        </w:tc>
        <w:tc>
          <w:tcPr>
            <w:tcW w:w="880" w:type="dxa"/>
            <w:vAlign w:val="bottom"/>
            <w:gridSpan w:val="2"/>
            <w:shd w:val="clear" w:color="auto" w:fill="D8D8D8"/>
          </w:tcPr>
          <w:p>
            <w:pPr>
              <w:jc w:val="right"/>
              <w:ind w:right="120"/>
              <w:spacing w:after="0"/>
              <w:rPr>
                <w:sz w:val="20"/>
                <w:szCs w:val="20"/>
                <w:color w:val="auto"/>
              </w:rPr>
            </w:pPr>
            <w:r>
              <w:rPr>
                <w:rFonts w:ascii="Arial" w:cs="Arial" w:eastAsia="Arial" w:hAnsi="Arial"/>
                <w:sz w:val="11"/>
                <w:szCs w:val="11"/>
                <w:color w:val="auto"/>
              </w:rPr>
              <w:t>708,050</w:t>
            </w:r>
          </w:p>
        </w:tc>
      </w:tr>
      <w:tr>
        <w:trPr>
          <w:trHeight w:val="108"/>
        </w:trPr>
        <w:tc>
          <w:tcPr>
            <w:tcW w:w="2500" w:type="dxa"/>
            <w:vAlign w:val="bottom"/>
          </w:tcPr>
          <w:p>
            <w:pPr>
              <w:ind w:left="60"/>
              <w:spacing w:after="0" w:line="109" w:lineRule="exact"/>
              <w:rPr>
                <w:sz w:val="20"/>
                <w:szCs w:val="20"/>
                <w:color w:val="auto"/>
              </w:rPr>
            </w:pPr>
            <w:r>
              <w:rPr>
                <w:rFonts w:ascii="Arial" w:cs="Arial" w:eastAsia="Arial" w:hAnsi="Arial"/>
                <w:sz w:val="11"/>
                <w:szCs w:val="11"/>
                <w:color w:val="auto"/>
              </w:rPr>
              <w:t>Matthew Henn</w:t>
            </w:r>
          </w:p>
        </w:tc>
        <w:tc>
          <w:tcPr>
            <w:tcW w:w="1200" w:type="dxa"/>
            <w:vAlign w:val="bottom"/>
          </w:tcPr>
          <w:p>
            <w:pPr>
              <w:jc w:val="right"/>
              <w:ind w:right="86"/>
              <w:spacing w:after="0" w:line="109" w:lineRule="exact"/>
              <w:rPr>
                <w:sz w:val="20"/>
                <w:szCs w:val="20"/>
                <w:color w:val="auto"/>
              </w:rPr>
            </w:pPr>
            <w:r>
              <w:rPr>
                <w:rFonts w:ascii="Arial" w:cs="Arial" w:eastAsia="Arial" w:hAnsi="Arial"/>
                <w:sz w:val="11"/>
                <w:szCs w:val="11"/>
                <w:color w:val="auto"/>
              </w:rPr>
              <w:t>2/4/2021</w:t>
            </w:r>
            <w:r>
              <w:rPr>
                <w:rFonts w:ascii="Arial" w:cs="Arial" w:eastAsia="Arial" w:hAnsi="Arial"/>
                <w:sz w:val="9"/>
                <w:szCs w:val="9"/>
                <w:color w:val="auto"/>
              </w:rPr>
              <w:t>(1)</w:t>
            </w:r>
          </w:p>
        </w:tc>
        <w:tc>
          <w:tcPr>
            <w:tcW w:w="76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line="109" w:lineRule="exact"/>
              <w:rPr>
                <w:sz w:val="20"/>
                <w:szCs w:val="20"/>
                <w:color w:val="auto"/>
              </w:rPr>
            </w:pPr>
            <w:r>
              <w:rPr>
                <w:rFonts w:ascii="Arial" w:cs="Arial" w:eastAsia="Arial" w:hAnsi="Arial"/>
                <w:sz w:val="11"/>
                <w:szCs w:val="11"/>
                <w:color w:val="auto"/>
              </w:rPr>
              <w:t>130,000</w:t>
            </w:r>
          </w:p>
        </w:tc>
        <w:tc>
          <w:tcPr>
            <w:tcW w:w="860" w:type="dxa"/>
            <w:vAlign w:val="bottom"/>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09" w:lineRule="exact"/>
              <w:rPr>
                <w:sz w:val="20"/>
                <w:szCs w:val="20"/>
                <w:color w:val="auto"/>
              </w:rPr>
            </w:pPr>
            <w:r>
              <w:rPr>
                <w:rFonts w:ascii="Arial" w:cs="Arial" w:eastAsia="Arial" w:hAnsi="Arial"/>
                <w:sz w:val="11"/>
                <w:szCs w:val="11"/>
                <w:color w:val="auto"/>
              </w:rPr>
              <w:t>26.34</w:t>
            </w:r>
          </w:p>
        </w:tc>
        <w:tc>
          <w:tcPr>
            <w:tcW w:w="640" w:type="dxa"/>
            <w:vAlign w:val="bottom"/>
          </w:tcPr>
          <w:p>
            <w:pPr>
              <w:jc w:val="right"/>
              <w:spacing w:after="0" w:line="109" w:lineRule="exact"/>
              <w:rPr>
                <w:sz w:val="20"/>
                <w:szCs w:val="20"/>
                <w:color w:val="auto"/>
              </w:rPr>
            </w:pPr>
            <w:r>
              <w:rPr>
                <w:rFonts w:ascii="Arial" w:cs="Arial" w:eastAsia="Arial" w:hAnsi="Arial"/>
                <w:sz w:val="11"/>
                <w:szCs w:val="11"/>
                <w:color w:val="auto"/>
              </w:rPr>
              <w:t>2/3/2031</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1/29/2020</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131,250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168,750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3.30</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1/28/2030</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1/25/2019</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22,969</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22,969</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6.01</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1/24/2029</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1/30/2018</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56,250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3,750</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10.42</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1/29/2028</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6/19/2017</w:t>
            </w:r>
            <w:r>
              <w:rPr>
                <w:rFonts w:ascii="Arial" w:cs="Arial" w:eastAsia="Arial" w:hAnsi="Arial"/>
                <w:sz w:val="9"/>
                <w:szCs w:val="9"/>
                <w:color w:val="auto"/>
              </w:rPr>
              <w:t>(5)</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70,000</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10.84</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6/18/2027</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1/26/2017</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3,750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9.89</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1/25/2027</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500" w:type="dxa"/>
            <w:vAlign w:val="bottom"/>
          </w:tcPr>
          <w:p>
            <w:pPr>
              <w:spacing w:after="0"/>
              <w:rPr>
                <w:sz w:val="10"/>
                <w:szCs w:val="10"/>
                <w:color w:val="auto"/>
              </w:rPr>
            </w:pPr>
          </w:p>
        </w:tc>
        <w:tc>
          <w:tcPr>
            <w:tcW w:w="12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2/1/2016</w:t>
            </w:r>
            <w:r>
              <w:rPr>
                <w:rFonts w:ascii="Arial" w:cs="Arial" w:eastAsia="Arial" w:hAnsi="Arial"/>
                <w:sz w:val="9"/>
                <w:szCs w:val="9"/>
                <w:color w:val="auto"/>
              </w:rPr>
              <w:t>(1)</w:t>
            </w:r>
          </w:p>
        </w:tc>
        <w:tc>
          <w:tcPr>
            <w:tcW w:w="7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12,500</w:t>
            </w:r>
          </w:p>
        </w:tc>
        <w:tc>
          <w:tcPr>
            <w:tcW w:w="9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26.20</w:t>
            </w:r>
          </w:p>
        </w:tc>
        <w:tc>
          <w:tcPr>
            <w:tcW w:w="8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1/31/2026</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5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6/26/2015</w:t>
            </w:r>
            <w:r>
              <w:rPr>
                <w:rFonts w:ascii="Arial" w:cs="Arial" w:eastAsia="Arial" w:hAnsi="Arial"/>
                <w:sz w:val="9"/>
                <w:szCs w:val="9"/>
                <w:color w:val="auto"/>
              </w:rPr>
              <w:t>(2)</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40,000</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18.00</w:t>
            </w: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6/25/2025</w:t>
            </w:r>
          </w:p>
        </w:tc>
        <w:tc>
          <w:tcPr>
            <w:tcW w:w="6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112" w:lineRule="exact"/>
        <w:rPr>
          <w:sz w:val="20"/>
          <w:szCs w:val="20"/>
          <w:color w:val="auto"/>
        </w:rPr>
      </w:pPr>
    </w:p>
    <w:p>
      <w:pPr>
        <w:jc w:val="both"/>
        <w:ind w:left="540" w:right="180" w:hanging="424"/>
        <w:spacing w:after="0" w:line="263"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24" w:lineRule="exact"/>
        <w:rPr>
          <w:rFonts w:ascii="Arial" w:cs="Arial" w:eastAsia="Arial" w:hAnsi="Arial"/>
          <w:sz w:val="14"/>
          <w:szCs w:val="14"/>
          <w:color w:val="auto"/>
        </w:rPr>
      </w:pPr>
    </w:p>
    <w:p>
      <w:pPr>
        <w:ind w:left="540" w:hanging="424"/>
        <w:spacing w:after="0" w:line="263"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spacing w:after="0" w:line="24" w:lineRule="exact"/>
        <w:rPr>
          <w:rFonts w:ascii="Arial" w:cs="Arial" w:eastAsia="Arial" w:hAnsi="Arial"/>
          <w:sz w:val="14"/>
          <w:szCs w:val="14"/>
          <w:color w:val="auto"/>
        </w:rPr>
      </w:pPr>
    </w:p>
    <w:p>
      <w:pPr>
        <w:ind w:left="540" w:right="140" w:hanging="424"/>
        <w:spacing w:after="0" w:line="285"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restricted stock unit award vests in full on June 15, 2022, subject to the holder’s continued employment with us through the applicable vesting date and potential accelerated vesting as described in the section titled “Employment Agreements.”</w:t>
      </w:r>
    </w:p>
    <w:p>
      <w:pPr>
        <w:spacing w:after="0" w:line="9" w:lineRule="exact"/>
        <w:rPr>
          <w:rFonts w:ascii="Arial" w:cs="Arial" w:eastAsia="Arial" w:hAnsi="Arial"/>
          <w:sz w:val="14"/>
          <w:szCs w:val="14"/>
          <w:color w:val="auto"/>
        </w:rPr>
      </w:pPr>
    </w:p>
    <w:p>
      <w:pPr>
        <w:ind w:left="540" w:right="140" w:hanging="424"/>
        <w:spacing w:after="0" w:line="263"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restricted stock unit award vests (i) as to 50% of the restricted stock units, on the date that the Administrator determines that the BLA Acceptance has occurred on or prior to December 31, 2022, and (ii) as to the remaining 50% of such restricted stock units on the date that the Administrator determines that the BLA Approval has occurred on or prior to December 31, 2023.</w:t>
      </w:r>
    </w:p>
    <w:p>
      <w:pPr>
        <w:spacing w:after="0" w:line="24" w:lineRule="exact"/>
        <w:rPr>
          <w:rFonts w:ascii="Arial" w:cs="Arial" w:eastAsia="Arial" w:hAnsi="Arial"/>
          <w:sz w:val="14"/>
          <w:szCs w:val="14"/>
          <w:color w:val="auto"/>
        </w:rPr>
      </w:pPr>
    </w:p>
    <w:p>
      <w:pPr>
        <w:ind w:left="540" w:right="560" w:hanging="424"/>
        <w:spacing w:after="0" w:line="285"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 vests (i) as to 50% of the Option, upon the filing of the BLA for SER-109 with the FDA, and (ii) as to the remaining 50% of such Option, upon the FDA’s approval of SER-109.</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Eric D. Shaff</w:t>
      </w:r>
    </w:p>
    <w:p>
      <w:pPr>
        <w:spacing w:after="0" w:line="102"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Under the terms of our employment agreement with Mr. Shaff (which we last amended in January 2021), if we terminate Mr. Shaff’s employment without cause or he resigns for good reason, each within the meaning of his employment agreement, he will be entitled to receive 18 months of continued</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 salary, up to 18 months of continued medical, dental or vision coverage pursuant to COBRA, if elected, and immediate vesting of any time-based equity awards that would have otherwise become vested solely as a result of Mr. Shaff’s continued service during the twelve month period following his termination of employment. Mr. Shaff’s employment agreement provides that, upon any such termination within 60 days prior to or 12 months following a change in control, in lieu of the benefits described in the previous sentence, Mr. Shaff is entitled to accelerated vesting of his time-based equity awards, 18 months of continued base salary, up to 18 months of continued medical, dental or vision coverage pursuant to COBRA, if elected, and a lump sum cash amount equal to 1.5 times his target bonus for the year of termination.</w:t>
      </w:r>
    </w:p>
    <w:p>
      <w:pPr>
        <w:spacing w:after="0" w:line="77"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Mr. Shaff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Arkowitz</w:t>
      </w:r>
    </w:p>
    <w:p>
      <w:pPr>
        <w:spacing w:after="0" w:line="10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connection with the commencement of his employment in 2021, we entered into an employment agreement with Mr. Arkowitz. The employment agreement provides for, among other things, a sign-on bonus of $50,000, payable in a single lump sum shortly following the commencement of his employment. This sign-on bonus is subject to repayment if Mr. Arkowtiz resigns his employment other than for good reason or we terminate his employment for cause, each within the meaning of his employment agreement, prior to the anniversary of his employment start date.</w:t>
      </w:r>
    </w:p>
    <w:p>
      <w:pPr>
        <w:spacing w:after="0" w:line="6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Under the terms of our employment agreement with Mr. Arkowitz, if we terminate Mr. Arkowitz other than for cause or he resigns for good reason, Mr. Arkowitz will be entitled to receive 12 months of continued base salary and up to 12 months of continued medical, dental or vision coverage pursuant to COBRA, if elected. Mr. Arkowitz’s employment agreement provides that, upon any such termination within 60 days prior to or 12 months following a change in control, in lieu of the benefits described in the previous sentence, Mr. Arkowitz is entitled to accelerated vesting of his time-based equity awards, 12 months of continued base salary, up to 12 months of continued medical, dental or vision coverage pursuant to COBRA, if elected, and a lump sum cash amount equal to 1.0 times his target bonus for the year of termination.</w:t>
      </w:r>
    </w:p>
    <w:p>
      <w:pPr>
        <w:spacing w:after="0" w:line="77"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For purposes of Mr. Arkowitz’s employment agreement, “cause” and “good reason” have the same meanings as in Mr. Shaff’s employment agreement. Mr. Arkowitz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Matthew Henn, Ph.D.</w:t>
      </w:r>
    </w:p>
    <w:p>
      <w:pPr>
        <w:spacing w:after="0" w:line="10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Under the terms of our employment agreement with Dr. Henn (which we last amended in January 2021), if we terminate Dr. Henn other than for cause or he resigns for good reason, each within the meaning of his employment agreement, Dr. Henn will be entitled to receive 12 months of continued base salary and up to 12 months of continued medical, dental or vision coverage pursuant to COBRA, if elected. Dr. Henn’s employment agreement provides that, upon any such termination within 60 days prior to or 12 months following a change in control, in lieu of the benefits described in the previous sentence, Dr. Henn is entitled to accelerated vesting of his time-based equity awards, 12 months of continued base salary, up to 12 months of continued medical, dental or vision coverage pursuant to COBRA, if elected, and a lump sum cash amount equal to 1.0 times his target bonus for the year of termination.</w:t>
      </w:r>
    </w:p>
    <w:p>
      <w:pPr>
        <w:spacing w:after="0" w:line="7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For purposes of Dr. Henn’s employment agreement, “cause” and “good reason” have the same meanings as in Mr. Shaff’s employment agreement. Dr. Henn has also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Directors who are also our employees do not receive compensation for their service on our Board. Mr. Shaff served as a director and executive officer of our company during 2021. Refer to the 2021 Summary Compensation Table and related narrative disclosure above for information regarding the compensation Mr. Shaff received from us during 2021.</w:t>
      </w:r>
    </w:p>
    <w:p>
      <w:pPr>
        <w:spacing w:after="0" w:line="16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w:t>
      </w:r>
    </w:p>
    <w:p>
      <w:pPr>
        <w:spacing w:after="0" w:line="59" w:lineRule="exact"/>
        <w:rPr>
          <w:sz w:val="20"/>
          <w:szCs w:val="20"/>
          <w:color w:val="auto"/>
        </w:rPr>
      </w:pPr>
    </w:p>
    <w:p>
      <w:pPr>
        <w:ind w:left="980" w:right="80" w:hanging="432"/>
        <w:spacing w:after="0" w:line="27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option to purchase 35,000 shares of our Common Stock upon the director’s initial election or appointment to our Board (the “Initial Award”);</w:t>
      </w:r>
    </w:p>
    <w:p>
      <w:pPr>
        <w:spacing w:after="0" w:line="5" w:lineRule="exact"/>
        <w:rPr>
          <w:rFonts w:ascii="Arial" w:cs="Arial" w:eastAsia="Arial" w:hAnsi="Arial"/>
          <w:sz w:val="18"/>
          <w:szCs w:val="18"/>
          <w:color w:val="auto"/>
        </w:rPr>
      </w:pPr>
    </w:p>
    <w:p>
      <w:pPr>
        <w:ind w:left="980" w:right="60" w:hanging="432"/>
        <w:spacing w:after="0" w:line="27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director has served on our Board for at least six months as of the date of an annual meeting of stockholders, an option to purchase 23,000 shares of our Common Stock on the date of the annual meeting (the “Subsequent Award”);</w:t>
      </w:r>
    </w:p>
    <w:p>
      <w:pPr>
        <w:spacing w:after="0" w:line="5" w:lineRule="exact"/>
        <w:rPr>
          <w:rFonts w:ascii="Arial" w:cs="Arial" w:eastAsia="Arial" w:hAnsi="Arial"/>
          <w:sz w:val="18"/>
          <w:szCs w:val="18"/>
          <w:color w:val="auto"/>
        </w:rPr>
      </w:pPr>
    </w:p>
    <w:p>
      <w:pPr>
        <w:ind w:left="980" w:right="740" w:hanging="432"/>
        <w:spacing w:after="0" w:line="27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director fee of $45,000, and if the director serves as chairman of our Board or lead independent director, an additional annual director fee of $35,000; and</w:t>
      </w:r>
    </w:p>
    <w:p>
      <w:pPr>
        <w:spacing w:after="0" w:line="5" w:lineRule="exact"/>
        <w:rPr>
          <w:rFonts w:ascii="Arial" w:cs="Arial" w:eastAsia="Arial" w:hAnsi="Arial"/>
          <w:sz w:val="18"/>
          <w:szCs w:val="18"/>
          <w:color w:val="auto"/>
        </w:rPr>
      </w:pPr>
    </w:p>
    <w:p>
      <w:pPr>
        <w:ind w:left="980" w:hanging="43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an additional annual fee as follows:</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chairman of the Audit Committee—$20,000;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Audit Committee member other than the chairman—$10,000;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chairman of the Compensation and Talent Committee—$15,000;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Compensation and Talent Committee member other than the chairman—$7,500;</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Committee—$10,000; and</w:t>
      </w:r>
    </w:p>
    <w:p>
      <w:pPr>
        <w:spacing w:after="0" w:line="63" w:lineRule="exact"/>
        <w:rPr>
          <w:rFonts w:ascii="Arial" w:cs="Arial" w:eastAsia="Arial" w:hAnsi="Arial"/>
          <w:sz w:val="18"/>
          <w:szCs w:val="18"/>
          <w:color w:val="auto"/>
        </w:rPr>
      </w:pPr>
    </w:p>
    <w:p>
      <w:pPr>
        <w:ind w:left="1320" w:hanging="219"/>
        <w:spacing w:after="0"/>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chairman—$5,000.</w:t>
      </w:r>
    </w:p>
    <w:p>
      <w:pPr>
        <w:spacing w:after="0" w:line="10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amounts set forth above reflect changes that were made to this program in June 2021 to decrease the number of shares subject to the Initial Award from 60,000 to 35,000 and the number of shares subject to the Subsequent Award from 30,000 to 23,000 and to increase the cash compensation for serving on our Board and on a committee of our Board.</w:t>
      </w:r>
    </w:p>
    <w:p>
      <w:pPr>
        <w:spacing w:after="0" w:line="6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68"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Each member of our Board is entitled to be reimbursed for reasonable travel and other expenses incurred in connection with attending meetings of the Board and any committee of the Board on which he or she serves.</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2021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3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298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b w:val="1"/>
                <w:bCs w:val="1"/>
                <w:color w:val="auto"/>
              </w:rPr>
              <w:t>Fees Earned or Paid in Cash ($)</w:t>
            </w:r>
          </w:p>
        </w:tc>
        <w:tc>
          <w:tcPr>
            <w:tcW w:w="232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b w:val="1"/>
                <w:bCs w:val="1"/>
                <w:color w:val="auto"/>
              </w:rPr>
              <w:t>Option Awards ($)</w:t>
            </w:r>
            <w:r>
              <w:rPr>
                <w:rFonts w:ascii="Arial" w:cs="Arial" w:eastAsia="Arial" w:hAnsi="Arial"/>
                <w:sz w:val="11"/>
                <w:szCs w:val="11"/>
                <w:b w:val="1"/>
                <w:bCs w:val="1"/>
                <w:color w:val="auto"/>
              </w:rPr>
              <w:t>(1)</w:t>
            </w:r>
          </w:p>
        </w:tc>
        <w:tc>
          <w:tcPr>
            <w:tcW w:w="1600" w:type="dxa"/>
            <w:vAlign w:val="bottom"/>
            <w:tcBorders>
              <w:bottom w:val="single" w:sz="8" w:color="auto"/>
            </w:tcBorders>
            <w:shd w:val="clear" w:color="auto" w:fill="E5E5E5"/>
          </w:tcPr>
          <w:p>
            <w:pPr>
              <w:jc w:val="right"/>
              <w:ind w:right="493"/>
              <w:spacing w:after="0"/>
              <w:rPr>
                <w:sz w:val="20"/>
                <w:szCs w:val="20"/>
                <w:color w:val="auto"/>
              </w:rPr>
            </w:pPr>
            <w:r>
              <w:rPr>
                <w:rFonts w:ascii="Arial" w:cs="Arial" w:eastAsia="Arial" w:hAnsi="Arial"/>
                <w:sz w:val="13"/>
                <w:szCs w:val="13"/>
                <w:b w:val="1"/>
                <w:bCs w:val="1"/>
                <w:color w:val="auto"/>
              </w:rPr>
              <w:t>Total ($)</w:t>
            </w:r>
          </w:p>
        </w:tc>
      </w:tr>
      <w:tr>
        <w:trPr>
          <w:trHeight w:val="142"/>
        </w:trPr>
        <w:tc>
          <w:tcPr>
            <w:tcW w:w="2360" w:type="dxa"/>
            <w:vAlign w:val="bottom"/>
          </w:tcPr>
          <w:p>
            <w:pPr>
              <w:ind w:left="80"/>
              <w:spacing w:after="0" w:line="142" w:lineRule="exact"/>
              <w:rPr>
                <w:sz w:val="20"/>
                <w:szCs w:val="20"/>
                <w:color w:val="auto"/>
              </w:rPr>
            </w:pPr>
            <w:r>
              <w:rPr>
                <w:rFonts w:ascii="Arial" w:cs="Arial" w:eastAsia="Arial" w:hAnsi="Arial"/>
                <w:sz w:val="13"/>
                <w:szCs w:val="13"/>
                <w:color w:val="auto"/>
              </w:rPr>
              <w:t>Stephen A. Berenson</w:t>
            </w:r>
          </w:p>
        </w:tc>
        <w:tc>
          <w:tcPr>
            <w:tcW w:w="2980" w:type="dxa"/>
            <w:vAlign w:val="bottom"/>
          </w:tcPr>
          <w:p>
            <w:pPr>
              <w:jc w:val="right"/>
              <w:ind w:right="433"/>
              <w:spacing w:after="0" w:line="142" w:lineRule="exact"/>
              <w:rPr>
                <w:sz w:val="20"/>
                <w:szCs w:val="20"/>
                <w:color w:val="auto"/>
              </w:rPr>
            </w:pPr>
            <w:r>
              <w:rPr>
                <w:rFonts w:ascii="Arial" w:cs="Arial" w:eastAsia="Arial" w:hAnsi="Arial"/>
                <w:sz w:val="13"/>
                <w:szCs w:val="13"/>
                <w:color w:val="auto"/>
              </w:rPr>
              <w:t>77,154</w:t>
            </w:r>
          </w:p>
        </w:tc>
        <w:tc>
          <w:tcPr>
            <w:tcW w:w="2320" w:type="dxa"/>
            <w:vAlign w:val="bottom"/>
          </w:tcPr>
          <w:p>
            <w:pPr>
              <w:jc w:val="right"/>
              <w:ind w:right="473"/>
              <w:spacing w:after="0" w:line="142" w:lineRule="exact"/>
              <w:rPr>
                <w:sz w:val="20"/>
                <w:szCs w:val="20"/>
                <w:color w:val="auto"/>
              </w:rPr>
            </w:pPr>
            <w:r>
              <w:rPr>
                <w:rFonts w:ascii="Arial" w:cs="Arial" w:eastAsia="Arial" w:hAnsi="Arial"/>
                <w:sz w:val="13"/>
                <w:szCs w:val="13"/>
                <w:color w:val="auto"/>
              </w:rPr>
              <w:t>338,006</w:t>
            </w:r>
          </w:p>
        </w:tc>
        <w:tc>
          <w:tcPr>
            <w:tcW w:w="1600" w:type="dxa"/>
            <w:vAlign w:val="bottom"/>
          </w:tcPr>
          <w:p>
            <w:pPr>
              <w:jc w:val="right"/>
              <w:ind w:right="473"/>
              <w:spacing w:after="0" w:line="142" w:lineRule="exact"/>
              <w:rPr>
                <w:sz w:val="20"/>
                <w:szCs w:val="20"/>
                <w:color w:val="auto"/>
              </w:rPr>
            </w:pPr>
            <w:r>
              <w:rPr>
                <w:rFonts w:ascii="Arial" w:cs="Arial" w:eastAsia="Arial" w:hAnsi="Arial"/>
                <w:sz w:val="13"/>
                <w:szCs w:val="13"/>
                <w:color w:val="auto"/>
              </w:rPr>
              <w:t>415,160</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Willard H. Dere, M.D.</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51,074</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389,080</w:t>
            </w:r>
          </w:p>
        </w:tc>
      </w:tr>
      <w:tr>
        <w:trPr>
          <w:trHeight w:val="148"/>
        </w:trPr>
        <w:tc>
          <w:tcPr>
            <w:tcW w:w="2360" w:type="dxa"/>
            <w:vAlign w:val="bottom"/>
          </w:tcPr>
          <w:p>
            <w:pPr>
              <w:ind w:left="80"/>
              <w:spacing w:after="0"/>
              <w:rPr>
                <w:sz w:val="20"/>
                <w:szCs w:val="20"/>
                <w:color w:val="auto"/>
              </w:rPr>
            </w:pPr>
            <w:r>
              <w:rPr>
                <w:rFonts w:ascii="Arial" w:cs="Arial" w:eastAsia="Arial" w:hAnsi="Arial"/>
                <w:sz w:val="13"/>
                <w:szCs w:val="13"/>
                <w:color w:val="auto"/>
              </w:rPr>
              <w:t>Richard N. Kender</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65,480</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403,486</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Grégory Behar</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44,724</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382,730</w:t>
            </w:r>
          </w:p>
        </w:tc>
      </w:tr>
      <w:tr>
        <w:trPr>
          <w:trHeight w:val="149"/>
        </w:trPr>
        <w:tc>
          <w:tcPr>
            <w:tcW w:w="2360" w:type="dxa"/>
            <w:vAlign w:val="bottom"/>
          </w:tcPr>
          <w:p>
            <w:pPr>
              <w:ind w:left="80"/>
              <w:spacing w:after="0"/>
              <w:rPr>
                <w:sz w:val="20"/>
                <w:szCs w:val="20"/>
                <w:color w:val="auto"/>
              </w:rPr>
            </w:pPr>
            <w:r>
              <w:rPr>
                <w:rFonts w:ascii="Arial" w:cs="Arial" w:eastAsia="Arial" w:hAnsi="Arial"/>
                <w:sz w:val="13"/>
                <w:szCs w:val="13"/>
                <w:color w:val="auto"/>
              </w:rPr>
              <w:t>Dennis A. Ausiello, M.D.</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44,724</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382,730</w:t>
            </w:r>
          </w:p>
        </w:tc>
      </w:tr>
      <w:tr>
        <w:trPr>
          <w:trHeight w:val="148"/>
        </w:trPr>
        <w:tc>
          <w:tcPr>
            <w:tcW w:w="2360" w:type="dxa"/>
            <w:vAlign w:val="bottom"/>
            <w:shd w:val="clear" w:color="auto" w:fill="E5E5E5"/>
          </w:tcPr>
          <w:p>
            <w:pPr>
              <w:ind w:left="80"/>
              <w:spacing w:after="0"/>
              <w:rPr>
                <w:sz w:val="20"/>
                <w:szCs w:val="20"/>
                <w:color w:val="auto"/>
              </w:rPr>
            </w:pPr>
            <w:r>
              <w:rPr>
                <w:rFonts w:ascii="Arial" w:cs="Arial" w:eastAsia="Arial" w:hAnsi="Arial"/>
                <w:sz w:val="13"/>
                <w:szCs w:val="13"/>
                <w:color w:val="auto"/>
              </w:rPr>
              <w:t>Kurt C. Graves</w:t>
            </w:r>
          </w:p>
        </w:tc>
        <w:tc>
          <w:tcPr>
            <w:tcW w:w="2980" w:type="dxa"/>
            <w:vAlign w:val="bottom"/>
            <w:shd w:val="clear" w:color="auto" w:fill="E5E5E5"/>
          </w:tcPr>
          <w:p>
            <w:pPr>
              <w:jc w:val="right"/>
              <w:ind w:right="433"/>
              <w:spacing w:after="0"/>
              <w:rPr>
                <w:sz w:val="20"/>
                <w:szCs w:val="20"/>
                <w:color w:val="auto"/>
              </w:rPr>
            </w:pPr>
            <w:r>
              <w:rPr>
                <w:rFonts w:ascii="Arial" w:cs="Arial" w:eastAsia="Arial" w:hAnsi="Arial"/>
                <w:sz w:val="13"/>
                <w:szCs w:val="13"/>
                <w:color w:val="auto"/>
              </w:rPr>
              <w:t>53,118</w:t>
            </w:r>
          </w:p>
        </w:tc>
        <w:tc>
          <w:tcPr>
            <w:tcW w:w="232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shd w:val="clear" w:color="auto" w:fill="E5E5E5"/>
          </w:tcPr>
          <w:p>
            <w:pPr>
              <w:jc w:val="right"/>
              <w:ind w:right="473"/>
              <w:spacing w:after="0"/>
              <w:rPr>
                <w:sz w:val="20"/>
                <w:szCs w:val="20"/>
                <w:color w:val="auto"/>
              </w:rPr>
            </w:pPr>
            <w:r>
              <w:rPr>
                <w:rFonts w:ascii="Arial" w:cs="Arial" w:eastAsia="Arial" w:hAnsi="Arial"/>
                <w:sz w:val="13"/>
                <w:szCs w:val="13"/>
                <w:color w:val="auto"/>
              </w:rPr>
              <w:t>391,124</w:t>
            </w:r>
          </w:p>
        </w:tc>
      </w:tr>
      <w:tr>
        <w:trPr>
          <w:trHeight w:val="148"/>
        </w:trPr>
        <w:tc>
          <w:tcPr>
            <w:tcW w:w="2360" w:type="dxa"/>
            <w:vAlign w:val="bottom"/>
          </w:tcPr>
          <w:p>
            <w:pPr>
              <w:ind w:left="80"/>
              <w:spacing w:after="0"/>
              <w:rPr>
                <w:sz w:val="20"/>
                <w:szCs w:val="20"/>
                <w:color w:val="auto"/>
              </w:rPr>
            </w:pPr>
            <w:r>
              <w:rPr>
                <w:rFonts w:ascii="Arial" w:cs="Arial" w:eastAsia="Arial" w:hAnsi="Arial"/>
                <w:sz w:val="13"/>
                <w:szCs w:val="13"/>
                <w:color w:val="auto"/>
              </w:rPr>
              <w:t>Meryl S. Zausner</w:t>
            </w:r>
          </w:p>
        </w:tc>
        <w:tc>
          <w:tcPr>
            <w:tcW w:w="2980" w:type="dxa"/>
            <w:vAlign w:val="bottom"/>
          </w:tcPr>
          <w:p>
            <w:pPr>
              <w:jc w:val="right"/>
              <w:ind w:right="433"/>
              <w:spacing w:after="0"/>
              <w:rPr>
                <w:sz w:val="20"/>
                <w:szCs w:val="20"/>
                <w:color w:val="auto"/>
              </w:rPr>
            </w:pPr>
            <w:r>
              <w:rPr>
                <w:rFonts w:ascii="Arial" w:cs="Arial" w:eastAsia="Arial" w:hAnsi="Arial"/>
                <w:sz w:val="13"/>
                <w:szCs w:val="13"/>
                <w:color w:val="auto"/>
              </w:rPr>
              <w:t>55,618</w:t>
            </w:r>
          </w:p>
        </w:tc>
        <w:tc>
          <w:tcPr>
            <w:tcW w:w="2320" w:type="dxa"/>
            <w:vAlign w:val="bottom"/>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tcPr>
          <w:p>
            <w:pPr>
              <w:jc w:val="right"/>
              <w:ind w:right="473"/>
              <w:spacing w:after="0"/>
              <w:rPr>
                <w:sz w:val="20"/>
                <w:szCs w:val="20"/>
                <w:color w:val="auto"/>
              </w:rPr>
            </w:pPr>
            <w:r>
              <w:rPr>
                <w:rFonts w:ascii="Arial" w:cs="Arial" w:eastAsia="Arial" w:hAnsi="Arial"/>
                <w:sz w:val="13"/>
                <w:szCs w:val="13"/>
                <w:color w:val="auto"/>
              </w:rPr>
              <w:t>393,624</w:t>
            </w:r>
          </w:p>
        </w:tc>
      </w:tr>
      <w:tr>
        <w:trPr>
          <w:trHeight w:val="148"/>
        </w:trPr>
        <w:tc>
          <w:tcPr>
            <w:tcW w:w="23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color w:val="auto"/>
              </w:rPr>
              <w:t>Paul R. Biondi</w:t>
            </w:r>
          </w:p>
        </w:tc>
        <w:tc>
          <w:tcPr>
            <w:tcW w:w="2980" w:type="dxa"/>
            <w:vAlign w:val="bottom"/>
            <w:tcBorders>
              <w:bottom w:val="single" w:sz="8" w:color="auto"/>
            </w:tcBorders>
            <w:shd w:val="clear" w:color="auto" w:fill="E5E5E5"/>
          </w:tcPr>
          <w:p>
            <w:pPr>
              <w:jc w:val="right"/>
              <w:ind w:right="433"/>
              <w:spacing w:after="0"/>
              <w:rPr>
                <w:sz w:val="20"/>
                <w:szCs w:val="20"/>
                <w:color w:val="auto"/>
              </w:rPr>
            </w:pPr>
            <w:r>
              <w:rPr>
                <w:rFonts w:ascii="Arial" w:cs="Arial" w:eastAsia="Arial" w:hAnsi="Arial"/>
                <w:sz w:val="13"/>
                <w:szCs w:val="13"/>
                <w:color w:val="auto"/>
              </w:rPr>
              <w:t>46,765</w:t>
            </w:r>
          </w:p>
        </w:tc>
        <w:tc>
          <w:tcPr>
            <w:tcW w:w="232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color w:val="auto"/>
              </w:rPr>
              <w:t>338,006</w:t>
            </w:r>
          </w:p>
        </w:tc>
        <w:tc>
          <w:tcPr>
            <w:tcW w:w="1600" w:type="dxa"/>
            <w:vAlign w:val="bottom"/>
            <w:tcBorders>
              <w:bottom w:val="single" w:sz="8" w:color="auto"/>
            </w:tcBorders>
            <w:shd w:val="clear" w:color="auto" w:fill="E5E5E5"/>
          </w:tcPr>
          <w:p>
            <w:pPr>
              <w:jc w:val="right"/>
              <w:ind w:right="473"/>
              <w:spacing w:after="0"/>
              <w:rPr>
                <w:sz w:val="20"/>
                <w:szCs w:val="20"/>
                <w:color w:val="auto"/>
              </w:rPr>
            </w:pPr>
            <w:r>
              <w:rPr>
                <w:rFonts w:ascii="Arial" w:cs="Arial" w:eastAsia="Arial" w:hAnsi="Arial"/>
                <w:sz w:val="13"/>
                <w:szCs w:val="13"/>
                <w:color w:val="auto"/>
              </w:rPr>
              <w:t>384,771</w:t>
            </w:r>
          </w:p>
        </w:tc>
      </w:tr>
    </w:tbl>
    <w:p>
      <w:pPr>
        <w:spacing w:after="0" w:line="109" w:lineRule="exact"/>
        <w:rPr>
          <w:sz w:val="20"/>
          <w:szCs w:val="20"/>
          <w:color w:val="auto"/>
        </w:rPr>
      </w:pPr>
    </w:p>
    <w:p>
      <w:pPr>
        <w:ind w:left="440" w:right="60" w:hanging="324"/>
        <w:spacing w:after="0" w:line="252"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the option awards granted during 2021 computed in accordance with FASB ASC Topic 718. For a description of the assumptions used in valuing these awards, see Note 11 to our audited consolidated financial statements included in our Annual Report on Form 10-K for the fiscal year ended December 31, 2021. The table below shows the number of option awards held as of December 31, 2021 by each of our directors who are not NEOs. None of our directors held unvested stock awards as of that date.</w:t>
      </w:r>
    </w:p>
    <w:p>
      <w:pPr>
        <w:spacing w:after="0" w:line="98"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5180" w:type="dxa"/>
            <w:vAlign w:val="bottom"/>
            <w:shd w:val="clear" w:color="auto" w:fill="E5E5E5"/>
          </w:tcPr>
          <w:p>
            <w:pPr>
              <w:spacing w:after="0"/>
              <w:rPr>
                <w:sz w:val="13"/>
                <w:szCs w:val="13"/>
                <w:color w:val="auto"/>
              </w:rPr>
            </w:pPr>
          </w:p>
        </w:tc>
        <w:tc>
          <w:tcPr>
            <w:tcW w:w="4080" w:type="dxa"/>
            <w:vAlign w:val="bottom"/>
            <w:shd w:val="clear" w:color="auto" w:fill="E5E5E5"/>
          </w:tcPr>
          <w:p>
            <w:pPr>
              <w:jc w:val="right"/>
              <w:ind w:right="1033"/>
              <w:spacing w:after="0"/>
              <w:rPr>
                <w:sz w:val="20"/>
                <w:szCs w:val="20"/>
                <w:color w:val="auto"/>
              </w:rPr>
            </w:pPr>
            <w:r>
              <w:rPr>
                <w:rFonts w:ascii="Arial" w:cs="Arial" w:eastAsia="Arial" w:hAnsi="Arial"/>
                <w:sz w:val="13"/>
                <w:szCs w:val="13"/>
                <w:b w:val="1"/>
                <w:bCs w:val="1"/>
                <w:color w:val="auto"/>
              </w:rPr>
              <w:t>Option Awards Outstanding as</w:t>
            </w:r>
          </w:p>
        </w:tc>
      </w:tr>
      <w:tr>
        <w:trPr>
          <w:trHeight w:val="177"/>
        </w:trPr>
        <w:tc>
          <w:tcPr>
            <w:tcW w:w="5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b w:val="1"/>
                <w:bCs w:val="1"/>
                <w:color w:val="auto"/>
              </w:rPr>
              <w:t>Name</w:t>
            </w:r>
          </w:p>
        </w:tc>
        <w:tc>
          <w:tcPr>
            <w:tcW w:w="4080" w:type="dxa"/>
            <w:vAlign w:val="bottom"/>
            <w:tcBorders>
              <w:bottom w:val="single" w:sz="8" w:color="auto"/>
            </w:tcBorders>
            <w:shd w:val="clear" w:color="auto" w:fill="E5E5E5"/>
          </w:tcPr>
          <w:p>
            <w:pPr>
              <w:jc w:val="right"/>
              <w:ind w:right="1233"/>
              <w:spacing w:after="0"/>
              <w:rPr>
                <w:sz w:val="20"/>
                <w:szCs w:val="20"/>
                <w:color w:val="auto"/>
              </w:rPr>
            </w:pPr>
            <w:r>
              <w:rPr>
                <w:rFonts w:ascii="Arial" w:cs="Arial" w:eastAsia="Arial" w:hAnsi="Arial"/>
                <w:sz w:val="13"/>
                <w:szCs w:val="13"/>
                <w:b w:val="1"/>
                <w:bCs w:val="1"/>
                <w:color w:val="auto"/>
              </w:rPr>
              <w:t>of December 31, 2021 (#)</w:t>
            </w:r>
          </w:p>
        </w:tc>
      </w:tr>
      <w:tr>
        <w:trPr>
          <w:trHeight w:val="142"/>
        </w:trPr>
        <w:tc>
          <w:tcPr>
            <w:tcW w:w="5180" w:type="dxa"/>
            <w:vAlign w:val="bottom"/>
          </w:tcPr>
          <w:p>
            <w:pPr>
              <w:ind w:left="80"/>
              <w:spacing w:after="0" w:line="142" w:lineRule="exact"/>
              <w:rPr>
                <w:sz w:val="20"/>
                <w:szCs w:val="20"/>
                <w:color w:val="auto"/>
              </w:rPr>
            </w:pPr>
            <w:r>
              <w:rPr>
                <w:rFonts w:ascii="Arial" w:cs="Arial" w:eastAsia="Arial" w:hAnsi="Arial"/>
                <w:sz w:val="13"/>
                <w:szCs w:val="13"/>
                <w:color w:val="auto"/>
              </w:rPr>
              <w:t>Stephen A. Berenson</w:t>
            </w:r>
          </w:p>
        </w:tc>
        <w:tc>
          <w:tcPr>
            <w:tcW w:w="4080" w:type="dxa"/>
            <w:vAlign w:val="bottom"/>
          </w:tcPr>
          <w:p>
            <w:pPr>
              <w:jc w:val="right"/>
              <w:ind w:right="1033"/>
              <w:spacing w:after="0" w:line="142" w:lineRule="exact"/>
              <w:rPr>
                <w:sz w:val="20"/>
                <w:szCs w:val="20"/>
                <w:color w:val="auto"/>
              </w:rPr>
            </w:pPr>
            <w:r>
              <w:rPr>
                <w:rFonts w:ascii="Arial" w:cs="Arial" w:eastAsia="Arial" w:hAnsi="Arial"/>
                <w:sz w:val="13"/>
                <w:szCs w:val="13"/>
                <w:color w:val="auto"/>
              </w:rPr>
              <w:t>83,000</w:t>
            </w:r>
          </w:p>
        </w:tc>
      </w:tr>
      <w:tr>
        <w:trPr>
          <w:trHeight w:val="148"/>
        </w:trPr>
        <w:tc>
          <w:tcPr>
            <w:tcW w:w="5180" w:type="dxa"/>
            <w:vAlign w:val="bottom"/>
            <w:shd w:val="clear" w:color="auto" w:fill="E5E5E5"/>
          </w:tcPr>
          <w:p>
            <w:pPr>
              <w:ind w:left="80"/>
              <w:spacing w:after="0"/>
              <w:rPr>
                <w:sz w:val="20"/>
                <w:szCs w:val="20"/>
                <w:color w:val="auto"/>
              </w:rPr>
            </w:pPr>
            <w:r>
              <w:rPr>
                <w:rFonts w:ascii="Arial" w:cs="Arial" w:eastAsia="Arial" w:hAnsi="Arial"/>
                <w:sz w:val="13"/>
                <w:szCs w:val="13"/>
                <w:color w:val="auto"/>
              </w:rPr>
              <w:t>Willard H. Dere, M.D.</w:t>
            </w:r>
          </w:p>
        </w:tc>
        <w:tc>
          <w:tcPr>
            <w:tcW w:w="4080" w:type="dxa"/>
            <w:vAlign w:val="bottom"/>
            <w:shd w:val="clear" w:color="auto" w:fill="E5E5E5"/>
          </w:tcPr>
          <w:p>
            <w:pPr>
              <w:jc w:val="right"/>
              <w:ind w:right="1033"/>
              <w:spacing w:after="0"/>
              <w:rPr>
                <w:sz w:val="20"/>
                <w:szCs w:val="20"/>
                <w:color w:val="auto"/>
              </w:rPr>
            </w:pPr>
            <w:r>
              <w:rPr>
                <w:rFonts w:ascii="Arial" w:cs="Arial" w:eastAsia="Arial" w:hAnsi="Arial"/>
                <w:sz w:val="13"/>
                <w:szCs w:val="13"/>
                <w:color w:val="auto"/>
              </w:rPr>
              <w:t>113,000</w:t>
            </w:r>
          </w:p>
        </w:tc>
      </w:tr>
      <w:tr>
        <w:trPr>
          <w:trHeight w:val="148"/>
        </w:trPr>
        <w:tc>
          <w:tcPr>
            <w:tcW w:w="5180" w:type="dxa"/>
            <w:vAlign w:val="bottom"/>
          </w:tcPr>
          <w:p>
            <w:pPr>
              <w:ind w:left="80"/>
              <w:spacing w:after="0"/>
              <w:rPr>
                <w:sz w:val="20"/>
                <w:szCs w:val="20"/>
                <w:color w:val="auto"/>
              </w:rPr>
            </w:pPr>
            <w:r>
              <w:rPr>
                <w:rFonts w:ascii="Arial" w:cs="Arial" w:eastAsia="Arial" w:hAnsi="Arial"/>
                <w:sz w:val="13"/>
                <w:szCs w:val="13"/>
                <w:color w:val="auto"/>
              </w:rPr>
              <w:t>Richard N. Kender</w:t>
            </w:r>
          </w:p>
        </w:tc>
        <w:tc>
          <w:tcPr>
            <w:tcW w:w="4080" w:type="dxa"/>
            <w:vAlign w:val="bottom"/>
          </w:tcPr>
          <w:p>
            <w:pPr>
              <w:jc w:val="right"/>
              <w:ind w:right="1033"/>
              <w:spacing w:after="0"/>
              <w:rPr>
                <w:sz w:val="20"/>
                <w:szCs w:val="20"/>
                <w:color w:val="auto"/>
              </w:rPr>
            </w:pPr>
            <w:r>
              <w:rPr>
                <w:rFonts w:ascii="Arial" w:cs="Arial" w:eastAsia="Arial" w:hAnsi="Arial"/>
                <w:sz w:val="13"/>
                <w:szCs w:val="13"/>
                <w:color w:val="auto"/>
              </w:rPr>
              <w:t>203,000</w:t>
            </w:r>
          </w:p>
        </w:tc>
      </w:tr>
      <w:tr>
        <w:trPr>
          <w:trHeight w:val="148"/>
        </w:trPr>
        <w:tc>
          <w:tcPr>
            <w:tcW w:w="5180" w:type="dxa"/>
            <w:vAlign w:val="bottom"/>
            <w:shd w:val="clear" w:color="auto" w:fill="E5E5E5"/>
          </w:tcPr>
          <w:p>
            <w:pPr>
              <w:ind w:left="80"/>
              <w:spacing w:after="0"/>
              <w:rPr>
                <w:sz w:val="20"/>
                <w:szCs w:val="20"/>
                <w:color w:val="auto"/>
              </w:rPr>
            </w:pPr>
            <w:r>
              <w:rPr>
                <w:rFonts w:ascii="Arial" w:cs="Arial" w:eastAsia="Arial" w:hAnsi="Arial"/>
                <w:sz w:val="13"/>
                <w:szCs w:val="13"/>
                <w:color w:val="auto"/>
              </w:rPr>
              <w:t>Grégory Behar</w:t>
            </w:r>
          </w:p>
        </w:tc>
        <w:tc>
          <w:tcPr>
            <w:tcW w:w="4080" w:type="dxa"/>
            <w:vAlign w:val="bottom"/>
            <w:shd w:val="clear" w:color="auto" w:fill="E5E5E5"/>
          </w:tcPr>
          <w:p>
            <w:pPr>
              <w:jc w:val="right"/>
              <w:ind w:right="1033"/>
              <w:spacing w:after="0"/>
              <w:rPr>
                <w:sz w:val="20"/>
                <w:szCs w:val="20"/>
                <w:color w:val="auto"/>
              </w:rPr>
            </w:pPr>
            <w:r>
              <w:rPr>
                <w:rFonts w:ascii="Arial" w:cs="Arial" w:eastAsia="Arial" w:hAnsi="Arial"/>
                <w:sz w:val="13"/>
                <w:szCs w:val="13"/>
                <w:color w:val="auto"/>
              </w:rPr>
              <w:t>98,000</w:t>
            </w:r>
          </w:p>
        </w:tc>
      </w:tr>
      <w:tr>
        <w:trPr>
          <w:trHeight w:val="149"/>
        </w:trPr>
        <w:tc>
          <w:tcPr>
            <w:tcW w:w="5180" w:type="dxa"/>
            <w:vAlign w:val="bottom"/>
          </w:tcPr>
          <w:p>
            <w:pPr>
              <w:ind w:left="80"/>
              <w:spacing w:after="0"/>
              <w:rPr>
                <w:sz w:val="20"/>
                <w:szCs w:val="20"/>
                <w:color w:val="auto"/>
              </w:rPr>
            </w:pPr>
            <w:r>
              <w:rPr>
                <w:rFonts w:ascii="Arial" w:cs="Arial" w:eastAsia="Arial" w:hAnsi="Arial"/>
                <w:sz w:val="13"/>
                <w:szCs w:val="13"/>
                <w:color w:val="auto"/>
              </w:rPr>
              <w:t>Dennis A. Ausiello, M.D.</w:t>
            </w:r>
          </w:p>
        </w:tc>
        <w:tc>
          <w:tcPr>
            <w:tcW w:w="4080" w:type="dxa"/>
            <w:vAlign w:val="bottom"/>
          </w:tcPr>
          <w:p>
            <w:pPr>
              <w:jc w:val="right"/>
              <w:ind w:right="1033"/>
              <w:spacing w:after="0"/>
              <w:rPr>
                <w:sz w:val="20"/>
                <w:szCs w:val="20"/>
                <w:color w:val="auto"/>
              </w:rPr>
            </w:pPr>
            <w:r>
              <w:rPr>
                <w:rFonts w:ascii="Arial" w:cs="Arial" w:eastAsia="Arial" w:hAnsi="Arial"/>
                <w:sz w:val="13"/>
                <w:szCs w:val="13"/>
                <w:color w:val="auto"/>
              </w:rPr>
              <w:t>188,000</w:t>
            </w:r>
          </w:p>
        </w:tc>
      </w:tr>
      <w:tr>
        <w:trPr>
          <w:trHeight w:val="148"/>
        </w:trPr>
        <w:tc>
          <w:tcPr>
            <w:tcW w:w="5180" w:type="dxa"/>
            <w:vAlign w:val="bottom"/>
            <w:shd w:val="clear" w:color="auto" w:fill="E5E5E5"/>
          </w:tcPr>
          <w:p>
            <w:pPr>
              <w:ind w:left="80"/>
              <w:spacing w:after="0"/>
              <w:rPr>
                <w:sz w:val="20"/>
                <w:szCs w:val="20"/>
                <w:color w:val="auto"/>
              </w:rPr>
            </w:pPr>
            <w:r>
              <w:rPr>
                <w:rFonts w:ascii="Arial" w:cs="Arial" w:eastAsia="Arial" w:hAnsi="Arial"/>
                <w:sz w:val="13"/>
                <w:szCs w:val="13"/>
                <w:color w:val="auto"/>
              </w:rPr>
              <w:t>Kurt C. Graves</w:t>
            </w:r>
          </w:p>
        </w:tc>
        <w:tc>
          <w:tcPr>
            <w:tcW w:w="4080" w:type="dxa"/>
            <w:vAlign w:val="bottom"/>
            <w:shd w:val="clear" w:color="auto" w:fill="E5E5E5"/>
          </w:tcPr>
          <w:p>
            <w:pPr>
              <w:jc w:val="right"/>
              <w:ind w:right="1033"/>
              <w:spacing w:after="0"/>
              <w:rPr>
                <w:sz w:val="20"/>
                <w:szCs w:val="20"/>
                <w:color w:val="auto"/>
              </w:rPr>
            </w:pPr>
            <w:r>
              <w:rPr>
                <w:rFonts w:ascii="Arial" w:cs="Arial" w:eastAsia="Arial" w:hAnsi="Arial"/>
                <w:sz w:val="13"/>
                <w:szCs w:val="13"/>
                <w:color w:val="auto"/>
              </w:rPr>
              <w:t>143,000</w:t>
            </w:r>
          </w:p>
        </w:tc>
      </w:tr>
      <w:tr>
        <w:trPr>
          <w:trHeight w:val="148"/>
        </w:trPr>
        <w:tc>
          <w:tcPr>
            <w:tcW w:w="5180" w:type="dxa"/>
            <w:vAlign w:val="bottom"/>
          </w:tcPr>
          <w:p>
            <w:pPr>
              <w:ind w:left="80"/>
              <w:spacing w:after="0"/>
              <w:rPr>
                <w:sz w:val="20"/>
                <w:szCs w:val="20"/>
                <w:color w:val="auto"/>
              </w:rPr>
            </w:pPr>
            <w:r>
              <w:rPr>
                <w:rFonts w:ascii="Arial" w:cs="Arial" w:eastAsia="Arial" w:hAnsi="Arial"/>
                <w:sz w:val="13"/>
                <w:szCs w:val="13"/>
                <w:color w:val="auto"/>
              </w:rPr>
              <w:t>Meryl S. Zausner</w:t>
            </w:r>
          </w:p>
        </w:tc>
        <w:tc>
          <w:tcPr>
            <w:tcW w:w="4080" w:type="dxa"/>
            <w:vAlign w:val="bottom"/>
          </w:tcPr>
          <w:p>
            <w:pPr>
              <w:jc w:val="right"/>
              <w:ind w:right="1033"/>
              <w:spacing w:after="0"/>
              <w:rPr>
                <w:sz w:val="20"/>
                <w:szCs w:val="20"/>
                <w:color w:val="auto"/>
              </w:rPr>
            </w:pPr>
            <w:r>
              <w:rPr>
                <w:rFonts w:ascii="Arial" w:cs="Arial" w:eastAsia="Arial" w:hAnsi="Arial"/>
                <w:sz w:val="13"/>
                <w:szCs w:val="13"/>
                <w:color w:val="auto"/>
              </w:rPr>
              <w:t>98,000</w:t>
            </w:r>
          </w:p>
        </w:tc>
      </w:tr>
      <w:tr>
        <w:trPr>
          <w:trHeight w:val="148"/>
        </w:trPr>
        <w:tc>
          <w:tcPr>
            <w:tcW w:w="5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3"/>
                <w:szCs w:val="13"/>
                <w:color w:val="auto"/>
              </w:rPr>
              <w:t>Paul R. Biondi</w:t>
            </w:r>
          </w:p>
        </w:tc>
        <w:tc>
          <w:tcPr>
            <w:tcW w:w="4080" w:type="dxa"/>
            <w:vAlign w:val="bottom"/>
            <w:tcBorders>
              <w:bottom w:val="single" w:sz="8" w:color="auto"/>
            </w:tcBorders>
            <w:shd w:val="clear" w:color="auto" w:fill="E5E5E5"/>
          </w:tcPr>
          <w:p>
            <w:pPr>
              <w:jc w:val="right"/>
              <w:ind w:right="1033"/>
              <w:spacing w:after="0"/>
              <w:rPr>
                <w:sz w:val="20"/>
                <w:szCs w:val="20"/>
                <w:color w:val="auto"/>
              </w:rPr>
            </w:pPr>
            <w:r>
              <w:rPr>
                <w:rFonts w:ascii="Arial" w:cs="Arial" w:eastAsia="Arial" w:hAnsi="Arial"/>
                <w:sz w:val="13"/>
                <w:szCs w:val="13"/>
                <w:color w:val="auto"/>
              </w:rPr>
              <w:t>83,000</w:t>
            </w: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on our equity compensation plans as of December 31, 2021.</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900" w:type="dxa"/>
            <w:vAlign w:val="bottom"/>
            <w:shd w:val="clear" w:color="auto" w:fill="E5E5E5"/>
          </w:tcPr>
          <w:p>
            <w:pPr>
              <w:spacing w:after="0"/>
              <w:rPr>
                <w:sz w:val="13"/>
                <w:szCs w:val="13"/>
                <w:color w:val="auto"/>
              </w:rPr>
            </w:pPr>
          </w:p>
        </w:tc>
        <w:tc>
          <w:tcPr>
            <w:tcW w:w="2860" w:type="dxa"/>
            <w:vAlign w:val="bottom"/>
            <w:vMerge w:val="restart"/>
            <w:shd w:val="clear" w:color="auto" w:fill="E5E5E5"/>
          </w:tcPr>
          <w:p>
            <w:pPr>
              <w:jc w:val="center"/>
              <w:ind w:right="33"/>
              <w:spacing w:after="0"/>
              <w:rPr>
                <w:sz w:val="20"/>
                <w:szCs w:val="20"/>
                <w:color w:val="auto"/>
              </w:rPr>
            </w:pPr>
            <w:r>
              <w:rPr>
                <w:rFonts w:ascii="Arial" w:cs="Arial" w:eastAsia="Arial" w:hAnsi="Arial"/>
                <w:sz w:val="13"/>
                <w:szCs w:val="13"/>
                <w:b w:val="1"/>
                <w:bCs w:val="1"/>
                <w:color w:val="auto"/>
              </w:rPr>
              <w:t>Number of Securities to be</w:t>
            </w:r>
          </w:p>
        </w:tc>
        <w:tc>
          <w:tcPr>
            <w:tcW w:w="660" w:type="dxa"/>
            <w:vAlign w:val="bottom"/>
            <w:shd w:val="clear" w:color="auto" w:fill="E5E5E5"/>
          </w:tcPr>
          <w:p>
            <w:pPr>
              <w:spacing w:after="0"/>
              <w:rPr>
                <w:sz w:val="13"/>
                <w:szCs w:val="13"/>
                <w:color w:val="auto"/>
              </w:rPr>
            </w:pPr>
          </w:p>
        </w:tc>
        <w:tc>
          <w:tcPr>
            <w:tcW w:w="2300" w:type="dxa"/>
            <w:vAlign w:val="bottom"/>
            <w:shd w:val="clear" w:color="auto" w:fill="E5E5E5"/>
          </w:tcPr>
          <w:p>
            <w:pPr>
              <w:spacing w:after="0"/>
              <w:rPr>
                <w:sz w:val="13"/>
                <w:szCs w:val="13"/>
                <w:color w:val="auto"/>
              </w:rPr>
            </w:pPr>
          </w:p>
        </w:tc>
        <w:tc>
          <w:tcPr>
            <w:tcW w:w="330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Number of Securities</w:t>
            </w:r>
          </w:p>
        </w:tc>
        <w:tc>
          <w:tcPr>
            <w:tcW w:w="0" w:type="dxa"/>
            <w:vAlign w:val="bottom"/>
          </w:tcPr>
          <w:p>
            <w:pPr>
              <w:spacing w:after="0"/>
              <w:rPr>
                <w:sz w:val="1"/>
                <w:szCs w:val="1"/>
                <w:color w:val="auto"/>
              </w:rPr>
            </w:pPr>
          </w:p>
        </w:tc>
      </w:tr>
      <w:tr>
        <w:trPr>
          <w:trHeight w:val="148"/>
        </w:trPr>
        <w:tc>
          <w:tcPr>
            <w:tcW w:w="1900" w:type="dxa"/>
            <w:vAlign w:val="bottom"/>
            <w:shd w:val="clear" w:color="auto" w:fill="E5E5E5"/>
          </w:tcPr>
          <w:p>
            <w:pPr>
              <w:spacing w:after="0"/>
              <w:rPr>
                <w:sz w:val="12"/>
                <w:szCs w:val="12"/>
                <w:color w:val="auto"/>
              </w:rPr>
            </w:pPr>
          </w:p>
        </w:tc>
        <w:tc>
          <w:tcPr>
            <w:tcW w:w="2860" w:type="dxa"/>
            <w:vAlign w:val="bottom"/>
            <w:vMerge w:val="continue"/>
            <w:shd w:val="clear" w:color="auto" w:fill="E5E5E5"/>
          </w:tcPr>
          <w:p>
            <w:pPr>
              <w:spacing w:after="0"/>
              <w:rPr>
                <w:sz w:val="12"/>
                <w:szCs w:val="12"/>
                <w:color w:val="auto"/>
              </w:rPr>
            </w:pPr>
          </w:p>
        </w:tc>
        <w:tc>
          <w:tcPr>
            <w:tcW w:w="2960" w:type="dxa"/>
            <w:vAlign w:val="bottom"/>
            <w:gridSpan w:val="2"/>
            <w:vMerge w:val="restart"/>
            <w:shd w:val="clear" w:color="auto" w:fill="E5E5E5"/>
          </w:tcPr>
          <w:p>
            <w:pPr>
              <w:jc w:val="right"/>
              <w:ind w:right="593"/>
              <w:spacing w:after="0"/>
              <w:rPr>
                <w:sz w:val="20"/>
                <w:szCs w:val="20"/>
                <w:color w:val="auto"/>
              </w:rPr>
            </w:pPr>
            <w:r>
              <w:rPr>
                <w:rFonts w:ascii="Arial" w:cs="Arial" w:eastAsia="Arial" w:hAnsi="Arial"/>
                <w:sz w:val="13"/>
                <w:szCs w:val="13"/>
                <w:b w:val="1"/>
                <w:bCs w:val="1"/>
                <w:color w:val="auto"/>
              </w:rPr>
              <w:t>Weighted Average Exercise</w:t>
            </w:r>
          </w:p>
        </w:tc>
        <w:tc>
          <w:tcPr>
            <w:tcW w:w="3300" w:type="dxa"/>
            <w:vAlign w:val="bottom"/>
            <w:shd w:val="clear" w:color="auto" w:fill="E5E5E5"/>
          </w:tcPr>
          <w:p>
            <w:pPr>
              <w:jc w:val="center"/>
              <w:ind w:right="33"/>
              <w:spacing w:after="0"/>
              <w:rPr>
                <w:sz w:val="20"/>
                <w:szCs w:val="20"/>
                <w:color w:val="auto"/>
              </w:rPr>
            </w:pPr>
            <w:r>
              <w:rPr>
                <w:rFonts w:ascii="Arial" w:cs="Arial" w:eastAsia="Arial" w:hAnsi="Arial"/>
                <w:sz w:val="13"/>
                <w:szCs w:val="13"/>
                <w:b w:val="1"/>
                <w:bCs w:val="1"/>
                <w:color w:val="auto"/>
              </w:rPr>
              <w:t>Available for Future Issuance</w:t>
            </w:r>
          </w:p>
        </w:tc>
        <w:tc>
          <w:tcPr>
            <w:tcW w:w="0" w:type="dxa"/>
            <w:vAlign w:val="bottom"/>
          </w:tcPr>
          <w:p>
            <w:pPr>
              <w:spacing w:after="0"/>
              <w:rPr>
                <w:sz w:val="1"/>
                <w:szCs w:val="1"/>
                <w:color w:val="auto"/>
              </w:rPr>
            </w:pPr>
          </w:p>
        </w:tc>
      </w:tr>
      <w:tr>
        <w:trPr>
          <w:trHeight w:val="148"/>
        </w:trPr>
        <w:tc>
          <w:tcPr>
            <w:tcW w:w="1900" w:type="dxa"/>
            <w:vAlign w:val="bottom"/>
            <w:shd w:val="clear" w:color="auto" w:fill="E5E5E5"/>
          </w:tcPr>
          <w:p>
            <w:pPr>
              <w:spacing w:after="0"/>
              <w:rPr>
                <w:sz w:val="12"/>
                <w:szCs w:val="12"/>
                <w:color w:val="auto"/>
              </w:rPr>
            </w:pPr>
          </w:p>
        </w:tc>
        <w:tc>
          <w:tcPr>
            <w:tcW w:w="2860" w:type="dxa"/>
            <w:vAlign w:val="bottom"/>
            <w:shd w:val="clear" w:color="auto" w:fill="E5E5E5"/>
          </w:tcPr>
          <w:p>
            <w:pPr>
              <w:jc w:val="center"/>
              <w:ind w:right="33"/>
              <w:spacing w:after="0"/>
              <w:rPr>
                <w:sz w:val="20"/>
                <w:szCs w:val="20"/>
                <w:color w:val="auto"/>
              </w:rPr>
            </w:pPr>
            <w:r>
              <w:rPr>
                <w:rFonts w:ascii="Arial" w:cs="Arial" w:eastAsia="Arial" w:hAnsi="Arial"/>
                <w:sz w:val="13"/>
                <w:szCs w:val="13"/>
                <w:b w:val="1"/>
                <w:bCs w:val="1"/>
                <w:color w:val="auto"/>
              </w:rPr>
              <w:t>Issued Upon Exercise of</w:t>
            </w:r>
          </w:p>
        </w:tc>
        <w:tc>
          <w:tcPr>
            <w:tcW w:w="2960" w:type="dxa"/>
            <w:vAlign w:val="bottom"/>
            <w:gridSpan w:val="2"/>
            <w:vMerge w:val="continue"/>
            <w:shd w:val="clear" w:color="auto" w:fill="E5E5E5"/>
          </w:tcPr>
          <w:p>
            <w:pPr>
              <w:spacing w:after="0"/>
              <w:rPr>
                <w:sz w:val="12"/>
                <w:szCs w:val="12"/>
                <w:color w:val="auto"/>
              </w:rPr>
            </w:pPr>
          </w:p>
        </w:tc>
        <w:tc>
          <w:tcPr>
            <w:tcW w:w="330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Under Equity Compensation Plans</w:t>
            </w:r>
          </w:p>
        </w:tc>
        <w:tc>
          <w:tcPr>
            <w:tcW w:w="0" w:type="dxa"/>
            <w:vAlign w:val="bottom"/>
          </w:tcPr>
          <w:p>
            <w:pPr>
              <w:spacing w:after="0"/>
              <w:rPr>
                <w:sz w:val="1"/>
                <w:szCs w:val="1"/>
                <w:color w:val="auto"/>
              </w:rPr>
            </w:pPr>
          </w:p>
        </w:tc>
      </w:tr>
      <w:tr>
        <w:trPr>
          <w:trHeight w:val="148"/>
        </w:trPr>
        <w:tc>
          <w:tcPr>
            <w:tcW w:w="1900" w:type="dxa"/>
            <w:vAlign w:val="bottom"/>
            <w:shd w:val="clear" w:color="auto" w:fill="E5E5E5"/>
          </w:tcPr>
          <w:p>
            <w:pPr>
              <w:spacing w:after="0"/>
              <w:rPr>
                <w:sz w:val="12"/>
                <w:szCs w:val="12"/>
                <w:color w:val="auto"/>
              </w:rPr>
            </w:pPr>
          </w:p>
        </w:tc>
        <w:tc>
          <w:tcPr>
            <w:tcW w:w="286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Outstanding Options,</w:t>
            </w:r>
          </w:p>
        </w:tc>
        <w:tc>
          <w:tcPr>
            <w:tcW w:w="2960" w:type="dxa"/>
            <w:vAlign w:val="bottom"/>
            <w:gridSpan w:val="2"/>
            <w:shd w:val="clear" w:color="auto" w:fill="E5E5E5"/>
          </w:tcPr>
          <w:p>
            <w:pPr>
              <w:ind w:left="480"/>
              <w:spacing w:after="0"/>
              <w:rPr>
                <w:sz w:val="20"/>
                <w:szCs w:val="20"/>
                <w:color w:val="auto"/>
              </w:rPr>
            </w:pPr>
            <w:r>
              <w:rPr>
                <w:rFonts w:ascii="Arial" w:cs="Arial" w:eastAsia="Arial" w:hAnsi="Arial"/>
                <w:sz w:val="13"/>
                <w:szCs w:val="13"/>
                <w:b w:val="1"/>
                <w:bCs w:val="1"/>
                <w:color w:val="auto"/>
              </w:rPr>
              <w:t>Price of Outstanding Options</w:t>
            </w:r>
          </w:p>
        </w:tc>
        <w:tc>
          <w:tcPr>
            <w:tcW w:w="3300" w:type="dxa"/>
            <w:vAlign w:val="bottom"/>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(excludes securities reflected in</w:t>
            </w:r>
          </w:p>
        </w:tc>
        <w:tc>
          <w:tcPr>
            <w:tcW w:w="0" w:type="dxa"/>
            <w:vAlign w:val="bottom"/>
          </w:tcPr>
          <w:p>
            <w:pPr>
              <w:spacing w:after="0"/>
              <w:rPr>
                <w:sz w:val="1"/>
                <w:szCs w:val="1"/>
                <w:color w:val="auto"/>
              </w:rPr>
            </w:pPr>
          </w:p>
        </w:tc>
      </w:tr>
      <w:tr>
        <w:trPr>
          <w:trHeight w:val="177"/>
        </w:trPr>
        <w:tc>
          <w:tcPr>
            <w:tcW w:w="19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Plan Category</w:t>
            </w:r>
          </w:p>
        </w:tc>
        <w:tc>
          <w:tcPr>
            <w:tcW w:w="2860" w:type="dxa"/>
            <w:vAlign w:val="bottom"/>
            <w:tcBorders>
              <w:bottom w:val="single" w:sz="8" w:color="auto"/>
            </w:tcBorders>
            <w:shd w:val="clear" w:color="auto" w:fill="E5E5E5"/>
          </w:tcPr>
          <w:p>
            <w:pPr>
              <w:jc w:val="center"/>
              <w:ind w:right="33"/>
              <w:spacing w:after="0"/>
              <w:rPr>
                <w:sz w:val="20"/>
                <w:szCs w:val="20"/>
                <w:color w:val="auto"/>
              </w:rPr>
            </w:pPr>
            <w:r>
              <w:rPr>
                <w:rFonts w:ascii="Arial" w:cs="Arial" w:eastAsia="Arial" w:hAnsi="Arial"/>
                <w:sz w:val="13"/>
                <w:szCs w:val="13"/>
                <w:b w:val="1"/>
                <w:bCs w:val="1"/>
                <w:color w:val="auto"/>
              </w:rPr>
              <w:t>Warrants and Rights</w:t>
            </w:r>
          </w:p>
        </w:tc>
        <w:tc>
          <w:tcPr>
            <w:tcW w:w="660" w:type="dxa"/>
            <w:vAlign w:val="bottom"/>
            <w:tcBorders>
              <w:bottom w:val="single" w:sz="8" w:color="auto"/>
            </w:tcBorders>
            <w:shd w:val="clear" w:color="auto" w:fill="E5E5E5"/>
          </w:tcPr>
          <w:p>
            <w:pPr>
              <w:spacing w:after="0"/>
              <w:rPr>
                <w:sz w:val="15"/>
                <w:szCs w:val="15"/>
                <w:color w:val="auto"/>
              </w:rPr>
            </w:pPr>
          </w:p>
        </w:tc>
        <w:tc>
          <w:tcPr>
            <w:tcW w:w="2300" w:type="dxa"/>
            <w:vAlign w:val="bottom"/>
            <w:tcBorders>
              <w:bottom w:val="single" w:sz="8" w:color="auto"/>
            </w:tcBorders>
            <w:shd w:val="clear" w:color="auto" w:fill="E5E5E5"/>
          </w:tcPr>
          <w:p>
            <w:pPr>
              <w:jc w:val="right"/>
              <w:ind w:right="833"/>
              <w:spacing w:after="0"/>
              <w:rPr>
                <w:sz w:val="20"/>
                <w:szCs w:val="20"/>
                <w:color w:val="auto"/>
              </w:rPr>
            </w:pPr>
            <w:r>
              <w:rPr>
                <w:rFonts w:ascii="Arial" w:cs="Arial" w:eastAsia="Arial" w:hAnsi="Arial"/>
                <w:sz w:val="13"/>
                <w:szCs w:val="13"/>
                <w:b w:val="1"/>
                <w:bCs w:val="1"/>
                <w:color w:val="auto"/>
              </w:rPr>
              <w:t>Warrants and Rights</w:t>
            </w:r>
          </w:p>
        </w:tc>
        <w:tc>
          <w:tcPr>
            <w:tcW w:w="3300" w:type="dxa"/>
            <w:vAlign w:val="bottom"/>
            <w:tcBorders>
              <w:bottom w:val="single" w:sz="8" w:color="auto"/>
            </w:tcBorders>
            <w:shd w:val="clear" w:color="auto" w:fill="E5E5E5"/>
          </w:tcPr>
          <w:p>
            <w:pPr>
              <w:jc w:val="center"/>
              <w:ind w:right="53"/>
              <w:spacing w:after="0"/>
              <w:rPr>
                <w:sz w:val="20"/>
                <w:szCs w:val="20"/>
                <w:color w:val="auto"/>
              </w:rPr>
            </w:pPr>
            <w:r>
              <w:rPr>
                <w:rFonts w:ascii="Arial" w:cs="Arial" w:eastAsia="Arial" w:hAnsi="Arial"/>
                <w:sz w:val="13"/>
                <w:szCs w:val="13"/>
                <w:b w:val="1"/>
                <w:bCs w:val="1"/>
                <w:color w:val="auto"/>
              </w:rPr>
              <w:t>first column)</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29"/>
        </w:trPr>
        <w:tc>
          <w:tcPr>
            <w:tcW w:w="1900" w:type="dxa"/>
            <w:vAlign w:val="bottom"/>
          </w:tcPr>
          <w:p>
            <w:pPr>
              <w:ind w:left="60"/>
              <w:spacing w:after="0" w:line="129" w:lineRule="exact"/>
              <w:rPr>
                <w:sz w:val="20"/>
                <w:szCs w:val="20"/>
                <w:color w:val="auto"/>
              </w:rPr>
            </w:pPr>
            <w:r>
              <w:rPr>
                <w:rFonts w:ascii="Arial" w:cs="Arial" w:eastAsia="Arial" w:hAnsi="Arial"/>
                <w:sz w:val="13"/>
                <w:szCs w:val="13"/>
                <w:color w:val="auto"/>
              </w:rPr>
              <w:t>Equity compensation plans</w:t>
            </w:r>
          </w:p>
        </w:tc>
        <w:tc>
          <w:tcPr>
            <w:tcW w:w="2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60"/>
              <w:spacing w:after="0"/>
              <w:rPr>
                <w:sz w:val="20"/>
                <w:szCs w:val="20"/>
                <w:color w:val="auto"/>
              </w:rPr>
            </w:pPr>
            <w:r>
              <w:rPr>
                <w:rFonts w:ascii="Arial" w:cs="Arial" w:eastAsia="Arial" w:hAnsi="Arial"/>
                <w:sz w:val="13"/>
                <w:szCs w:val="13"/>
                <w:color w:val="auto"/>
              </w:rPr>
              <w:t>approved by security</w:t>
            </w:r>
          </w:p>
        </w:tc>
        <w:tc>
          <w:tcPr>
            <w:tcW w:w="2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00" w:type="dxa"/>
            <w:vAlign w:val="bottom"/>
          </w:tcPr>
          <w:p>
            <w:pPr>
              <w:ind w:left="60"/>
              <w:spacing w:after="0"/>
              <w:rPr>
                <w:sz w:val="20"/>
                <w:szCs w:val="20"/>
                <w:color w:val="auto"/>
              </w:rPr>
            </w:pPr>
            <w:r>
              <w:rPr>
                <w:rFonts w:ascii="Arial" w:cs="Arial" w:eastAsia="Arial" w:hAnsi="Arial"/>
                <w:sz w:val="13"/>
                <w:szCs w:val="13"/>
                <w:color w:val="auto"/>
              </w:rPr>
              <w:t>holders</w:t>
            </w:r>
            <w:r>
              <w:rPr>
                <w:rFonts w:ascii="Arial" w:cs="Arial" w:eastAsia="Arial" w:hAnsi="Arial"/>
                <w:sz w:val="11"/>
                <w:szCs w:val="11"/>
                <w:color w:val="auto"/>
              </w:rPr>
              <w:t>(2)</w:t>
            </w:r>
          </w:p>
        </w:tc>
        <w:tc>
          <w:tcPr>
            <w:tcW w:w="2860" w:type="dxa"/>
            <w:vAlign w:val="bottom"/>
          </w:tcPr>
          <w:p>
            <w:pPr>
              <w:jc w:val="right"/>
              <w:ind w:right="413"/>
              <w:spacing w:after="0"/>
              <w:rPr>
                <w:sz w:val="20"/>
                <w:szCs w:val="20"/>
                <w:color w:val="auto"/>
              </w:rPr>
            </w:pPr>
            <w:r>
              <w:rPr>
                <w:rFonts w:ascii="Arial" w:cs="Arial" w:eastAsia="Arial" w:hAnsi="Arial"/>
                <w:sz w:val="13"/>
                <w:szCs w:val="13"/>
                <w:color w:val="auto"/>
              </w:rPr>
              <w:t>12,251,944</w:t>
            </w:r>
            <w:r>
              <w:rPr>
                <w:rFonts w:ascii="Arial" w:cs="Arial" w:eastAsia="Arial" w:hAnsi="Arial"/>
                <w:sz w:val="11"/>
                <w:szCs w:val="11"/>
                <w:color w:val="auto"/>
              </w:rPr>
              <w:t>(3)</w:t>
            </w:r>
          </w:p>
        </w:tc>
        <w:tc>
          <w:tcPr>
            <w:tcW w:w="660" w:type="dxa"/>
            <w:vAlign w:val="bottom"/>
          </w:tcPr>
          <w:p>
            <w:pPr>
              <w:ind w:left="480"/>
              <w:spacing w:after="0"/>
              <w:rPr>
                <w:sz w:val="20"/>
                <w:szCs w:val="20"/>
                <w:color w:val="auto"/>
              </w:rPr>
            </w:pPr>
            <w:r>
              <w:rPr>
                <w:rFonts w:ascii="Arial" w:cs="Arial" w:eastAsia="Arial" w:hAnsi="Arial"/>
                <w:sz w:val="13"/>
                <w:szCs w:val="13"/>
                <w:color w:val="auto"/>
              </w:rPr>
              <w:t>$</w:t>
            </w:r>
          </w:p>
        </w:tc>
        <w:tc>
          <w:tcPr>
            <w:tcW w:w="2300" w:type="dxa"/>
            <w:vAlign w:val="bottom"/>
          </w:tcPr>
          <w:p>
            <w:pPr>
              <w:jc w:val="right"/>
              <w:ind w:right="393"/>
              <w:spacing w:after="0"/>
              <w:rPr>
                <w:sz w:val="20"/>
                <w:szCs w:val="20"/>
                <w:color w:val="auto"/>
              </w:rPr>
            </w:pPr>
            <w:r>
              <w:rPr>
                <w:rFonts w:ascii="Arial" w:cs="Arial" w:eastAsia="Arial" w:hAnsi="Arial"/>
                <w:sz w:val="13"/>
                <w:szCs w:val="13"/>
                <w:color w:val="auto"/>
              </w:rPr>
              <w:t>11.10</w:t>
            </w:r>
            <w:r>
              <w:rPr>
                <w:rFonts w:ascii="Arial" w:cs="Arial" w:eastAsia="Arial" w:hAnsi="Arial"/>
                <w:sz w:val="11"/>
                <w:szCs w:val="11"/>
                <w:color w:val="auto"/>
              </w:rPr>
              <w:t>(4)</w:t>
            </w:r>
          </w:p>
        </w:tc>
        <w:tc>
          <w:tcPr>
            <w:tcW w:w="3300" w:type="dxa"/>
            <w:vAlign w:val="bottom"/>
          </w:tcPr>
          <w:p>
            <w:pPr>
              <w:jc w:val="right"/>
              <w:ind w:right="393"/>
              <w:spacing w:after="0"/>
              <w:rPr>
                <w:sz w:val="20"/>
                <w:szCs w:val="20"/>
                <w:color w:val="auto"/>
              </w:rPr>
            </w:pPr>
            <w:r>
              <w:rPr>
                <w:rFonts w:ascii="Arial" w:cs="Arial" w:eastAsia="Arial" w:hAnsi="Arial"/>
                <w:sz w:val="13"/>
                <w:szCs w:val="13"/>
                <w:color w:val="auto"/>
              </w:rPr>
              <w:t>4,530,289</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36"/>
        </w:trPr>
        <w:tc>
          <w:tcPr>
            <w:tcW w:w="1900" w:type="dxa"/>
            <w:vAlign w:val="bottom"/>
            <w:shd w:val="clear" w:color="auto" w:fill="E5E5E5"/>
          </w:tcPr>
          <w:p>
            <w:pPr>
              <w:ind w:left="60"/>
              <w:spacing w:after="0" w:line="136" w:lineRule="exact"/>
              <w:rPr>
                <w:sz w:val="20"/>
                <w:szCs w:val="20"/>
                <w:color w:val="auto"/>
              </w:rPr>
            </w:pPr>
            <w:r>
              <w:rPr>
                <w:rFonts w:ascii="Arial" w:cs="Arial" w:eastAsia="Arial" w:hAnsi="Arial"/>
                <w:sz w:val="13"/>
                <w:szCs w:val="13"/>
                <w:color w:val="auto"/>
              </w:rPr>
              <w:t>Equity compensation plans</w:t>
            </w:r>
          </w:p>
        </w:tc>
        <w:tc>
          <w:tcPr>
            <w:tcW w:w="286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2300" w:type="dxa"/>
            <w:vAlign w:val="bottom"/>
            <w:shd w:val="clear" w:color="auto" w:fill="E5E5E5"/>
          </w:tcPr>
          <w:p>
            <w:pPr>
              <w:spacing w:after="0"/>
              <w:rPr>
                <w:sz w:val="11"/>
                <w:szCs w:val="11"/>
                <w:color w:val="auto"/>
              </w:rPr>
            </w:pPr>
          </w:p>
        </w:tc>
        <w:tc>
          <w:tcPr>
            <w:tcW w:w="33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E5E5E5"/>
          </w:tcPr>
          <w:p>
            <w:pPr>
              <w:ind w:left="60"/>
              <w:spacing w:after="0"/>
              <w:rPr>
                <w:sz w:val="20"/>
                <w:szCs w:val="20"/>
                <w:color w:val="auto"/>
              </w:rPr>
            </w:pPr>
            <w:r>
              <w:rPr>
                <w:rFonts w:ascii="Arial" w:cs="Arial" w:eastAsia="Arial" w:hAnsi="Arial"/>
                <w:sz w:val="13"/>
                <w:szCs w:val="13"/>
                <w:color w:val="auto"/>
              </w:rPr>
              <w:t>not approved by security</w:t>
            </w:r>
          </w:p>
        </w:tc>
        <w:tc>
          <w:tcPr>
            <w:tcW w:w="286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2300" w:type="dxa"/>
            <w:vAlign w:val="bottom"/>
            <w:shd w:val="clear" w:color="auto" w:fill="E5E5E5"/>
          </w:tcPr>
          <w:p>
            <w:pPr>
              <w:spacing w:after="0"/>
              <w:rPr>
                <w:sz w:val="12"/>
                <w:szCs w:val="12"/>
                <w:color w:val="auto"/>
              </w:rPr>
            </w:pPr>
          </w:p>
        </w:tc>
        <w:tc>
          <w:tcPr>
            <w:tcW w:w="33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00" w:type="dxa"/>
            <w:vAlign w:val="bottom"/>
            <w:shd w:val="clear" w:color="auto" w:fill="E5E5E5"/>
          </w:tcPr>
          <w:p>
            <w:pPr>
              <w:ind w:left="60"/>
              <w:spacing w:after="0"/>
              <w:rPr>
                <w:sz w:val="20"/>
                <w:szCs w:val="20"/>
                <w:color w:val="auto"/>
              </w:rPr>
            </w:pPr>
            <w:r>
              <w:rPr>
                <w:rFonts w:ascii="Arial" w:cs="Arial" w:eastAsia="Arial" w:hAnsi="Arial"/>
                <w:sz w:val="13"/>
                <w:szCs w:val="13"/>
                <w:color w:val="auto"/>
              </w:rPr>
              <w:t>holders</w:t>
            </w:r>
          </w:p>
        </w:tc>
        <w:tc>
          <w:tcPr>
            <w:tcW w:w="2860" w:type="dxa"/>
            <w:vAlign w:val="bottom"/>
            <w:shd w:val="clear" w:color="auto" w:fill="E5E5E5"/>
          </w:tcPr>
          <w:p>
            <w:pPr>
              <w:jc w:val="right"/>
              <w:ind w:right="553"/>
              <w:spacing w:after="0"/>
              <w:rPr>
                <w:sz w:val="20"/>
                <w:szCs w:val="20"/>
                <w:color w:val="auto"/>
              </w:rPr>
            </w:pPr>
            <w:r>
              <w:rPr>
                <w:rFonts w:ascii="Arial" w:cs="Arial" w:eastAsia="Arial" w:hAnsi="Arial"/>
                <w:sz w:val="13"/>
                <w:szCs w:val="13"/>
                <w:color w:val="auto"/>
              </w:rPr>
              <w:t>—</w:t>
            </w:r>
          </w:p>
        </w:tc>
        <w:tc>
          <w:tcPr>
            <w:tcW w:w="660" w:type="dxa"/>
            <w:vAlign w:val="bottom"/>
            <w:shd w:val="clear" w:color="auto" w:fill="E5E5E5"/>
          </w:tcPr>
          <w:p>
            <w:pPr>
              <w:spacing w:after="0"/>
              <w:rPr>
                <w:sz w:val="14"/>
                <w:szCs w:val="14"/>
                <w:color w:val="auto"/>
              </w:rPr>
            </w:pPr>
          </w:p>
        </w:tc>
        <w:tc>
          <w:tcPr>
            <w:tcW w:w="2300" w:type="dxa"/>
            <w:vAlign w:val="bottom"/>
            <w:shd w:val="clear" w:color="auto" w:fill="E5E5E5"/>
          </w:tcPr>
          <w:p>
            <w:pPr>
              <w:jc w:val="right"/>
              <w:ind w:right="533"/>
              <w:spacing w:after="0"/>
              <w:rPr>
                <w:sz w:val="20"/>
                <w:szCs w:val="20"/>
                <w:color w:val="auto"/>
              </w:rPr>
            </w:pPr>
            <w:r>
              <w:rPr>
                <w:rFonts w:ascii="Arial" w:cs="Arial" w:eastAsia="Arial" w:hAnsi="Arial"/>
                <w:sz w:val="13"/>
                <w:szCs w:val="13"/>
                <w:color w:val="auto"/>
              </w:rPr>
              <w:t>—</w:t>
            </w:r>
          </w:p>
        </w:tc>
        <w:tc>
          <w:tcPr>
            <w:tcW w:w="3300" w:type="dxa"/>
            <w:vAlign w:val="bottom"/>
            <w:shd w:val="clear" w:color="auto" w:fill="E5E5E5"/>
          </w:tcPr>
          <w:p>
            <w:pPr>
              <w:jc w:val="right"/>
              <w:ind w:right="5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286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color w:val="auto"/>
              </w:rPr>
              <w:t>12,251,944</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11.10</w:t>
            </w:r>
          </w:p>
        </w:tc>
        <w:tc>
          <w:tcPr>
            <w:tcW w:w="33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color w:val="auto"/>
              </w:rPr>
              <w:t>4,530,289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40" w:right="40" w:hanging="324"/>
        <w:spacing w:after="0" w:line="242"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Pursuant to the terms of the 2015 Incentive Award Plan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Pursuant to the terms of the 2015 Employee Stock Purchase Plan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w:t>
      </w:r>
    </w:p>
    <w:p>
      <w:pPr>
        <w:ind w:left="440"/>
        <w:spacing w:after="0"/>
        <w:rPr>
          <w:rFonts w:ascii="Arial" w:cs="Arial" w:eastAsia="Arial" w:hAnsi="Arial"/>
          <w:sz w:val="13"/>
          <w:szCs w:val="13"/>
          <w:color w:val="auto"/>
        </w:rPr>
      </w:pPr>
      <w:r>
        <w:rPr>
          <w:rFonts w:ascii="Arial" w:cs="Arial" w:eastAsia="Arial" w:hAnsi="Arial"/>
          <w:sz w:val="13"/>
          <w:szCs w:val="13"/>
          <w:color w:val="auto"/>
        </w:rPr>
        <w:t>(c) such smaller number of shares as is determined by our Board.</w:t>
      </w:r>
    </w:p>
    <w:p>
      <w:pPr>
        <w:spacing w:after="0" w:line="54" w:lineRule="exact"/>
        <w:rPr>
          <w:rFonts w:ascii="Arial" w:cs="Arial" w:eastAsia="Arial" w:hAnsi="Arial"/>
          <w:sz w:val="13"/>
          <w:szCs w:val="13"/>
          <w:color w:val="auto"/>
        </w:rPr>
      </w:pPr>
    </w:p>
    <w:p>
      <w:pPr>
        <w:ind w:left="440" w:hanging="324"/>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Consists of the 2012 Stock Incentive Plan (the “2012 Plan”), the 2015 Plan, and the 2015 ESPP.</w:t>
      </w:r>
    </w:p>
    <w:p>
      <w:pPr>
        <w:spacing w:after="0" w:line="66" w:lineRule="exact"/>
        <w:rPr>
          <w:rFonts w:ascii="Arial" w:cs="Arial" w:eastAsia="Arial" w:hAnsi="Arial"/>
          <w:sz w:val="13"/>
          <w:szCs w:val="13"/>
          <w:color w:val="auto"/>
        </w:rPr>
      </w:pPr>
    </w:p>
    <w:p>
      <w:pPr>
        <w:ind w:left="440" w:right="40" w:hanging="324"/>
        <w:spacing w:after="0" w:line="281"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521,084 outstanding options to purchase stock under the 2012 Plan, 10,996,105 outstanding options to purchase stock under the 2015 Plan, and 734,755 restricted stock units under the 2015 Plan.</w:t>
      </w:r>
    </w:p>
    <w:p>
      <w:pPr>
        <w:spacing w:after="0" w:line="14" w:lineRule="exact"/>
        <w:rPr>
          <w:rFonts w:ascii="Arial" w:cs="Arial" w:eastAsia="Arial" w:hAnsi="Arial"/>
          <w:sz w:val="13"/>
          <w:szCs w:val="13"/>
          <w:color w:val="auto"/>
        </w:rPr>
      </w:pPr>
    </w:p>
    <w:p>
      <w:pPr>
        <w:ind w:left="440" w:right="300" w:hanging="324"/>
        <w:spacing w:after="0" w:line="281"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 of December 31, 2021, the weighted-average exercise price of outstanding options under the 2012 Plan was $5.45 and the weighted-average exercise price of outstanding options under the 2015 Plan was $11.37. Restricted stock units do not have an exercise price and were not included in calculating weighted average exercise prices.</w:t>
      </w:r>
    </w:p>
    <w:p>
      <w:pPr>
        <w:spacing w:after="0" w:line="14" w:lineRule="exact"/>
        <w:rPr>
          <w:rFonts w:ascii="Arial" w:cs="Arial" w:eastAsia="Arial" w:hAnsi="Arial"/>
          <w:sz w:val="13"/>
          <w:szCs w:val="13"/>
          <w:color w:val="auto"/>
        </w:rPr>
      </w:pPr>
    </w:p>
    <w:p>
      <w:pPr>
        <w:ind w:left="440" w:right="140" w:hanging="324"/>
        <w:spacing w:after="0" w:line="259"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 of December 31, 2021, a total of 4,530,289 shares of Common Stock were available for issuance, consisting of 2,391,764 shares available for future issuance under the 2015 ESPP (of which 100,417 shares were issued with respect to the purchase period in effect as of December 31, 2021, which ended March 7, 2022) and 2,138,525 shares of Common Stock available for future issuance under the 2015 Plan.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25, 2022,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92,230,428 shares of Common Stock outstanding as of April 25, 2022. In computing the number of shares beneficially owned by a person and the percentage ownership of that person, shares of Common Stock subject to options, or other rights held by such person that are currently exercisable or will become exercisable within 60 days of April 25, 2022 are considered outstanding, although these shares are not considered outstanding for purposes of computing the percentage ownership of any other person.</w:t>
      </w:r>
    </w:p>
    <w:p>
      <w:pPr>
        <w:spacing w:after="0" w:line="75"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4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3"/>
                <w:szCs w:val="13"/>
                <w:b w:val="1"/>
                <w:bCs w:val="1"/>
                <w:color w:val="auto"/>
              </w:rPr>
              <w:t>NAME OF BENEFICIAL OWNER</w:t>
            </w:r>
          </w:p>
        </w:tc>
        <w:tc>
          <w:tcPr>
            <w:tcW w:w="15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3"/>
                <w:szCs w:val="13"/>
                <w:b w:val="1"/>
                <w:bCs w:val="1"/>
                <w:color w:val="auto"/>
              </w:rPr>
              <w:t>NUMBER</w:t>
            </w:r>
          </w:p>
        </w:tc>
        <w:tc>
          <w:tcPr>
            <w:tcW w:w="14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3"/>
                <w:szCs w:val="13"/>
                <w:b w:val="1"/>
                <w:bCs w:val="1"/>
                <w:color w:val="auto"/>
              </w:rPr>
              <w:t>PERCENTAGE</w:t>
            </w:r>
          </w:p>
        </w:tc>
      </w:tr>
      <w:tr>
        <w:trPr>
          <w:trHeight w:val="142"/>
        </w:trPr>
        <w:tc>
          <w:tcPr>
            <w:tcW w:w="8040" w:type="dxa"/>
            <w:vAlign w:val="bottom"/>
          </w:tcPr>
          <w:p>
            <w:pPr>
              <w:ind w:left="60"/>
              <w:spacing w:after="0" w:line="142" w:lineRule="exact"/>
              <w:rPr>
                <w:sz w:val="20"/>
                <w:szCs w:val="20"/>
                <w:color w:val="auto"/>
              </w:rPr>
            </w:pPr>
            <w:r>
              <w:rPr>
                <w:rFonts w:ascii="Arial" w:cs="Arial" w:eastAsia="Arial" w:hAnsi="Arial"/>
                <w:sz w:val="13"/>
                <w:szCs w:val="13"/>
                <w:b w:val="1"/>
                <w:bCs w:val="1"/>
                <w:i w:val="1"/>
                <w:iCs w:val="1"/>
                <w:color w:val="auto"/>
              </w:rPr>
              <w:t>5% or Greater Stockholders</w:t>
            </w:r>
          </w:p>
        </w:tc>
        <w:tc>
          <w:tcPr>
            <w:tcW w:w="15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Entities affiliated with Flagship Pioneering</w:t>
            </w:r>
            <w:r>
              <w:rPr>
                <w:rFonts w:ascii="Arial" w:cs="Arial" w:eastAsia="Arial" w:hAnsi="Arial"/>
                <w:sz w:val="11"/>
                <w:szCs w:val="11"/>
                <w:color w:val="auto"/>
              </w:rPr>
              <w:t>1</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14,378,802</w:t>
            </w:r>
          </w:p>
        </w:tc>
        <w:tc>
          <w:tcPr>
            <w:tcW w:w="1440" w:type="dxa"/>
            <w:vAlign w:val="bottom"/>
            <w:shd w:val="clear" w:color="auto" w:fill="D8D8D8"/>
          </w:tcPr>
          <w:p>
            <w:pPr>
              <w:jc w:val="right"/>
              <w:ind w:right="153"/>
              <w:spacing w:after="0"/>
              <w:rPr>
                <w:sz w:val="20"/>
                <w:szCs w:val="20"/>
                <w:color w:val="auto"/>
              </w:rPr>
            </w:pPr>
            <w:r>
              <w:rPr>
                <w:rFonts w:ascii="Arial" w:cs="Arial" w:eastAsia="Arial" w:hAnsi="Arial"/>
                <w:sz w:val="13"/>
                <w:szCs w:val="13"/>
                <w:color w:val="auto"/>
              </w:rPr>
              <w:t>15.6%</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FMR LLC</w:t>
            </w:r>
            <w:r>
              <w:rPr>
                <w:rFonts w:ascii="Arial" w:cs="Arial" w:eastAsia="Arial" w:hAnsi="Arial"/>
                <w:sz w:val="11"/>
                <w:szCs w:val="11"/>
                <w:color w:val="auto"/>
              </w:rPr>
              <w:t>2</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13,777,070</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14.9%</w:t>
            </w: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Nestlé Health Science US Holdings, Inc.</w:t>
            </w:r>
            <w:r>
              <w:rPr>
                <w:rFonts w:ascii="Arial" w:cs="Arial" w:eastAsia="Arial" w:hAnsi="Arial"/>
                <w:sz w:val="11"/>
                <w:szCs w:val="11"/>
                <w:color w:val="auto"/>
              </w:rPr>
              <w:t>3</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7,892,890</w:t>
            </w:r>
          </w:p>
        </w:tc>
        <w:tc>
          <w:tcPr>
            <w:tcW w:w="1440" w:type="dxa"/>
            <w:vAlign w:val="bottom"/>
            <w:shd w:val="clear" w:color="auto" w:fill="D8D8D8"/>
          </w:tcPr>
          <w:p>
            <w:pPr>
              <w:jc w:val="right"/>
              <w:ind w:right="153"/>
              <w:spacing w:after="0"/>
              <w:rPr>
                <w:sz w:val="20"/>
                <w:szCs w:val="20"/>
                <w:color w:val="auto"/>
              </w:rPr>
            </w:pPr>
            <w:r>
              <w:rPr>
                <w:rFonts w:ascii="Arial" w:cs="Arial" w:eastAsia="Arial" w:hAnsi="Arial"/>
                <w:sz w:val="13"/>
                <w:szCs w:val="13"/>
                <w:color w:val="auto"/>
              </w:rPr>
              <w:t>8.6%</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 xml:space="preserve">Federated Hermes Global Investment Management Corp. </w:t>
            </w:r>
            <w:r>
              <w:rPr>
                <w:rFonts w:ascii="Arial" w:cs="Arial" w:eastAsia="Arial" w:hAnsi="Arial"/>
                <w:sz w:val="11"/>
                <w:szCs w:val="11"/>
                <w:color w:val="auto"/>
              </w:rPr>
              <w:t>4</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6,914,136</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7.5%</w:t>
            </w:r>
          </w:p>
        </w:tc>
      </w:tr>
      <w:tr>
        <w:trPr>
          <w:trHeight w:val="149"/>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BlackRock, Inc.</w:t>
            </w:r>
            <w:r>
              <w:rPr>
                <w:rFonts w:ascii="Arial" w:cs="Arial" w:eastAsia="Arial" w:hAnsi="Arial"/>
                <w:sz w:val="11"/>
                <w:szCs w:val="11"/>
                <w:color w:val="auto"/>
              </w:rPr>
              <w:t>5</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5,862,691</w:t>
            </w:r>
          </w:p>
        </w:tc>
        <w:tc>
          <w:tcPr>
            <w:tcW w:w="1440" w:type="dxa"/>
            <w:vAlign w:val="bottom"/>
            <w:shd w:val="clear" w:color="auto" w:fill="D8D8D8"/>
          </w:tcPr>
          <w:p>
            <w:pPr>
              <w:jc w:val="right"/>
              <w:ind w:right="153"/>
              <w:spacing w:after="0"/>
              <w:rPr>
                <w:sz w:val="20"/>
                <w:szCs w:val="20"/>
                <w:color w:val="auto"/>
              </w:rPr>
            </w:pPr>
            <w:r>
              <w:rPr>
                <w:rFonts w:ascii="Arial" w:cs="Arial" w:eastAsia="Arial" w:hAnsi="Arial"/>
                <w:sz w:val="13"/>
                <w:szCs w:val="13"/>
                <w:color w:val="auto"/>
              </w:rPr>
              <w:t>6.4%</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Janus Henderson Group plc</w:t>
            </w:r>
            <w:r>
              <w:rPr>
                <w:rFonts w:ascii="Arial" w:cs="Arial" w:eastAsia="Arial" w:hAnsi="Arial"/>
                <w:sz w:val="11"/>
                <w:szCs w:val="11"/>
                <w:color w:val="auto"/>
              </w:rPr>
              <w:t>6</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5,055,099</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5.5%</w:t>
            </w: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State Street Corporation</w:t>
            </w:r>
            <w:r>
              <w:rPr>
                <w:rFonts w:ascii="Arial" w:cs="Arial" w:eastAsia="Arial" w:hAnsi="Arial"/>
                <w:sz w:val="11"/>
                <w:szCs w:val="11"/>
                <w:color w:val="auto"/>
              </w:rPr>
              <w:t>7</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4,785,589</w:t>
            </w:r>
          </w:p>
        </w:tc>
        <w:tc>
          <w:tcPr>
            <w:tcW w:w="1440" w:type="dxa"/>
            <w:vAlign w:val="bottom"/>
            <w:shd w:val="clear" w:color="auto" w:fill="D8D8D8"/>
          </w:tcPr>
          <w:p>
            <w:pPr>
              <w:jc w:val="right"/>
              <w:ind w:right="153"/>
              <w:spacing w:after="0"/>
              <w:rPr>
                <w:sz w:val="20"/>
                <w:szCs w:val="20"/>
                <w:color w:val="auto"/>
              </w:rPr>
            </w:pPr>
            <w:r>
              <w:rPr>
                <w:rFonts w:ascii="Arial" w:cs="Arial" w:eastAsia="Arial" w:hAnsi="Arial"/>
                <w:sz w:val="13"/>
                <w:szCs w:val="13"/>
                <w:color w:val="auto"/>
              </w:rPr>
              <w:t>5.2%</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The Vanguard Group</w:t>
            </w:r>
            <w:r>
              <w:rPr>
                <w:rFonts w:ascii="Arial" w:cs="Arial" w:eastAsia="Arial" w:hAnsi="Arial"/>
                <w:sz w:val="11"/>
                <w:szCs w:val="11"/>
                <w:color w:val="auto"/>
              </w:rPr>
              <w:t>8</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4,676,265</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5.1%</w:t>
            </w: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b w:val="1"/>
                <w:bCs w:val="1"/>
                <w:i w:val="1"/>
                <w:iCs w:val="1"/>
                <w:color w:val="auto"/>
              </w:rPr>
              <w:t>Named Executive Officers and Directors</w:t>
            </w:r>
          </w:p>
        </w:tc>
        <w:tc>
          <w:tcPr>
            <w:tcW w:w="1540" w:type="dxa"/>
            <w:vAlign w:val="bottom"/>
            <w:shd w:val="clear" w:color="auto" w:fill="D8D8D8"/>
          </w:tcPr>
          <w:p>
            <w:pPr>
              <w:spacing w:after="0"/>
              <w:rPr>
                <w:sz w:val="12"/>
                <w:szCs w:val="12"/>
                <w:color w:val="auto"/>
              </w:rPr>
            </w:pPr>
          </w:p>
        </w:tc>
        <w:tc>
          <w:tcPr>
            <w:tcW w:w="1440" w:type="dxa"/>
            <w:vAlign w:val="bottom"/>
            <w:shd w:val="clear" w:color="auto" w:fill="D8D8D8"/>
          </w:tcPr>
          <w:p>
            <w:pPr>
              <w:spacing w:after="0"/>
              <w:rPr>
                <w:sz w:val="12"/>
                <w:szCs w:val="12"/>
                <w:color w:val="auto"/>
              </w:rPr>
            </w:pPr>
          </w:p>
        </w:tc>
      </w:tr>
      <w:tr>
        <w:trPr>
          <w:trHeight w:val="149"/>
        </w:trPr>
        <w:tc>
          <w:tcPr>
            <w:tcW w:w="8040" w:type="dxa"/>
            <w:vAlign w:val="bottom"/>
          </w:tcPr>
          <w:p>
            <w:pPr>
              <w:ind w:left="60"/>
              <w:spacing w:after="0"/>
              <w:rPr>
                <w:sz w:val="20"/>
                <w:szCs w:val="20"/>
                <w:color w:val="auto"/>
              </w:rPr>
            </w:pPr>
            <w:r>
              <w:rPr>
                <w:rFonts w:ascii="Arial" w:cs="Arial" w:eastAsia="Arial" w:hAnsi="Arial"/>
                <w:sz w:val="13"/>
                <w:szCs w:val="13"/>
                <w:color w:val="auto"/>
              </w:rPr>
              <w:t>Eric D. Shaff</w:t>
            </w:r>
            <w:r>
              <w:rPr>
                <w:rFonts w:ascii="Arial" w:cs="Arial" w:eastAsia="Arial" w:hAnsi="Arial"/>
                <w:sz w:val="11"/>
                <w:szCs w:val="11"/>
                <w:color w:val="auto"/>
              </w:rPr>
              <w:t>9</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1,565,108</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1.7%</w:t>
            </w: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David Arkowitz</w:t>
            </w:r>
            <w:r>
              <w:rPr>
                <w:rFonts w:ascii="Arial" w:cs="Arial" w:eastAsia="Arial" w:hAnsi="Arial"/>
                <w:sz w:val="11"/>
                <w:szCs w:val="11"/>
                <w:color w:val="auto"/>
              </w:rPr>
              <w:t>10</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74,500</w:t>
            </w:r>
          </w:p>
        </w:tc>
        <w:tc>
          <w:tcPr>
            <w:tcW w:w="14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w:t>
            </w:r>
          </w:p>
        </w:tc>
      </w:tr>
      <w:tr>
        <w:trPr>
          <w:trHeight w:val="149"/>
        </w:trPr>
        <w:tc>
          <w:tcPr>
            <w:tcW w:w="8040" w:type="dxa"/>
            <w:vAlign w:val="bottom"/>
          </w:tcPr>
          <w:p>
            <w:pPr>
              <w:ind w:left="60"/>
              <w:spacing w:after="0"/>
              <w:rPr>
                <w:sz w:val="20"/>
                <w:szCs w:val="20"/>
                <w:color w:val="auto"/>
              </w:rPr>
            </w:pPr>
            <w:r>
              <w:rPr>
                <w:rFonts w:ascii="Arial" w:cs="Arial" w:eastAsia="Arial" w:hAnsi="Arial"/>
                <w:sz w:val="13"/>
                <w:szCs w:val="13"/>
                <w:color w:val="auto"/>
              </w:rPr>
              <w:t xml:space="preserve">Matthew Henn, Ph.D. </w:t>
            </w:r>
            <w:r>
              <w:rPr>
                <w:rFonts w:ascii="Arial" w:cs="Arial" w:eastAsia="Arial" w:hAnsi="Arial"/>
                <w:sz w:val="11"/>
                <w:szCs w:val="11"/>
                <w:color w:val="auto"/>
              </w:rPr>
              <w:t>11</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357,781</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Dennis A. Ausiello, M.D.</w:t>
            </w:r>
            <w:r>
              <w:rPr>
                <w:rFonts w:ascii="Arial" w:cs="Arial" w:eastAsia="Arial" w:hAnsi="Arial"/>
                <w:sz w:val="11"/>
                <w:szCs w:val="11"/>
                <w:color w:val="auto"/>
              </w:rPr>
              <w:t>12</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188,000</w:t>
            </w:r>
          </w:p>
        </w:tc>
        <w:tc>
          <w:tcPr>
            <w:tcW w:w="14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Grégory Behar</w:t>
            </w:r>
            <w:r>
              <w:rPr>
                <w:rFonts w:ascii="Arial" w:cs="Arial" w:eastAsia="Arial" w:hAnsi="Arial"/>
                <w:sz w:val="11"/>
                <w:szCs w:val="11"/>
                <w:color w:val="auto"/>
              </w:rPr>
              <w:t>13</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98,000</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149"/>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Stephen A. Berenson</w:t>
            </w:r>
            <w:r>
              <w:rPr>
                <w:rFonts w:ascii="Arial" w:cs="Arial" w:eastAsia="Arial" w:hAnsi="Arial"/>
                <w:sz w:val="11"/>
                <w:szCs w:val="11"/>
                <w:color w:val="auto"/>
              </w:rPr>
              <w:t>14</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71,589</w:t>
            </w:r>
          </w:p>
        </w:tc>
        <w:tc>
          <w:tcPr>
            <w:tcW w:w="14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Paul R. Biondi</w:t>
            </w:r>
            <w:r>
              <w:rPr>
                <w:rFonts w:ascii="Arial" w:cs="Arial" w:eastAsia="Arial" w:hAnsi="Arial"/>
                <w:sz w:val="11"/>
                <w:szCs w:val="11"/>
                <w:color w:val="auto"/>
              </w:rPr>
              <w:t>15</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68,000</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149"/>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Willard H. Dere, M.D.</w:t>
            </w:r>
            <w:r>
              <w:rPr>
                <w:rFonts w:ascii="Arial" w:cs="Arial" w:eastAsia="Arial" w:hAnsi="Arial"/>
                <w:sz w:val="11"/>
                <w:szCs w:val="11"/>
                <w:color w:val="auto"/>
              </w:rPr>
              <w:t>16</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113,000</w:t>
            </w:r>
          </w:p>
        </w:tc>
        <w:tc>
          <w:tcPr>
            <w:tcW w:w="14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w:t>
            </w:r>
          </w:p>
        </w:tc>
      </w:tr>
      <w:tr>
        <w:trPr>
          <w:trHeight w:val="148"/>
        </w:trPr>
        <w:tc>
          <w:tcPr>
            <w:tcW w:w="8040" w:type="dxa"/>
            <w:vAlign w:val="bottom"/>
          </w:tcPr>
          <w:p>
            <w:pPr>
              <w:ind w:left="60"/>
              <w:spacing w:after="0"/>
              <w:rPr>
                <w:sz w:val="20"/>
                <w:szCs w:val="20"/>
                <w:color w:val="auto"/>
              </w:rPr>
            </w:pPr>
            <w:r>
              <w:rPr>
                <w:rFonts w:ascii="Arial" w:cs="Arial" w:eastAsia="Arial" w:hAnsi="Arial"/>
                <w:sz w:val="13"/>
                <w:szCs w:val="13"/>
                <w:color w:val="auto"/>
              </w:rPr>
              <w:t>Kurt C. Graves</w:t>
            </w:r>
            <w:r>
              <w:rPr>
                <w:rFonts w:ascii="Arial" w:cs="Arial" w:eastAsia="Arial" w:hAnsi="Arial"/>
                <w:sz w:val="11"/>
                <w:szCs w:val="11"/>
                <w:color w:val="auto"/>
              </w:rPr>
              <w:t>17</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143,000</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148"/>
        </w:trPr>
        <w:tc>
          <w:tcPr>
            <w:tcW w:w="8040" w:type="dxa"/>
            <w:vAlign w:val="bottom"/>
            <w:shd w:val="clear" w:color="auto" w:fill="D8D8D8"/>
          </w:tcPr>
          <w:p>
            <w:pPr>
              <w:ind w:left="60"/>
              <w:spacing w:after="0"/>
              <w:rPr>
                <w:sz w:val="20"/>
                <w:szCs w:val="20"/>
                <w:color w:val="auto"/>
              </w:rPr>
            </w:pPr>
            <w:r>
              <w:rPr>
                <w:rFonts w:ascii="Arial" w:cs="Arial" w:eastAsia="Arial" w:hAnsi="Arial"/>
                <w:sz w:val="13"/>
                <w:szCs w:val="13"/>
                <w:color w:val="auto"/>
              </w:rPr>
              <w:t>Richard N. Kender</w:t>
            </w:r>
            <w:r>
              <w:rPr>
                <w:rFonts w:ascii="Arial" w:cs="Arial" w:eastAsia="Arial" w:hAnsi="Arial"/>
                <w:sz w:val="11"/>
                <w:szCs w:val="11"/>
                <w:color w:val="auto"/>
              </w:rPr>
              <w:t>18</w:t>
            </w:r>
          </w:p>
        </w:tc>
        <w:tc>
          <w:tcPr>
            <w:tcW w:w="1540" w:type="dxa"/>
            <w:vAlign w:val="bottom"/>
            <w:shd w:val="clear" w:color="auto" w:fill="D8D8D8"/>
          </w:tcPr>
          <w:p>
            <w:pPr>
              <w:jc w:val="right"/>
              <w:ind w:right="113"/>
              <w:spacing w:after="0"/>
              <w:rPr>
                <w:sz w:val="20"/>
                <w:szCs w:val="20"/>
                <w:color w:val="auto"/>
              </w:rPr>
            </w:pPr>
            <w:r>
              <w:rPr>
                <w:rFonts w:ascii="Arial" w:cs="Arial" w:eastAsia="Arial" w:hAnsi="Arial"/>
                <w:sz w:val="13"/>
                <w:szCs w:val="13"/>
                <w:color w:val="auto"/>
              </w:rPr>
              <w:t>203,000</w:t>
            </w:r>
          </w:p>
        </w:tc>
        <w:tc>
          <w:tcPr>
            <w:tcW w:w="1440" w:type="dxa"/>
            <w:vAlign w:val="bottom"/>
            <w:shd w:val="clear" w:color="auto" w:fill="D8D8D8"/>
          </w:tcPr>
          <w:p>
            <w:pPr>
              <w:jc w:val="right"/>
              <w:ind w:right="273"/>
              <w:spacing w:after="0"/>
              <w:rPr>
                <w:sz w:val="20"/>
                <w:szCs w:val="20"/>
                <w:color w:val="auto"/>
              </w:rPr>
            </w:pPr>
            <w:r>
              <w:rPr>
                <w:rFonts w:ascii="Arial" w:cs="Arial" w:eastAsia="Arial" w:hAnsi="Arial"/>
                <w:sz w:val="13"/>
                <w:szCs w:val="13"/>
                <w:color w:val="auto"/>
              </w:rPr>
              <w:t>*</w:t>
            </w:r>
          </w:p>
        </w:tc>
      </w:tr>
      <w:tr>
        <w:trPr>
          <w:trHeight w:val="149"/>
        </w:trPr>
        <w:tc>
          <w:tcPr>
            <w:tcW w:w="8040" w:type="dxa"/>
            <w:vAlign w:val="bottom"/>
          </w:tcPr>
          <w:p>
            <w:pPr>
              <w:ind w:left="60"/>
              <w:spacing w:after="0"/>
              <w:rPr>
                <w:sz w:val="20"/>
                <w:szCs w:val="20"/>
                <w:color w:val="auto"/>
              </w:rPr>
            </w:pPr>
            <w:r>
              <w:rPr>
                <w:rFonts w:ascii="Arial" w:cs="Arial" w:eastAsia="Arial" w:hAnsi="Arial"/>
                <w:sz w:val="13"/>
                <w:szCs w:val="13"/>
                <w:color w:val="auto"/>
              </w:rPr>
              <w:t>Meryl S. Zausner</w:t>
            </w:r>
            <w:r>
              <w:rPr>
                <w:rFonts w:ascii="Arial" w:cs="Arial" w:eastAsia="Arial" w:hAnsi="Arial"/>
                <w:sz w:val="11"/>
                <w:szCs w:val="11"/>
                <w:color w:val="auto"/>
              </w:rPr>
              <w:t>19</w:t>
            </w:r>
          </w:p>
        </w:tc>
        <w:tc>
          <w:tcPr>
            <w:tcW w:w="1540" w:type="dxa"/>
            <w:vAlign w:val="bottom"/>
          </w:tcPr>
          <w:p>
            <w:pPr>
              <w:jc w:val="right"/>
              <w:ind w:right="113"/>
              <w:spacing w:after="0"/>
              <w:rPr>
                <w:sz w:val="20"/>
                <w:szCs w:val="20"/>
                <w:color w:val="auto"/>
              </w:rPr>
            </w:pPr>
            <w:r>
              <w:rPr>
                <w:rFonts w:ascii="Arial" w:cs="Arial" w:eastAsia="Arial" w:hAnsi="Arial"/>
                <w:sz w:val="13"/>
                <w:szCs w:val="13"/>
                <w:color w:val="auto"/>
              </w:rPr>
              <w:t>90,500</w:t>
            </w:r>
          </w:p>
        </w:tc>
        <w:tc>
          <w:tcPr>
            <w:tcW w:w="1440" w:type="dxa"/>
            <w:vAlign w:val="bottom"/>
          </w:tcPr>
          <w:p>
            <w:pPr>
              <w:jc w:val="right"/>
              <w:ind w:right="273"/>
              <w:spacing w:after="0"/>
              <w:rPr>
                <w:sz w:val="20"/>
                <w:szCs w:val="20"/>
                <w:color w:val="auto"/>
              </w:rPr>
            </w:pPr>
            <w:r>
              <w:rPr>
                <w:rFonts w:ascii="Arial" w:cs="Arial" w:eastAsia="Arial" w:hAnsi="Arial"/>
                <w:sz w:val="13"/>
                <w:szCs w:val="13"/>
                <w:color w:val="auto"/>
              </w:rPr>
              <w:t>*</w:t>
            </w:r>
          </w:p>
        </w:tc>
      </w:tr>
      <w:tr>
        <w:trPr>
          <w:trHeight w:val="148"/>
        </w:trPr>
        <w:tc>
          <w:tcPr>
            <w:tcW w:w="804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3"/>
                <w:szCs w:val="13"/>
                <w:color w:val="auto"/>
              </w:rPr>
              <w:t>All executive officers and directors as a group (16 persons)</w:t>
            </w:r>
            <w:r>
              <w:rPr>
                <w:rFonts w:ascii="Arial" w:cs="Arial" w:eastAsia="Arial" w:hAnsi="Arial"/>
                <w:sz w:val="11"/>
                <w:szCs w:val="11"/>
                <w:color w:val="auto"/>
              </w:rPr>
              <w:t>20</w:t>
            </w:r>
          </w:p>
        </w:tc>
        <w:tc>
          <w:tcPr>
            <w:tcW w:w="1540" w:type="dxa"/>
            <w:vAlign w:val="bottom"/>
            <w:tcBorders>
              <w:bottom w:val="single" w:sz="8" w:color="auto"/>
            </w:tcBorders>
            <w:shd w:val="clear" w:color="auto" w:fill="D8D8D8"/>
          </w:tcPr>
          <w:p>
            <w:pPr>
              <w:jc w:val="right"/>
              <w:ind w:right="113"/>
              <w:spacing w:after="0"/>
              <w:rPr>
                <w:sz w:val="20"/>
                <w:szCs w:val="20"/>
                <w:color w:val="auto"/>
              </w:rPr>
            </w:pPr>
            <w:r>
              <w:rPr>
                <w:rFonts w:ascii="Arial" w:cs="Arial" w:eastAsia="Arial" w:hAnsi="Arial"/>
                <w:sz w:val="13"/>
                <w:szCs w:val="13"/>
                <w:color w:val="auto"/>
              </w:rPr>
              <w:t>4,081,807</w:t>
            </w:r>
          </w:p>
        </w:tc>
        <w:tc>
          <w:tcPr>
            <w:tcW w:w="1440" w:type="dxa"/>
            <w:vAlign w:val="bottom"/>
            <w:tcBorders>
              <w:bottom w:val="single" w:sz="8" w:color="auto"/>
            </w:tcBorders>
            <w:shd w:val="clear" w:color="auto" w:fill="D8D8D8"/>
          </w:tcPr>
          <w:p>
            <w:pPr>
              <w:jc w:val="right"/>
              <w:ind w:right="153"/>
              <w:spacing w:after="0"/>
              <w:rPr>
                <w:sz w:val="20"/>
                <w:szCs w:val="20"/>
                <w:color w:val="auto"/>
              </w:rPr>
            </w:pPr>
            <w:r>
              <w:rPr>
                <w:rFonts w:ascii="Arial" w:cs="Arial" w:eastAsia="Arial" w:hAnsi="Arial"/>
                <w:sz w:val="13"/>
                <w:szCs w:val="13"/>
                <w:color w:val="auto"/>
              </w:rPr>
              <w:t>4.2%</w:t>
            </w:r>
          </w:p>
        </w:tc>
      </w:tr>
    </w:tbl>
    <w:p>
      <w:pPr>
        <w:spacing w:after="0" w:line="109"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67" w:lineRule="exact"/>
        <w:rPr>
          <w:sz w:val="20"/>
          <w:szCs w:val="20"/>
          <w:color w:val="auto"/>
        </w:rPr>
      </w:pPr>
    </w:p>
    <w:p>
      <w:pPr>
        <w:ind w:left="440" w:right="20" w:hanging="324"/>
        <w:spacing w:after="0" w:line="249" w:lineRule="auto"/>
        <w:tabs>
          <w:tab w:leader="none" w:pos="440" w:val="left"/>
        </w:tabs>
        <w:numPr>
          <w:ilvl w:val="0"/>
          <w:numId w:val="35"/>
        </w:numPr>
        <w:rPr>
          <w:rFonts w:ascii="Arial" w:cs="Arial" w:eastAsia="Arial" w:hAnsi="Arial"/>
          <w:sz w:val="11"/>
          <w:szCs w:val="11"/>
          <w:color w:val="auto"/>
        </w:rPr>
      </w:pPr>
      <w:r>
        <w:rPr>
          <w:rFonts w:ascii="Arial" w:cs="Arial" w:eastAsia="Arial" w:hAnsi="Arial"/>
          <w:sz w:val="13"/>
          <w:szCs w:val="13"/>
          <w:color w:val="auto"/>
        </w:rPr>
        <w:t>Consists of (i) 2,734,994 shares of common stock held by Flagship VentureLabs IV LLC (“VentureLabs IV”); (ii) 4,434,600 shares of common stock held by Flagship Ventures Fund IV, L.P. (“Flagship Fund IV”); (iii) 1,283,282 shares of common stock held by Flagship Ventures Fund IV-Rx, L.P. (“Flagship Fund IV-Rx”); (iv) 2,962,963 shares of common stock held by Flagship Pioneering Fund VI, L.P. (“Flagship Pioneering VI”); and (v) 2,962,963 shares of common stock held by Nutritional Health LTP Fund, L.P. (“Nutritional LTP” and together with VentureLabs IV, Flagship Fund IV, Flagship Fund IV-Rx and Flagship Pioneering VI the “Flagship Funds”). Flagship Fund IV is a member of VentureLabs IV and also serves as its manager. The general partner of Flagship Fund IV and</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440" w:right="100"/>
        <w:spacing w:after="0" w:line="249" w:lineRule="auto"/>
        <w:rPr>
          <w:sz w:val="20"/>
          <w:szCs w:val="20"/>
          <w:color w:val="auto"/>
        </w:rPr>
      </w:pPr>
      <w:r>
        <w:rPr>
          <w:rFonts w:ascii="Arial" w:cs="Arial" w:eastAsia="Arial" w:hAnsi="Arial"/>
          <w:sz w:val="13"/>
          <w:szCs w:val="13"/>
          <w:color w:val="auto"/>
        </w:rPr>
        <w:t>Flagship Fund IV-Rx is Flagship Ventures Fund IV General Partner LLC (“Flagship Fund IV GP”). The general partner of Flagship Pioneering VI is Flagship Pioneering Fund VI General Partner LLC (“Flagship Fund VI GP”). The manager of Flagship Fund VI GP is Flagship Pioneering, Inc. (“Flagship Pioneering”). The general partner of Nutritional LTP is Nutritional Health LTP Fund General Partner LLC (“Nutritional LTP GP”). Noubar B. Afeyan, Ph.D. is the sole member and manager of Nutritional LTP GP. Dr. Afeyan is the sole manager of Flagship Fund IV GP and sole director and shareholder of Flagship Pioneering and may be deemed to possess voting, dispositive and investment control over all shares held by the Flagship Funds. The mailing address of the Flagship Funds is 55 Cambridge Parkway, Suite 800E, Cambridge Massachusetts 02142.</w:t>
      </w:r>
    </w:p>
    <w:p>
      <w:pPr>
        <w:spacing w:after="0" w:line="34" w:lineRule="exact"/>
        <w:rPr>
          <w:sz w:val="20"/>
          <w:szCs w:val="20"/>
          <w:color w:val="auto"/>
        </w:rPr>
      </w:pPr>
    </w:p>
    <w:p>
      <w:pPr>
        <w:ind w:left="440" w:hanging="324"/>
        <w:spacing w:after="0" w:line="242" w:lineRule="auto"/>
        <w:tabs>
          <w:tab w:leader="none" w:pos="440" w:val="left"/>
        </w:tabs>
        <w:numPr>
          <w:ilvl w:val="0"/>
          <w:numId w:val="36"/>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9, 2022 by FMR LLC, Abigail P. Johnson and Fidelity Growth Company Fund.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According to the cover page of the Schedule 13G/A, (i) FMR LLC has sole voting power over 5,493,543 shares of Common Stock and sole dispositive power over 13,777,070 shares of Common Stock, (ii) Abigail P. Johnson has sole dispositive power over 13,777,070 shares of Common Stock, and (iii) Fidelity Growth Company Fund has sole voting power over 4,793,931 shares of Common Stock. The address for FMR LLC is 245 Summer Street, Boston, Massachusetts 02210.</w:t>
      </w:r>
    </w:p>
    <w:p>
      <w:pPr>
        <w:spacing w:after="0" w:line="43" w:lineRule="exact"/>
        <w:rPr>
          <w:sz w:val="20"/>
          <w:szCs w:val="20"/>
          <w:color w:val="auto"/>
        </w:rPr>
      </w:pPr>
    </w:p>
    <w:p>
      <w:pPr>
        <w:ind w:left="440" w:right="60" w:hanging="324"/>
        <w:spacing w:after="0" w:line="246" w:lineRule="auto"/>
        <w:tabs>
          <w:tab w:leader="none" w:pos="440" w:val="left"/>
        </w:tabs>
        <w:numPr>
          <w:ilvl w:val="0"/>
          <w:numId w:val="37"/>
        </w:numPr>
        <w:rPr>
          <w:rFonts w:ascii="Arial" w:cs="Arial" w:eastAsia="Arial" w:hAnsi="Arial"/>
          <w:sz w:val="11"/>
          <w:szCs w:val="11"/>
          <w:color w:val="auto"/>
        </w:rPr>
      </w:pPr>
      <w:r>
        <w:rPr>
          <w:rFonts w:ascii="Arial" w:cs="Arial" w:eastAsia="Arial" w:hAnsi="Arial"/>
          <w:sz w:val="13"/>
          <w:szCs w:val="13"/>
          <w:color w:val="auto"/>
        </w:rPr>
        <w:t>Based on a Schedule 13D filed with the SEC on August 19, 2020 by Nestlé Health Science US Holdings, Inc. (“NHS”), NIMCO US, Inc. (“NIMCO”), Nestlé S.A. (“Nestlé”), Nestlé US Holdco, Inc. (“Nestlé US Holdco”) and Société des Produits Nestlé S.A. (“SPN”), and information known to us. NHS is a wholly owned subsidiary of NIMCO. NIMCO, in turn, is a wholly-owned subsidiary of Nestlé US Holdco, which is a wholly-owned subsidiary of SPN. The ultimate parent company of NHS, NIMCO, Nestlé US Holdco and SPN is Nestlé, a publicly traded company. Each of these entities may be deemed to share voting and investment power with respect to all shares of Common Stock held by NHS. Each of NHS, NIMCO, Nestlé, Nestlé US Holdco and SPN disclaims beneficial ownership of such shares of Common Stock except to the extent of its pecuniary interest therein. The address for NHS, NIMCO and Nestlé US Holdco is 1812 North Moor Street, Arlington, VA 22209. The address for Nestlé and SPN is Avenue Nestlé 55, CH-1800, Vevey Switzerland.</w:t>
      </w:r>
    </w:p>
    <w:p>
      <w:pPr>
        <w:spacing w:after="0" w:line="39" w:lineRule="exact"/>
        <w:rPr>
          <w:sz w:val="20"/>
          <w:szCs w:val="20"/>
          <w:color w:val="auto"/>
        </w:rPr>
      </w:pPr>
    </w:p>
    <w:p>
      <w:pPr>
        <w:ind w:left="440" w:hanging="324"/>
        <w:spacing w:after="0" w:line="244" w:lineRule="auto"/>
        <w:tabs>
          <w:tab w:leader="none" w:pos="440" w:val="left"/>
        </w:tabs>
        <w:numPr>
          <w:ilvl w:val="0"/>
          <w:numId w:val="38"/>
        </w:numPr>
        <w:rPr>
          <w:rFonts w:ascii="Arial" w:cs="Arial" w:eastAsia="Arial" w:hAnsi="Arial"/>
          <w:sz w:val="11"/>
          <w:szCs w:val="11"/>
          <w:color w:val="auto"/>
        </w:rPr>
      </w:pPr>
      <w:r>
        <w:rPr>
          <w:rFonts w:ascii="Arial" w:cs="Arial" w:eastAsia="Arial" w:hAnsi="Arial"/>
          <w:sz w:val="13"/>
          <w:szCs w:val="13"/>
          <w:color w:val="auto"/>
        </w:rPr>
        <w:t>Based solely on a Schedule 13G filed on February 14, 2022 by Federated Hermes, Inc. (“Federated Hermes”) reporting sole voting power over 6,914,136 shares of Common Stock and sole dispositive power over 6,914,136 shares of Common Stock. Federated Hermes is the parent holding company of Federated Equity Management Company of Pennsylvania and Federated Global Investment Management Corp. (the “Investment Advisers”), which act as investment advisers to registered investment companies and separate accounts that own shares Common Stock. The Investment Advisers are wholly owned subsidiaries of FII Holdings, Inc., which is wholly owned subsidiary of Federated Hermes. All of the Federated Hermes’s outstanding voting stock is held in the Voting Shares Irrevocable Trust (the “Trust”) for which Thomas R. Donahue, Rhodora J. Donahue and J. Christopher Donahue act as trustees (collectively, the “Trustees”). The Trustees have collective voting control that they exercise over Federated Hermes. Federated Hermes, the Trust, and each of the Trustees expressly disclaim beneficial ownership of the shares of Common Stock. The address of each of the foregoing is 1001 Liberty Avenue, Pittsburgh, PA 15222-3779.</w:t>
      </w:r>
    </w:p>
    <w:p>
      <w:pPr>
        <w:spacing w:after="0" w:line="192" w:lineRule="exact"/>
        <w:rPr>
          <w:sz w:val="20"/>
          <w:szCs w:val="20"/>
          <w:color w:val="auto"/>
        </w:rPr>
      </w:pPr>
    </w:p>
    <w:p>
      <w:pPr>
        <w:ind w:left="440" w:right="220" w:hanging="324"/>
        <w:spacing w:after="0" w:line="245" w:lineRule="auto"/>
        <w:tabs>
          <w:tab w:leader="none" w:pos="440" w:val="left"/>
        </w:tabs>
        <w:numPr>
          <w:ilvl w:val="0"/>
          <w:numId w:val="39"/>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2, 2022 by BlackRock, Inc. (“Blackrock”), on behalf of itself and its wholly owned subsidiaries,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Fund Advisors, and BlackRock Fund Managers Ltd. BlackRock reported that as of December 31, 2021, it had sole voting power with respect to 5,666,496 shares of Common Stock and sole dispositive power with respect to all 5,862,691 shares, and that the shares are beneficially owned by BlackRock and its wholly owned subsidiaries identified above. The address of each of the foregoing is 55 East 52nd Street, New York, NY 10055.</w:t>
      </w:r>
    </w:p>
    <w:p>
      <w:pPr>
        <w:spacing w:after="0" w:line="39" w:lineRule="exact"/>
        <w:rPr>
          <w:sz w:val="20"/>
          <w:szCs w:val="20"/>
          <w:color w:val="auto"/>
        </w:rPr>
      </w:pPr>
    </w:p>
    <w:p>
      <w:pPr>
        <w:ind w:left="440" w:right="100" w:hanging="324"/>
        <w:spacing w:after="0" w:line="244" w:lineRule="auto"/>
        <w:tabs>
          <w:tab w:leader="none" w:pos="440" w:val="left"/>
        </w:tabs>
        <w:numPr>
          <w:ilvl w:val="0"/>
          <w:numId w:val="40"/>
        </w:numPr>
        <w:rPr>
          <w:rFonts w:ascii="Arial" w:cs="Arial" w:eastAsia="Arial" w:hAnsi="Arial"/>
          <w:sz w:val="11"/>
          <w:szCs w:val="11"/>
          <w:color w:val="auto"/>
        </w:rPr>
      </w:pPr>
      <w:r>
        <w:rPr>
          <w:rFonts w:ascii="Arial" w:cs="Arial" w:eastAsia="Arial" w:hAnsi="Arial"/>
          <w:sz w:val="13"/>
          <w:szCs w:val="13"/>
          <w:color w:val="auto"/>
        </w:rPr>
        <w:t>Based solely on a Schedule 13G filed on February 11, 2022 by Janus Henderson Group plc (“Janus Henderson”) reporting shared voting power with respect to 5,055,099 shares of Common Stock and shared dispositive power with respect to 5,055,099 shares of Common Stock. Janus Henderson has an indirect 97% ownership stake in Intech Investment Management LLC (“Intech”) and a 100% ownership stake in Janus Henderson Investors U.S. LLC (“JHIUS”), Henderson Global Investors Limited (“HGIL”) and Janus Henderson Investors Australia Institutional Funds Management Limited (“JHIAIFML”), (collectively, the “Asset Managers”).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5,041,633 shares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40" w:lineRule="exact"/>
        <w:rPr>
          <w:sz w:val="20"/>
          <w:szCs w:val="20"/>
          <w:color w:val="auto"/>
        </w:rPr>
      </w:pPr>
    </w:p>
    <w:p>
      <w:pPr>
        <w:ind w:left="440" w:right="20" w:hanging="324"/>
        <w:spacing w:after="0" w:line="259" w:lineRule="auto"/>
        <w:tabs>
          <w:tab w:leader="none" w:pos="440" w:val="left"/>
        </w:tabs>
        <w:numPr>
          <w:ilvl w:val="0"/>
          <w:numId w:val="41"/>
        </w:numPr>
        <w:rPr>
          <w:rFonts w:ascii="Arial" w:cs="Arial" w:eastAsia="Arial" w:hAnsi="Arial"/>
          <w:sz w:val="11"/>
          <w:szCs w:val="11"/>
          <w:color w:val="auto"/>
        </w:rPr>
      </w:pPr>
      <w:r>
        <w:rPr>
          <w:rFonts w:ascii="Arial" w:cs="Arial" w:eastAsia="Arial" w:hAnsi="Arial"/>
          <w:sz w:val="13"/>
          <w:szCs w:val="13"/>
          <w:color w:val="auto"/>
        </w:rPr>
        <w:t>Based solely on a Schedule 13G/A filed on January 10, 2022 by State Street Corporation (“State Street”), on behalf of itself and its wholly owned direct and indirect subsidiaries, SGA Funds Management, Inc., State Street Global Advisors Limited, State Street Global Advisors, Australia, Limited, State Street Global Advisors Europe Limited and State Street Global Advisors Trust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reporting State Street’s shared voting power with respect to 4,668,473 shares of Common Stock and shared dispositive power with respect to 4,785,589 shares of Common Stock.</w:t>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address of each of the foregoing is State Street Financial Center, One Lincoln Street, Boston, MA 02111.</w:t>
      </w:r>
    </w:p>
    <w:p>
      <w:pPr>
        <w:spacing w:after="0" w:line="55" w:lineRule="exact"/>
        <w:rPr>
          <w:sz w:val="20"/>
          <w:szCs w:val="20"/>
          <w:color w:val="auto"/>
        </w:rPr>
      </w:pPr>
    </w:p>
    <w:p>
      <w:pPr>
        <w:ind w:left="440" w:hanging="324"/>
        <w:spacing w:after="0" w:line="259" w:lineRule="auto"/>
        <w:tabs>
          <w:tab w:leader="none" w:pos="440" w:val="left"/>
        </w:tabs>
        <w:numPr>
          <w:ilvl w:val="0"/>
          <w:numId w:val="42"/>
        </w:numPr>
        <w:rPr>
          <w:rFonts w:ascii="Arial" w:cs="Arial" w:eastAsia="Arial" w:hAnsi="Arial"/>
          <w:sz w:val="11"/>
          <w:szCs w:val="11"/>
          <w:color w:val="auto"/>
        </w:rPr>
      </w:pPr>
      <w:r>
        <w:rPr>
          <w:rFonts w:ascii="Arial" w:cs="Arial" w:eastAsia="Arial" w:hAnsi="Arial"/>
          <w:sz w:val="13"/>
          <w:szCs w:val="13"/>
          <w:color w:val="auto"/>
        </w:rPr>
        <w:t>Based solely on a Schedule 13G/A filed on February 10, 2022 by The Vanguard Group, reporting shared voting power with respect to 128,864 shares of Common Stock, sole dispositive power with respect to 4,498,050 shares of Common Stock, and shared dispositive power with respect to 178,215 shares of Common Stock. The address of each of The Vanguard Group is 100 Vanguard Blvd., Malvern, PA 19355 State Street Financial Center, One Lincoln Street, Boston, MA 02111.</w:t>
      </w:r>
    </w:p>
    <w:p>
      <w:pPr>
        <w:spacing w:after="0" w:line="29" w:lineRule="exact"/>
        <w:rPr>
          <w:sz w:val="20"/>
          <w:szCs w:val="20"/>
          <w:color w:val="auto"/>
        </w:rPr>
      </w:pPr>
    </w:p>
    <w:p>
      <w:pPr>
        <w:ind w:left="440" w:right="80" w:hanging="324"/>
        <w:spacing w:after="0" w:line="281" w:lineRule="auto"/>
        <w:tabs>
          <w:tab w:leader="none" w:pos="440" w:val="left"/>
        </w:tabs>
        <w:numPr>
          <w:ilvl w:val="0"/>
          <w:numId w:val="43"/>
        </w:numPr>
        <w:rPr>
          <w:rFonts w:ascii="Arial" w:cs="Arial" w:eastAsia="Arial" w:hAnsi="Arial"/>
          <w:sz w:val="11"/>
          <w:szCs w:val="11"/>
          <w:color w:val="auto"/>
        </w:rPr>
      </w:pPr>
      <w:r>
        <w:rPr>
          <w:rFonts w:ascii="Arial" w:cs="Arial" w:eastAsia="Arial" w:hAnsi="Arial"/>
          <w:sz w:val="13"/>
          <w:szCs w:val="13"/>
          <w:color w:val="auto"/>
        </w:rPr>
        <w:t>Includes (a) 32,842 shares of Common Stock held by Mr. Shaff and (b) 1,532,266 shares of Common Stock which Mr. Shaff has the right to acquire pursuant to outstanding stock options which are or will be immediately exercisable within 60 days of April 25, 2022.</w:t>
      </w:r>
    </w:p>
    <w:p>
      <w:pPr>
        <w:spacing w:after="0" w:line="14" w:lineRule="exact"/>
        <w:rPr>
          <w:sz w:val="20"/>
          <w:szCs w:val="20"/>
          <w:color w:val="auto"/>
        </w:rPr>
      </w:pPr>
    </w:p>
    <w:p>
      <w:pPr>
        <w:jc w:val="both"/>
        <w:ind w:left="440" w:right="180" w:hanging="324"/>
        <w:spacing w:after="0" w:line="259"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(a) 2,000 shares of Common Stock held by Mr. Arkowitz, (b) 67,500 shares of Common Stock which Mr. Arkowitz has the right to acquire pursuant to outstanding stock options which are or will be immediately exercisable within 60 days of April 25, 2022, and (c) restricted stock units for 5,000 shares of Common Stock that vest within 60 days of April 25, 2022.</w:t>
      </w:r>
    </w:p>
    <w:p>
      <w:pPr>
        <w:spacing w:after="0" w:line="29" w:lineRule="exact"/>
        <w:rPr>
          <w:rFonts w:ascii="Arial" w:cs="Arial" w:eastAsia="Arial" w:hAnsi="Arial"/>
          <w:sz w:val="11"/>
          <w:szCs w:val="11"/>
          <w:color w:val="auto"/>
        </w:rPr>
      </w:pPr>
    </w:p>
    <w:p>
      <w:pPr>
        <w:ind w:left="440" w:right="20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357,781 shares of Common Stock which Dr. Henn has the right to acquire pursuant to outstanding stock options which are or will be immediately exercisable within 60 days of April 25, 2022.</w:t>
      </w:r>
    </w:p>
    <w:p>
      <w:pPr>
        <w:spacing w:after="0" w:line="14" w:lineRule="exact"/>
        <w:rPr>
          <w:rFonts w:ascii="Arial" w:cs="Arial" w:eastAsia="Arial" w:hAnsi="Arial"/>
          <w:sz w:val="11"/>
          <w:szCs w:val="11"/>
          <w:color w:val="auto"/>
        </w:rPr>
      </w:pPr>
    </w:p>
    <w:p>
      <w:pPr>
        <w:ind w:left="440" w:right="6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188,000 shares of Common Stock which Dr. Ausiello has the right to acquire pursuant to outstanding stock options which are or will be immediately exercisable within 60 days of April 25, 2022.</w:t>
      </w:r>
    </w:p>
    <w:p>
      <w:pPr>
        <w:spacing w:after="0" w:line="14" w:lineRule="exact"/>
        <w:rPr>
          <w:rFonts w:ascii="Arial" w:cs="Arial" w:eastAsia="Arial" w:hAnsi="Arial"/>
          <w:sz w:val="11"/>
          <w:szCs w:val="11"/>
          <w:color w:val="auto"/>
        </w:rPr>
      </w:pPr>
    </w:p>
    <w:p>
      <w:pPr>
        <w:ind w:left="440" w:right="24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98,000 shares of Common Stock which Mr. Behar has the right to acquire pursuant to outstanding stock options which are or will be immediately exercisable within 60 days of April 25, 2022.</w:t>
      </w:r>
    </w:p>
    <w:p>
      <w:pPr>
        <w:spacing w:after="0" w:line="14" w:lineRule="exact"/>
        <w:rPr>
          <w:rFonts w:ascii="Arial" w:cs="Arial" w:eastAsia="Arial" w:hAnsi="Arial"/>
          <w:sz w:val="11"/>
          <w:szCs w:val="11"/>
          <w:color w:val="auto"/>
        </w:rPr>
      </w:pPr>
    </w:p>
    <w:p>
      <w:pPr>
        <w:ind w:left="440" w:right="16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(a) 3,589 shares of Common Stock held by Mr. Berenson and (b) 68,000 shares of Common Stock which Mr. Berenson has the right to acquire pursuant to outstanding stock options which are or will be immediately exercisable within 60 days of April 25, 2022.</w:t>
      </w:r>
    </w:p>
    <w:p>
      <w:pPr>
        <w:spacing w:after="0" w:line="68" w:lineRule="exact"/>
        <w:rPr>
          <w:rFonts w:ascii="Arial" w:cs="Arial" w:eastAsia="Arial" w:hAnsi="Arial"/>
          <w:sz w:val="11"/>
          <w:szCs w:val="11"/>
          <w:color w:val="auto"/>
        </w:rPr>
      </w:pPr>
    </w:p>
    <w:p>
      <w:pPr>
        <w:ind w:left="440" w:right="22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68,000 shares of Common Stock which Mr. Biondi has the right to acquire pursuant to outstanding stock options which are or will be immediately exercisable within 60 days of April 25, 2022.</w:t>
      </w:r>
    </w:p>
    <w:p>
      <w:pPr>
        <w:spacing w:after="0" w:line="68" w:lineRule="exact"/>
        <w:rPr>
          <w:rFonts w:ascii="Arial" w:cs="Arial" w:eastAsia="Arial" w:hAnsi="Arial"/>
          <w:sz w:val="11"/>
          <w:szCs w:val="11"/>
          <w:color w:val="auto"/>
        </w:rPr>
      </w:pPr>
    </w:p>
    <w:p>
      <w:pPr>
        <w:ind w:left="440" w:right="24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113,000 shares of Common Stock which Dr. Dere has the right to acquire pursuant to outstanding stock options which are or will be immediately exercisable within 60 days of April 25, 2022.</w:t>
      </w:r>
    </w:p>
    <w:p>
      <w:pPr>
        <w:spacing w:after="0" w:line="68" w:lineRule="exact"/>
        <w:rPr>
          <w:rFonts w:ascii="Arial" w:cs="Arial" w:eastAsia="Arial" w:hAnsi="Arial"/>
          <w:sz w:val="11"/>
          <w:szCs w:val="11"/>
          <w:color w:val="auto"/>
        </w:rPr>
      </w:pPr>
    </w:p>
    <w:p>
      <w:pPr>
        <w:ind w:left="440" w:right="8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143,000 shares of Common Stock which Mr. Graves has the right to acquire pursuant to outstanding stock options which are or will be immediately exercisable within 60 days of April 25, 2022.</w:t>
      </w:r>
    </w:p>
    <w:p>
      <w:pPr>
        <w:spacing w:after="0" w:line="68" w:lineRule="exact"/>
        <w:rPr>
          <w:rFonts w:ascii="Arial" w:cs="Arial" w:eastAsia="Arial" w:hAnsi="Arial"/>
          <w:sz w:val="11"/>
          <w:szCs w:val="11"/>
          <w:color w:val="auto"/>
        </w:rPr>
      </w:pPr>
    </w:p>
    <w:p>
      <w:pPr>
        <w:ind w:left="440" w:right="8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203,000 shares of Common Stock which Mr. Kender has the right to acquire pursuant to outstanding stock options which are or will be immediately exercisable within 60 days of April 25, 2022.</w:t>
      </w:r>
    </w:p>
    <w:p>
      <w:pPr>
        <w:spacing w:after="0" w:line="68" w:lineRule="exact"/>
        <w:rPr>
          <w:rFonts w:ascii="Arial" w:cs="Arial" w:eastAsia="Arial" w:hAnsi="Arial"/>
          <w:sz w:val="11"/>
          <w:szCs w:val="11"/>
          <w:color w:val="auto"/>
        </w:rPr>
      </w:pPr>
    </w:p>
    <w:p>
      <w:pPr>
        <w:ind w:left="440" w:right="6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Includes 90,500 shares of Common Stock which Ms. Zausner has the right to acquire pursuant to outstanding stock options which are or will be immediately exercisable within 60 days of April 25, 2022.</w:t>
      </w:r>
    </w:p>
    <w:p>
      <w:pPr>
        <w:spacing w:after="0" w:line="68" w:lineRule="exact"/>
        <w:rPr>
          <w:rFonts w:ascii="Arial" w:cs="Arial" w:eastAsia="Arial" w:hAnsi="Arial"/>
          <w:sz w:val="11"/>
          <w:szCs w:val="11"/>
          <w:color w:val="auto"/>
        </w:rPr>
      </w:pPr>
    </w:p>
    <w:p>
      <w:pPr>
        <w:jc w:val="both"/>
        <w:ind w:left="440" w:right="120" w:hanging="324"/>
        <w:spacing w:after="0" w:line="281" w:lineRule="auto"/>
        <w:tabs>
          <w:tab w:leader="none" w:pos="440" w:val="left"/>
        </w:tabs>
        <w:numPr>
          <w:ilvl w:val="0"/>
          <w:numId w:val="44"/>
        </w:numPr>
        <w:rPr>
          <w:rFonts w:ascii="Arial" w:cs="Arial" w:eastAsia="Arial" w:hAnsi="Arial"/>
          <w:sz w:val="11"/>
          <w:szCs w:val="11"/>
          <w:color w:val="auto"/>
        </w:rPr>
      </w:pPr>
      <w:r>
        <w:rPr>
          <w:rFonts w:ascii="Arial" w:cs="Arial" w:eastAsia="Arial" w:hAnsi="Arial"/>
          <w:sz w:val="13"/>
          <w:szCs w:val="13"/>
          <w:color w:val="auto"/>
        </w:rPr>
        <w:t>Consists of (a) 79,485 shares of Common Stock, (b) 3,997,322 shares of Common Stock which the holders have the right to acquire pursuant to outstanding stock options which are or will be immediately exercisable within 60 days of April 25, 2022, and (c) restricted stock units for 5,000 shares of Common Stock that vest within 60 days of April 25, 2022.</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Our finance team is primarily responsible for developing and implementing procedures to obtain information regarding potential related person transactions and for determining whether a related person transaction requiring compliance with our policy exists. Our Chief Executive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2020.</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 xml:space="preserve">In January 2016 we entered into the Collaboration and License Agreement (the “2016 License Agreement”) with Nestec Ltd., which was succeeded in interest by Société des Produits Nestlé S.A. (together with NHSc Pharma Partners, “Nestlé”), an affiliate of Nestlé Health Science US Holdings, Inc., which, together with Nestlé, holds approximately 8.6% of our Common Stock as of April 25, 2022, for the development and commercialization of certain of our product candidates in development for the treatment and management of </w:t>
      </w:r>
      <w:r>
        <w:rPr>
          <w:rFonts w:ascii="Arial" w:cs="Arial" w:eastAsia="Arial" w:hAnsi="Arial"/>
          <w:sz w:val="18"/>
          <w:szCs w:val="18"/>
          <w:i w:val="1"/>
          <w:iCs w:val="1"/>
          <w:color w:val="auto"/>
        </w:rPr>
        <w:t>Clostridium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infection (“CDI”) and inflammatory bowel disease (“IBD”), including ulcerative colitis and Crohn’s disease. The 2016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supports the development of our portfolio of products for CDI and IBD in markets outside of the United States and Canada (the “2016 Licensed Territory”).</w:t>
      </w:r>
    </w:p>
    <w:p>
      <w:pPr>
        <w:spacing w:after="0" w:line="77"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Under the 2016 License Agreement, we granted to Nestlé an exclusive, royalty-bearing license to develop and commercialize in the 2016 Licensed Territory certain products based on our microbiome technology that are being developed for the treatment of CDI and IBD, including SER-109, SER-262, SER-287 and SER-301 (collectively, the “2016 Collaboration Products”). The 2016 License Agreement sets forth our and Nestlé’s respective obligations for development, commercialization, regulatory and manufacturing and supply activities for the 2016 Collaboration Products with respect to the licensed fields and the 2016 Licensed Territory.</w:t>
      </w:r>
    </w:p>
    <w:p>
      <w:pPr>
        <w:spacing w:after="0" w:line="6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Under the 2016 License Agreement, Nestlé paid us an upfront cash payment of $120.0 million in February 2016 and has agreed to pay us tiered royalties, at percentages ranging from the high single digits to high teens, of net sales of 2016 Collaboration Products in the 2016 Licensed Territory. Additionally, Nestlé has agreed to pay us up to $660.0 million for the achievement of certain development and regulatory milestones and up to an aggregate of $1.125 billion for the achievement of certain commercial milestones related to the sales of 2016 Collaboration Products. We received a $10.0 million milestone payment in 2016 associated with the initiation of our Phase 1b study for</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SER-262 in CDI and a $20.0 million milestone payment in 2017 associated with the initiation of our Phase 3 study of SER-109 in multiply recurrent CDI.</w:t>
      </w:r>
    </w:p>
    <w:p>
      <w:pPr>
        <w:spacing w:after="0" w:line="46"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color w:val="auto"/>
        </w:rPr>
        <w:t>In November 2018, we executed the letter agreement with Nestlé (the “Letter Agreement”), modifying certain terms of the 2016 License Agreement. Under the Letter Agreement, Nestlé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 We also received a $10.0 million milestone payment in 2020 associated with the initiation of our Phase 1b study for SER-301. To date, we have received $80.0 million in development milestones under the 2016 License Agreement and the Letter Agreement.</w:t>
      </w:r>
    </w:p>
    <w:p>
      <w:pPr>
        <w:spacing w:after="0" w:line="6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2016 License Agreement continues in effect until terminated by either us or Nestlé on the following bases: (i) Nestlé may terminate the 2016 License Agreement in the event of serious safety issues related to any of the 2016 Collaboration Products; (ii) we may terminate the 2016 License Agreement if Nestlé challenges the validity or enforceability of any of our licensed patents; and (iii) either we or Nestlé may terminate the 2016 License Agreement in the event of the other party’s uncured material breach or insolvency. Upon termination of the 2016 License Agreement, all licenses granted to Nestlé by us will terminate, and all rights in and to the 2016 Collaboration Products in the 2016 Licensed Territory will revert to us. If we commit a material breach of the 2016 License Agreement, Nestlé may elect not to terminate the 2016 License Agreement but instead apply specified adjustments to its payment obligations and other terms and conditions of the 2016 License Agreement.</w:t>
      </w:r>
    </w:p>
    <w:p>
      <w:pPr>
        <w:spacing w:after="0" w:line="7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August 2020, we entered into a Securities Purchase Agreement with Nestlé for the sale of 959,002 shares of our Common Stock at a purchase price of $20.855 per share, for aggregate net proceeds of approximately $ 19.9 million after deducting offering expenses payable by us (the “concurrent placement”). The concurrent placement was contingent upon the closing of our August 2020 public offering in which we received net proceeds of approximately $243.7 million after deducting underwriting discounts and commissions and offering expenses payable by us.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July 2021, we entered into a License Agreement (the “2021 License Agreement”) with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our SER-109 product candidate) that are developed by us or on our behalf for the treatment of CDI and recurrent CDI, as well as any other indications pursued for the products upon mutual agreement of the parties (the “2021 Field”), in the United States and Canada (the “2021 Licensed Territory”), and (ii) our SER-109 product candidate and any improvements and modifications thereto developed pursuant to the terms of the 2021 License Agreement (the “2021 Collaboration Products”) for any indications in the 2021 Licensed Territory.</w:t>
      </w:r>
    </w:p>
    <w:p>
      <w:pPr>
        <w:spacing w:after="0" w:line="7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The 2021 License Agreement sets forth the parties’ respective obligations for development, regulatory, commercialization, medical affairs, and manufacturing and supply activities for the 2021 Collaboration Products with respect to the 2021 Field and the 2021 Licensed Territory. Pursuant to the 2021 License Agreement, we are responsible for, and will use commercially reasonable efforts in, conducting development of SER-109 in the 2021 Field in the United States until first regulatory approval for SER-109 is obtained in the 2021 Field in the United States and in accordance with a development and regulatory activity plan, at our cost, subject to certain exceptions specified in the 2021 License Agreement. We are also responsible for all regulatory affairs related to 2021 Collaboration Products in the 2021 Field in the 2021 Licensed Territory, at its cost, except that expenses incurred for regulatory activities approved by a joint steering committee pursuant to a life cycle management plan for 2021 Collaboration Products are shared equally between the parties. We will be solely responsible for manufacturing and supplying 2021 Collaboration Products for development in the 2021 Field in the 2021 Licensed Territory.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Nestlé has the sole right to commercialize the 2021 Collaboration Products in the 2021 Licensed Territory in accordance with a commercialization plan, subject to our right to elect to provide up to a specified percentage of all promotional details for a certain target audience. Each party will use commercially reasonable efforts to commercialize the 2021 Collaboration Products in the 2021 Licensed Territory in accordance with the commercialization plan. Both parties will perform medical affairs activities for 2021 Collaboration Products in the 2021 Licensed Territory in accordance with a medical affairs plan. We will be solely responsible for the manufacturing and supply of 2021 Collaboration Products for commercialization under a supply agreement that will be entered into between the parties. We will be responsible for commercialization and medical affairs activities costs incurred by the parties until first commercial sale of the first 2021 Collaboration Product in the 2021 Licensed Territory and in accordance with a pre-launch plan, up to a specified cap. Following first commercial sale of the first 2021 Collaboration Product, we will be entitled to a royalty in an amount equal to approximately 50% of the commercial profits.</w:t>
      </w:r>
    </w:p>
    <w:p>
      <w:pPr>
        <w:spacing w:after="0" w:line="72"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In exchange for the grant of the licenses under the 2021 License Agreement, Nestlé agreed to pay us a non-refundable, non-creditable and non-cancellable upfront payment of $175.0 million, which was received in July 2021. Nestlé also agreed to pay us an additional $125.0 million due upon FDA approval of SER-109, $10.0 million upon Canadian regulatory approval of SER-109, and sales target milestones payments totaling up to $225.0 million.</w:t>
      </w:r>
    </w:p>
    <w:p>
      <w:pPr>
        <w:spacing w:after="0" w:line="66"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(i) with twelve months’ prior written notice, effective only on or after the third anniversary of first commercial sale of the first 2021 Collaboration Product in the 2021 Licensed Territory,</w:t>
      </w:r>
    </w:p>
    <w:p>
      <w:pPr>
        <w:ind w:left="120" w:hanging="4"/>
        <w:spacing w:after="0" w:line="237" w:lineRule="auto"/>
        <w:tabs>
          <w:tab w:leader="none" w:pos="3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first commercial sale of the first 2021 Collaboration Product in the 2021 Licensed Territory has not occurred by the fifth anniversary of the effective date of the 2021 License Agreement, with one hundred eighty days’ prior written notice, which must be provided during a specified period set forth in the 2021 License Agreement, or (iii) if regulatory approval for SER-109 is not granted after submission by us of a filing seeking first regulatory approval as set forth in the development and regulatory activity plan, and the parties fail to agree on further development of SER-109 in accordance with the terms of the 2021 License Agreement, with one hundred eighty days’ prior written notice, which must be provided within a specified period set forth in the 2021 License Agreement. We may also terminate the 2021 License Agreement immediately upon written notice if Nestlé challenges any licensed patent in the 2021 Licensed Territory.</w:t>
      </w:r>
    </w:p>
    <w:p>
      <w:pPr>
        <w:spacing w:after="0" w:line="77"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2021 License Agreement. The 2021 License Agreement contains customary representations and warranties by the parties, intellectual property provisions including ownership, patent prosecution, enforcement and defense, certain indemnification rights in favor of each party, and customary confidentiality provisions and limitations of liability.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During the fiscal year ended December 31, 2021, Paul R. Biondi, Kurt C. Graves, Richard N. Kender and Meryl S. Zausner served as members of our Compensation and Talent Committee. No member of our Compensation and Talent Committee during the fiscal year ended December 31, 2021 is or has been an officer or employee of our Company. None of our executive officers served as a director or a member of a compensation committee (or other committee serving an equivalent function) of any other entity that had an executive officer who served as a director on our Board or as a member of our Compensation and Talent Committee during the fiscal year ended December 31, 2021.</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2023 Annual Meeting of Stockholders pursuant to Rule 14a-8 under the Exchange Act must submit the proposal to our Secretary at our offices at 200 Sidney Street, Cambridge, MA 02139 in writing not later than December 30, 2022.</w:t>
      </w:r>
    </w:p>
    <w:p>
      <w:pPr>
        <w:spacing w:after="0" w:line="6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Stockholders intending to present a proposal at the 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2023 Annual Meeting of Stockholders no earlier than the close of business on February 22, 2023 and no later than the close of business on March 24, 2023. The notice must contain the information required by the Amended and Restated Bylaws, a copy of which is available upon request to our Secretary. In the event that the date of the 2023 Annual Meeting of Stockholders is more than 30 days before or more than 60 days after June 22, 2023, then our Secretary must receive such written notice not earlier than the close of business on the 120th day prior to the 2023 Annual Meeting and not later than the close of business on the 90th day prior to the 2023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72"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In addition to satisfying the foregoing requirements under our Amended and Restated Bylaws, to comply with the universal proxy rules (once they become effective), stockholders who intend to solicit proxies in support of director nominees other than our nominees must provide notice that sets forth the information required by Rule 14a-19 under the Exchange Act no later than April 24, 2023.</w:t>
      </w:r>
    </w:p>
    <w:p>
      <w:pPr>
        <w:spacing w:after="0" w:line="61" w:lineRule="exact"/>
        <w:rPr>
          <w:sz w:val="20"/>
          <w:szCs w:val="20"/>
          <w:color w:val="auto"/>
        </w:rPr>
      </w:pPr>
    </w:p>
    <w:p>
      <w:pPr>
        <w:jc w:val="both"/>
        <w:ind w:left="120" w:right="34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20" w:right="480"/>
        <w:spacing w:after="0" w:line="275" w:lineRule="auto"/>
        <w:rPr>
          <w:sz w:val="20"/>
          <w:szCs w:val="20"/>
          <w:color w:val="auto"/>
        </w:rPr>
      </w:pPr>
      <w:r>
        <w:rPr>
          <w:rFonts w:ascii="Arial" w:cs="Arial" w:eastAsia="Arial" w:hAnsi="Arial"/>
          <w:sz w:val="17"/>
          <w:szCs w:val="17"/>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467995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61"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4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 xml:space="preserve">We intend to file a proxy statement and WHITE proxy card with the SEC in connection with the solicitation of proxies for our 2023 Annual Meeting of Stockholders. Stockholders may obtain our proxy statement (and any amendments and supplements thereto) and other documents as and when filed by us with the SEC without charge from the SEC’s website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 copy of Seres’ Annual Report on Form 10-K for the fiscal year ended December 31, 2021, including financial statements and schedules thereto but not including exhibits, as filed with the SEC, will be sent to any stockholder of record on April 25, 2022 without charge upon written request addressed to:</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Seres Therapeutics, Inc.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Secretary</w:t>
      </w:r>
    </w:p>
    <w:p>
      <w:pPr>
        <w:ind w:left="1100"/>
        <w:spacing w:after="0" w:line="234"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Cambridge, MA 02139</w:t>
      </w:r>
    </w:p>
    <w:p>
      <w:pPr>
        <w:spacing w:after="0" w:line="8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2021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61"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928495" cy="44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284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J. DesRosier, Secretary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Massachusetts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2022</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285115</wp:posOffset>
            </wp:positionV>
            <wp:extent cx="1174115" cy="4457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741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8"/>
          <w:szCs w:val="8"/>
          <w:i w:val="1"/>
          <w:iCs w:val="1"/>
          <w:color w:val="auto"/>
        </w:rPr>
        <w:t>SERES THERAPEUTICS, INC.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9"/>
          <w:szCs w:val="9"/>
          <w:i w:val="1"/>
          <w:iCs w:val="1"/>
          <w:color w:val="auto"/>
        </w:rPr>
        <w:t>200 SIDNEY STREET</w:t>
      </w:r>
    </w:p>
    <w:p>
      <w:pPr>
        <w:ind w:left="300"/>
        <w:spacing w:after="0"/>
        <w:rPr>
          <w:sz w:val="20"/>
          <w:szCs w:val="20"/>
          <w:color w:val="auto"/>
        </w:rPr>
      </w:pPr>
      <w:r>
        <w:rPr>
          <w:rFonts w:ascii="Times New Roman" w:cs="Times New Roman" w:eastAsia="Times New Roman" w:hAnsi="Times New Roman"/>
          <w:sz w:val="9"/>
          <w:szCs w:val="9"/>
          <w:i w:val="1"/>
          <w:iCs w:val="1"/>
          <w:color w:val="auto"/>
        </w:rPr>
        <w:t>CAMBRIDGE, MA 02139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-1144270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-604520</wp:posOffset>
            </wp:positionV>
            <wp:extent cx="2143125" cy="522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43125" cy="5226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i w:val="1"/>
          <w:iCs w:val="1"/>
          <w:color w:val="auto"/>
        </w:rPr>
        <w:t xml:space="preserve">Before The Meeting </w:t>
      </w:r>
      <w:r>
        <w:rPr>
          <w:rFonts w:ascii="Times New Roman" w:cs="Times New Roman" w:eastAsia="Times New Roman" w:hAnsi="Times New Roman"/>
          <w:sz w:val="12"/>
          <w:szCs w:val="12"/>
          <w:color w:val="auto"/>
        </w:rPr>
        <w:t>- Go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u w:val="single" w:color="auto"/>
          <w:color w:val="auto"/>
        </w:rPr>
        <w:t>www.proxyvote.com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or scan the QR Barcode above</w:t>
      </w:r>
    </w:p>
    <w:p>
      <w:pPr>
        <w:spacing w:after="0" w:line="212" w:lineRule="exact"/>
        <w:rPr>
          <w:sz w:val="20"/>
          <w:szCs w:val="20"/>
          <w:color w:val="auto"/>
        </w:rPr>
      </w:pPr>
    </w:p>
    <w:p>
      <w:pPr>
        <w:sectPr>
          <w:pgSz w:w="11900" w:h="16838" w:orient="portrait"/>
          <w:cols w:equalWidth="0" w:num="2">
            <w:col w:w="5140" w:space="720"/>
            <w:col w:w="5280"/>
          </w:cols>
          <w:pgMar w:left="320" w:top="455" w:right="439" w:bottom="1440" w:gutter="0" w:footer="0" w:header="0"/>
        </w:sectPr>
      </w:pPr>
    </w:p>
    <w:p>
      <w:pPr>
        <w:ind w:left="5860"/>
        <w:spacing w:after="0"/>
        <w:rPr>
          <w:sz w:val="20"/>
          <w:szCs w:val="20"/>
          <w:color w:val="auto"/>
        </w:rPr>
      </w:pPr>
      <w:r>
        <w:rPr>
          <w:rFonts w:ascii="Times New Roman" w:cs="Times New Roman" w:eastAsia="Times New Roman" w:hAnsi="Times New Roman"/>
          <w:sz w:val="12"/>
          <w:szCs w:val="12"/>
          <w:color w:val="auto"/>
        </w:rPr>
        <w:t>Use the Internet to transmit your voting instructions and for electronic delivery of information. Vote by</w:t>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11:59 p.m. Eastern Time on June 21, 2022. Have your proxy card in hand when you access the web site</w:t>
      </w:r>
    </w:p>
    <w:p>
      <w:pPr>
        <w:ind w:left="5860"/>
        <w:spacing w:after="0"/>
        <w:rPr>
          <w:sz w:val="20"/>
          <w:szCs w:val="20"/>
          <w:color w:val="auto"/>
        </w:rPr>
      </w:pPr>
      <w:r>
        <w:rPr>
          <w:rFonts w:ascii="Times New Roman" w:cs="Times New Roman" w:eastAsia="Times New Roman" w:hAnsi="Times New Roman"/>
          <w:sz w:val="13"/>
          <w:szCs w:val="13"/>
          <w:color w:val="auto"/>
        </w:rPr>
        <w:t>and follow the instructions to obtain your records and to create an electronic voting instruction form.</w:t>
      </w:r>
    </w:p>
    <w:p>
      <w:pPr>
        <w:spacing w:after="0" w:line="1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i w:val="1"/>
          <w:iCs w:val="1"/>
          <w:color w:val="auto"/>
        </w:rPr>
        <w:t xml:space="preserve">During The Meeting </w:t>
      </w:r>
      <w:r>
        <w:rPr>
          <w:rFonts w:ascii="Times New Roman" w:cs="Times New Roman" w:eastAsia="Times New Roman" w:hAnsi="Times New Roman"/>
          <w:sz w:val="13"/>
          <w:szCs w:val="13"/>
          <w:color w:val="auto"/>
        </w:rPr>
        <w:t>- Go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u w:val="single" w:color="auto"/>
          <w:color w:val="auto"/>
        </w:rPr>
        <w:t>www.virtualshareholdermeeting.com/MCRB2022</w:t>
      </w:r>
    </w:p>
    <w:p>
      <w:pPr>
        <w:spacing w:after="0" w:line="2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2"/>
          <w:szCs w:val="12"/>
          <w:color w:val="auto"/>
        </w:rPr>
        <w:t>You may attend the meeting via the Internet and vote during the meeting. Have the information that is</w:t>
      </w:r>
    </w:p>
    <w:p>
      <w:pPr>
        <w:spacing w:after="0" w:line="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color w:val="auto"/>
        </w:rPr>
        <w:t>printed in the box marked by the arrow available and follow the instructions.</w:t>
      </w:r>
    </w:p>
    <w:p>
      <w:pPr>
        <w:spacing w:after="0" w:line="2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3"/>
          <w:szCs w:val="13"/>
          <w:b w:val="1"/>
          <w:bCs w:val="1"/>
          <w:color w:val="auto"/>
        </w:rPr>
        <w:t>VOTE BY MAIL</w:t>
      </w:r>
    </w:p>
    <w:p>
      <w:pPr>
        <w:ind w:left="5860"/>
        <w:spacing w:after="0" w:line="219" w:lineRule="auto"/>
        <w:rPr>
          <w:sz w:val="20"/>
          <w:szCs w:val="20"/>
          <w:color w:val="auto"/>
        </w:rPr>
      </w:pPr>
      <w:r>
        <w:rPr>
          <w:rFonts w:ascii="Times New Roman" w:cs="Times New Roman" w:eastAsia="Times New Roman" w:hAnsi="Times New Roman"/>
          <w:sz w:val="13"/>
          <w:szCs w:val="13"/>
          <w:color w:val="auto"/>
        </w:rPr>
        <w:t>Mark, sign and date your proxy card and return it in the postage-paid envelope we have provided or</w:t>
      </w:r>
    </w:p>
    <w:p>
      <w:pPr>
        <w:ind w:left="5860"/>
        <w:spacing w:after="0"/>
        <w:rPr>
          <w:sz w:val="20"/>
          <w:szCs w:val="20"/>
          <w:color w:val="auto"/>
        </w:rPr>
      </w:pPr>
      <w:r>
        <w:rPr>
          <w:rFonts w:ascii="Times New Roman" w:cs="Times New Roman" w:eastAsia="Times New Roman" w:hAnsi="Times New Roman"/>
          <w:sz w:val="13"/>
          <w:szCs w:val="13"/>
          <w:color w:val="auto"/>
        </w:rPr>
        <w:t>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p>
      <w:pPr>
        <w:ind w:left="6660"/>
        <w:spacing w:after="0"/>
        <w:tabs>
          <w:tab w:leader="none" w:pos="8660" w:val="left"/>
        </w:tabs>
        <w:rPr>
          <w:sz w:val="20"/>
          <w:szCs w:val="20"/>
          <w:color w:val="auto"/>
        </w:rPr>
      </w:pPr>
      <w:r>
        <w:rPr>
          <w:rFonts w:ascii="Times New Roman" w:cs="Times New Roman" w:eastAsia="Times New Roman" w:hAnsi="Times New Roman"/>
          <w:sz w:val="13"/>
          <w:szCs w:val="13"/>
          <w:color w:val="auto"/>
        </w:rPr>
        <w:t>D82347-P68775</w:t>
      </w:r>
      <w:r>
        <w:rPr>
          <w:sz w:val="20"/>
          <w:szCs w:val="20"/>
          <w:color w:val="auto"/>
        </w:rPr>
        <w:tab/>
      </w:r>
      <w:r>
        <w:rPr>
          <w:rFonts w:ascii="Times New Roman" w:cs="Times New Roman" w:eastAsia="Times New Roman" w:hAnsi="Times New Roman"/>
          <w:sz w:val="12"/>
          <w:szCs w:val="12"/>
          <w:color w:val="auto"/>
        </w:rPr>
        <w:t>KEEP THIS PORTION FOR YOUR RECORDS</w:t>
      </w:r>
    </w:p>
    <w:p>
      <w:pPr>
        <w:jc w:val="right"/>
        <w:ind w:right="40"/>
        <w:spacing w:after="0"/>
        <w:rPr>
          <w:sz w:val="20"/>
          <w:szCs w:val="20"/>
          <w:color w:val="auto"/>
        </w:rPr>
      </w:pPr>
      <w:r>
        <w:rPr>
          <w:rFonts w:ascii="Times New Roman" w:cs="Times New Roman" w:eastAsia="Times New Roman" w:hAnsi="Times New Roman"/>
          <w:sz w:val="17"/>
          <w:szCs w:val="17"/>
          <w:color w:val="auto"/>
        </w:rPr>
        <w:t>— — — — — — — — — — — — — — — — — — — — — — — — — — — — — — — — — — — — — — — — — — — — — — — — —</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DETACH AND RETURN THIS PORTION ONLY</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75565</wp:posOffset>
            </wp:positionV>
            <wp:extent cx="7003415" cy="3505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03415" cy="350583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SERES THERAPEUTICS, INC.</w:t>
      </w:r>
    </w:p>
    <w:p>
      <w:pPr>
        <w:spacing w:after="0" w:line="15" w:lineRule="exact"/>
        <w:rPr>
          <w:sz w:val="20"/>
          <w:szCs w:val="20"/>
          <w:color w:val="auto"/>
        </w:rPr>
      </w:pPr>
    </w:p>
    <w:p>
      <w:pPr>
        <w:ind w:left="460" w:right="320" w:hanging="1"/>
        <w:spacing w:after="0" w:line="227" w:lineRule="auto"/>
        <w:rPr>
          <w:sz w:val="20"/>
          <w:szCs w:val="20"/>
          <w:color w:val="auto"/>
        </w:rPr>
      </w:pPr>
      <w:r>
        <w:rPr>
          <w:rFonts w:ascii="Times New Roman" w:cs="Times New Roman" w:eastAsia="Times New Roman" w:hAnsi="Times New Roman"/>
          <w:sz w:val="13"/>
          <w:szCs w:val="13"/>
          <w:b w:val="1"/>
          <w:bCs w:val="1"/>
          <w:color w:val="auto"/>
        </w:rPr>
        <w:t>The Board of Directors recommends you vote FOR the following:</w:t>
      </w:r>
    </w:p>
    <w:p>
      <w:pPr>
        <w:spacing w:after="0" w:line="1" w:lineRule="exact"/>
        <w:rPr>
          <w:sz w:val="20"/>
          <w:szCs w:val="20"/>
          <w:color w:val="auto"/>
        </w:rPr>
      </w:pPr>
    </w:p>
    <w:p>
      <w:pPr>
        <w:ind w:left="740" w:hanging="282"/>
        <w:spacing w:after="0"/>
        <w:tabs>
          <w:tab w:leader="none" w:pos="7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Election of Directors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b w:val="1"/>
          <w:bCs w:val="1"/>
          <w:color w:val="auto"/>
        </w:rPr>
        <w:t>Nominees:</w:t>
      </w:r>
    </w:p>
    <w:p>
      <w:pPr>
        <w:spacing w:after="0" w:line="95" w:lineRule="exact"/>
        <w:rPr>
          <w:sz w:val="20"/>
          <w:szCs w:val="20"/>
          <w:color w:val="auto"/>
        </w:rPr>
      </w:pPr>
    </w:p>
    <w:p>
      <w:pPr>
        <w:ind w:left="460"/>
        <w:spacing w:after="0"/>
        <w:tabs>
          <w:tab w:leader="none" w:pos="720" w:val="left"/>
        </w:tabs>
        <w:rPr>
          <w:sz w:val="20"/>
          <w:szCs w:val="20"/>
          <w:color w:val="auto"/>
        </w:rPr>
      </w:pPr>
      <w:r>
        <w:rPr>
          <w:rFonts w:ascii="Times New Roman" w:cs="Times New Roman" w:eastAsia="Times New Roman" w:hAnsi="Times New Roman"/>
          <w:sz w:val="13"/>
          <w:szCs w:val="13"/>
          <w:color w:val="auto"/>
        </w:rPr>
        <w:t>01)</w:t>
      </w:r>
      <w:r>
        <w:rPr>
          <w:sz w:val="20"/>
          <w:szCs w:val="20"/>
          <w:color w:val="auto"/>
        </w:rPr>
        <w:tab/>
      </w:r>
      <w:r>
        <w:rPr>
          <w:rFonts w:ascii="Times New Roman" w:cs="Times New Roman" w:eastAsia="Times New Roman" w:hAnsi="Times New Roman"/>
          <w:sz w:val="12"/>
          <w:szCs w:val="12"/>
          <w:color w:val="auto"/>
        </w:rPr>
        <w:t>Dennis A. Ausiello, M.D.</w:t>
      </w:r>
    </w:p>
    <w:p>
      <w:pPr>
        <w:ind w:left="460"/>
        <w:spacing w:after="0" w:line="234" w:lineRule="auto"/>
        <w:tabs>
          <w:tab w:leader="none" w:pos="720" w:val="left"/>
        </w:tabs>
        <w:rPr>
          <w:sz w:val="20"/>
          <w:szCs w:val="20"/>
          <w:color w:val="auto"/>
        </w:rPr>
      </w:pPr>
      <w:r>
        <w:rPr>
          <w:rFonts w:ascii="Times New Roman" w:cs="Times New Roman" w:eastAsia="Times New Roman" w:hAnsi="Times New Roman"/>
          <w:sz w:val="13"/>
          <w:szCs w:val="13"/>
          <w:color w:val="auto"/>
        </w:rPr>
        <w:t>02)</w:t>
      </w:r>
      <w:r>
        <w:rPr>
          <w:sz w:val="20"/>
          <w:szCs w:val="20"/>
          <w:color w:val="auto"/>
        </w:rPr>
        <w:tab/>
      </w:r>
      <w:r>
        <w:rPr>
          <w:rFonts w:ascii="Times New Roman" w:cs="Times New Roman" w:eastAsia="Times New Roman" w:hAnsi="Times New Roman"/>
          <w:sz w:val="12"/>
          <w:szCs w:val="12"/>
          <w:color w:val="auto"/>
        </w:rPr>
        <w:t>Willard H. Dere, M.D.</w:t>
      </w:r>
    </w:p>
    <w:p>
      <w:pPr>
        <w:ind w:left="460"/>
        <w:spacing w:after="0"/>
        <w:tabs>
          <w:tab w:leader="none" w:pos="720" w:val="left"/>
        </w:tabs>
        <w:rPr>
          <w:sz w:val="20"/>
          <w:szCs w:val="20"/>
          <w:color w:val="auto"/>
        </w:rPr>
      </w:pPr>
      <w:r>
        <w:rPr>
          <w:rFonts w:ascii="Times New Roman" w:cs="Times New Roman" w:eastAsia="Times New Roman" w:hAnsi="Times New Roman"/>
          <w:sz w:val="13"/>
          <w:szCs w:val="13"/>
          <w:color w:val="auto"/>
        </w:rPr>
        <w:t>03)</w:t>
      </w:r>
      <w:r>
        <w:rPr>
          <w:sz w:val="20"/>
          <w:szCs w:val="20"/>
          <w:color w:val="auto"/>
        </w:rPr>
        <w:tab/>
      </w:r>
      <w:r>
        <w:rPr>
          <w:rFonts w:ascii="Times New Roman" w:cs="Times New Roman" w:eastAsia="Times New Roman" w:hAnsi="Times New Roman"/>
          <w:sz w:val="12"/>
          <w:szCs w:val="12"/>
          <w:color w:val="auto"/>
        </w:rPr>
        <w:t>Eric D. Shaff</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88"/>
              </w:rPr>
              <w:t>For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Withhold</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For All</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 withhold authority to vote for any individual</w:t>
            </w:r>
          </w:p>
        </w:tc>
      </w:tr>
      <w:tr>
        <w:trPr>
          <w:trHeight w:val="137"/>
        </w:trPr>
        <w:tc>
          <w:tcPr>
            <w:tcW w:w="26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6"/>
              </w:rPr>
              <w:t>All</w:t>
            </w: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6"/>
              </w:rPr>
              <w:t>All</w:t>
            </w: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w w:val="99"/>
              </w:rPr>
              <w:t>Except</w:t>
            </w:r>
          </w:p>
        </w:tc>
        <w:tc>
          <w:tcPr>
            <w:tcW w:w="31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3"/>
                <w:szCs w:val="13"/>
                <w:color w:val="auto"/>
              </w:rPr>
              <w:t>nominee(s), mark “For All Except” and write the</w:t>
            </w:r>
          </w:p>
        </w:tc>
      </w:tr>
      <w:tr>
        <w:trPr>
          <w:trHeight w:val="164"/>
        </w:trPr>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number(s) of the nominee(s) on the line below.</w:t>
            </w:r>
          </w:p>
        </w:tc>
      </w:tr>
      <w:tr>
        <w:trPr>
          <w:trHeight w:val="151"/>
        </w:trPr>
        <w:tc>
          <w:tcPr>
            <w:tcW w:w="260" w:type="dxa"/>
            <w:vAlign w:val="bottom"/>
          </w:tcPr>
          <w:p>
            <w:pPr>
              <w:jc w:val="center"/>
              <w:ind w:right="17"/>
              <w:spacing w:after="0" w:line="131" w:lineRule="exact"/>
              <w:rPr>
                <w:sz w:val="20"/>
                <w:szCs w:val="20"/>
                <w:color w:val="auto"/>
              </w:rPr>
            </w:pPr>
            <w:r>
              <w:rPr>
                <w:rFonts w:ascii="MS PGothic" w:cs="MS PGothic" w:eastAsia="MS PGothic" w:hAnsi="MS PGothic"/>
                <w:sz w:val="13"/>
                <w:szCs w:val="13"/>
                <w:color w:val="auto"/>
                <w:w w:val="76"/>
              </w:rPr>
              <w:t>☐</w:t>
            </w:r>
          </w:p>
        </w:tc>
        <w:tc>
          <w:tcPr>
            <w:tcW w:w="7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140" w:type="dxa"/>
            <w:vAlign w:val="bottom"/>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r>
    </w:tbl>
    <w:p>
      <w:pPr>
        <w:spacing w:after="0" w:line="979" w:lineRule="exact"/>
        <w:rPr>
          <w:sz w:val="20"/>
          <w:szCs w:val="20"/>
          <w:color w:val="auto"/>
        </w:rPr>
      </w:pPr>
    </w:p>
    <w:p>
      <w:pPr>
        <w:sectPr>
          <w:pgSz w:w="11900" w:h="16838" w:orient="portrait"/>
          <w:cols w:equalWidth="0" w:num="2">
            <w:col w:w="3720" w:space="720"/>
            <w:col w:w="6700"/>
          </w:cols>
          <w:pgMar w:left="320" w:top="455" w:right="439" w:bottom="1440" w:gutter="0" w:footer="0" w:header="0"/>
          <w:type w:val="continuous"/>
        </w:sectPr>
      </w:pPr>
    </w:p>
    <w:p>
      <w:pPr>
        <w:spacing w:after="0" w:line="337"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8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The Board of Directors recommends you vote FOR proposals 2 and 3.</w:t>
            </w:r>
          </w:p>
        </w:tc>
        <w:tc>
          <w:tcPr>
            <w:tcW w:w="760" w:type="dxa"/>
            <w:vAlign w:val="bottom"/>
          </w:tcPr>
          <w:p>
            <w:pPr>
              <w:jc w:val="center"/>
              <w:ind w:left="377"/>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Against</w:t>
            </w:r>
          </w:p>
        </w:tc>
        <w:tc>
          <w:tcPr>
            <w:tcW w:w="5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Abstain</w:t>
            </w:r>
          </w:p>
        </w:tc>
      </w:tr>
      <w:tr>
        <w:trPr>
          <w:trHeight w:val="271"/>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b w:val="1"/>
                <w:bCs w:val="1"/>
                <w:color w:val="auto"/>
              </w:rPr>
              <w:t>.</w:t>
            </w:r>
          </w:p>
        </w:tc>
        <w:tc>
          <w:tcPr>
            <w:tcW w:w="8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Ratify the appointment of PricewaterhouseCoopers LLP as our independent registered public accounting firm for the fiscal year ending December 31, 2022.</w:t>
            </w:r>
          </w:p>
        </w:tc>
        <w:tc>
          <w:tcPr>
            <w:tcW w:w="760" w:type="dxa"/>
            <w:vAlign w:val="bottom"/>
          </w:tcPr>
          <w:p>
            <w:pPr>
              <w:jc w:val="center"/>
              <w:ind w:left="37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3"/>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3"/>
                <w:szCs w:val="13"/>
                <w:b w:val="1"/>
                <w:bCs w:val="1"/>
                <w:color w:val="auto"/>
              </w:rPr>
              <w:t>.</w:t>
            </w:r>
          </w:p>
        </w:tc>
        <w:tc>
          <w:tcPr>
            <w:tcW w:w="8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Approval, on an advisory (non-binding) basis, of the compensation of our named executive officers.</w:t>
            </w:r>
          </w:p>
        </w:tc>
        <w:tc>
          <w:tcPr>
            <w:tcW w:w="760" w:type="dxa"/>
            <w:vAlign w:val="bottom"/>
          </w:tcPr>
          <w:p>
            <w:pPr>
              <w:jc w:val="center"/>
              <w:ind w:left="377"/>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To transact such other business as may properly come before the Annual Meeting or any continuation,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60" w:right="320"/>
        <w:spacing w:after="0"/>
        <w:rPr>
          <w:sz w:val="20"/>
          <w:szCs w:val="20"/>
          <w:color w:val="auto"/>
        </w:rPr>
      </w:pPr>
      <w:r>
        <w:rPr>
          <w:rFonts w:ascii="Times New Roman" w:cs="Times New Roman" w:eastAsia="Times New Roman" w:hAnsi="Times New Roman"/>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1" w:lineRule="exact"/>
        <w:rPr>
          <w:sz w:val="20"/>
          <w:szCs w:val="20"/>
          <w:color w:val="auto"/>
        </w:rPr>
      </w:pPr>
    </w:p>
    <w:p>
      <w:pPr>
        <w:ind w:left="740"/>
        <w:spacing w:after="0"/>
        <w:tabs>
          <w:tab w:leader="none" w:pos="3980" w:val="left"/>
          <w:tab w:leader="none" w:pos="6160" w:val="left"/>
          <w:tab w:leader="none" w:pos="9580" w:val="left"/>
        </w:tabs>
        <w:rPr>
          <w:sz w:val="20"/>
          <w:szCs w:val="20"/>
          <w:color w:val="auto"/>
        </w:rPr>
      </w:pPr>
      <w:r>
        <w:rPr>
          <w:rFonts w:ascii="Times New Roman" w:cs="Times New Roman" w:eastAsia="Times New Roman" w:hAnsi="Times New Roman"/>
          <w:sz w:val="13"/>
          <w:szCs w:val="13"/>
          <w:color w:val="auto"/>
        </w:rPr>
        <w:t>Signature [PLEASE SIGN WITHIN BOX]</w:t>
      </w:r>
      <w:r>
        <w:rPr>
          <w:sz w:val="20"/>
          <w:szCs w:val="20"/>
          <w:color w:val="auto"/>
        </w:rPr>
        <w:tab/>
      </w: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Signature (Joint Owners)</w:t>
      </w:r>
      <w:r>
        <w:rPr>
          <w:sz w:val="20"/>
          <w:szCs w:val="20"/>
          <w:color w:val="auto"/>
        </w:rPr>
        <w:tab/>
      </w:r>
      <w:r>
        <w:rPr>
          <w:rFonts w:ascii="Times New Roman" w:cs="Times New Roman" w:eastAsia="Times New Roman" w:hAnsi="Times New Roman"/>
          <w:sz w:val="12"/>
          <w:szCs w:val="12"/>
          <w:color w:val="auto"/>
        </w:rPr>
        <w:t>Date</w:t>
      </w:r>
    </w:p>
    <w:p>
      <w:pPr>
        <w:sectPr>
          <w:pgSz w:w="11900" w:h="16838" w:orient="portrait"/>
          <w:cols w:equalWidth="0" w:num="1">
            <w:col w:w="11140"/>
          </w:cols>
          <w:pgMar w:left="320" w:top="455"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 — —— — — — — — — — — — — — — — — — — — — — — — — — — — — — — — — — — — — — — — — — — — — — — —</w:t>
      </w:r>
    </w:p>
    <w:p>
      <w:pPr>
        <w:spacing w:after="0" w:line="92"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3"/>
          <w:szCs w:val="13"/>
          <w:color w:val="auto"/>
        </w:rPr>
        <w:t>D82348-P68775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41275</wp:posOffset>
            </wp:positionV>
            <wp:extent cx="7003415" cy="49028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3415" cy="4902835"/>
                    </a:xfrm>
                    <a:prstGeom prst="rect">
                      <a:avLst/>
                    </a:prstGeom>
                    <a:noFill/>
                  </pic:spPr>
                </pic:pic>
              </a:graphicData>
            </a:graphic>
          </wp:anchor>
        </w:drawing>
      </w:r>
    </w:p>
    <w:p>
      <w:pPr>
        <w:spacing w:after="0" w:line="3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SERES THERAPEUTICS, INC.</w:t>
      </w:r>
    </w:p>
    <w:p>
      <w:pPr>
        <w:spacing w:after="0" w:line="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jc w:val="center"/>
        <w:ind w:right="-339"/>
        <w:spacing w:after="0" w:line="230" w:lineRule="auto"/>
        <w:rPr>
          <w:sz w:val="20"/>
          <w:szCs w:val="20"/>
          <w:color w:val="auto"/>
        </w:rPr>
      </w:pPr>
      <w:r>
        <w:rPr>
          <w:rFonts w:ascii="Times New Roman" w:cs="Times New Roman" w:eastAsia="Times New Roman" w:hAnsi="Times New Roman"/>
          <w:sz w:val="22"/>
          <w:szCs w:val="22"/>
          <w:b w:val="1"/>
          <w:bCs w:val="1"/>
          <w:color w:val="auto"/>
        </w:rPr>
        <w:t>June 22, 2022 8:00 AM EDT</w:t>
      </w:r>
    </w:p>
    <w:p>
      <w:pPr>
        <w:spacing w:after="0" w:line="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w:t>
      </w:r>
    </w:p>
    <w:p>
      <w:pPr>
        <w:spacing w:after="0" w:line="200" w:lineRule="exact"/>
        <w:rPr>
          <w:sz w:val="20"/>
          <w:szCs w:val="20"/>
          <w:color w:val="auto"/>
        </w:rPr>
      </w:pPr>
    </w:p>
    <w:p>
      <w:pPr>
        <w:spacing w:after="0" w:line="315" w:lineRule="exact"/>
        <w:rPr>
          <w:sz w:val="20"/>
          <w:szCs w:val="20"/>
          <w:color w:val="auto"/>
        </w:rPr>
      </w:pPr>
    </w:p>
    <w:p>
      <w:pPr>
        <w:ind w:left="360" w:right="380"/>
        <w:spacing w:after="0" w:line="258" w:lineRule="auto"/>
        <w:rPr>
          <w:sz w:val="20"/>
          <w:szCs w:val="20"/>
          <w:color w:val="auto"/>
        </w:rPr>
      </w:pPr>
      <w:r>
        <w:rPr>
          <w:rFonts w:ascii="Times New Roman" w:cs="Times New Roman" w:eastAsia="Times New Roman" w:hAnsi="Times New Roman"/>
          <w:sz w:val="18"/>
          <w:szCs w:val="18"/>
          <w:color w:val="auto"/>
        </w:rPr>
        <w:t>The undersigned stockholder(s) hereby appoint(s) Eric D. Shaff and Thomas J. DesRosier, or either of them, as proxies, each with the power to appoint his substitute, and hereby authorize(s) them to represent and to vote, as designated on the reverse side of this proxy card, all of the shares of common stock of Seres Therapeutics, Inc. that the undersigned stockholder(s) would be entitled to vote if present at the Annual Meeting of Stockholders to be held live via webcast at www.virtualshareholdermeeting.com/MCRB2022 on June 22, 2022 at 8:00 AM EDT, and any adjournment, continuation, or postponement thereof.</w:t>
      </w:r>
    </w:p>
    <w:p>
      <w:pPr>
        <w:spacing w:after="0" w:line="200" w:lineRule="exact"/>
        <w:rPr>
          <w:sz w:val="20"/>
          <w:szCs w:val="20"/>
          <w:color w:val="auto"/>
        </w:rPr>
      </w:pPr>
    </w:p>
    <w:p>
      <w:pPr>
        <w:spacing w:after="0" w:line="226" w:lineRule="exact"/>
        <w:rPr>
          <w:sz w:val="20"/>
          <w:szCs w:val="20"/>
          <w:color w:val="auto"/>
        </w:rPr>
      </w:pPr>
    </w:p>
    <w:p>
      <w:pPr>
        <w:jc w:val="both"/>
        <w:ind w:left="360" w:right="340"/>
        <w:spacing w:after="0" w:line="261" w:lineRule="auto"/>
        <w:rPr>
          <w:sz w:val="20"/>
          <w:szCs w:val="20"/>
          <w:color w:val="auto"/>
        </w:rPr>
      </w:pPr>
      <w:r>
        <w:rPr>
          <w:rFonts w:ascii="Times New Roman" w:cs="Times New Roman" w:eastAsia="Times New Roman" w:hAnsi="Times New Roman"/>
          <w:sz w:val="18"/>
          <w:szCs w:val="18"/>
          <w:color w:val="auto"/>
        </w:rPr>
        <w:t>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w:t>
      </w:r>
    </w:p>
    <w:p>
      <w:pPr>
        <w:spacing w:after="0" w:line="200" w:lineRule="exact"/>
        <w:rPr>
          <w:sz w:val="20"/>
          <w:szCs w:val="20"/>
          <w:color w:val="auto"/>
        </w:rPr>
      </w:pPr>
    </w:p>
    <w:p>
      <w:pPr>
        <w:spacing w:after="0" w:line="219" w:lineRule="exact"/>
        <w:rPr>
          <w:sz w:val="20"/>
          <w:szCs w:val="20"/>
          <w:color w:val="auto"/>
        </w:rPr>
      </w:pPr>
    </w:p>
    <w:p>
      <w:pPr>
        <w:ind w:left="360" w:right="3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stockholder(s).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040"/>
      </w:cols>
      <w:pgMar w:left="320" w:top="45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bullet"/>
      <w:start w:val="1"/>
    </w:lvl>
  </w:abstractNum>
  <w:abstractNum w:abstractNumId="13">
    <w:nsid w:val="8138641"/>
    <w:multiLevelType w:val="hybridMultilevel"/>
    <w:lvl w:ilvl="0">
      <w:lvlJc w:val="left"/>
      <w:lvlText w:val="2"/>
      <w:numFmt w:val="bullet"/>
      <w:start w:val="1"/>
    </w:lvl>
  </w:abstractNum>
  <w:abstractNum w:abstractNumId="14">
    <w:nsid w:val="1E7FF521"/>
    <w:multiLevelType w:val="hybridMultilevel"/>
    <w:lvl w:ilvl="0">
      <w:lvlJc w:val="left"/>
      <w:lvlText w:val="3"/>
      <w:numFmt w:val="bullet"/>
      <w:start w:val="1"/>
    </w:lvl>
  </w:abstractNum>
  <w:abstractNum w:abstractNumId="15">
    <w:nsid w:val="7C3DBD3D"/>
    <w:multiLevelType w:val="hybridMultilevel"/>
    <w:lvl w:ilvl="0">
      <w:lvlJc w:val="left"/>
      <w:lvlText w:val="4"/>
      <w:numFmt w:val="bullet"/>
      <w:start w:val="1"/>
    </w:lvl>
  </w:abstractNum>
  <w:abstractNum w:abstractNumId="16">
    <w:nsid w:val="737B8DDC"/>
    <w:multiLevelType w:val="hybridMultilevel"/>
    <w:lvl w:ilvl="0">
      <w:lvlJc w:val="left"/>
      <w:lvlText w:val="5"/>
      <w:numFmt w:val="bullet"/>
      <w:start w:val="1"/>
    </w:lvl>
  </w:abstractNum>
  <w:abstractNum w:abstractNumId="17">
    <w:nsid w:val="6CEAF087"/>
    <w:multiLevelType w:val="hybridMultilevel"/>
    <w:lvl w:ilvl="0">
      <w:lvlJc w:val="left"/>
      <w:lvlText w:val="6"/>
      <w:numFmt w:val="bullet"/>
      <w:start w:val="1"/>
    </w:lvl>
  </w:abstractNum>
  <w:abstractNum w:abstractNumId="18">
    <w:nsid w:val="22221A70"/>
    <w:multiLevelType w:val="hybridMultilevel"/>
    <w:lvl w:ilvl="0">
      <w:lvlJc w:val="left"/>
      <w:lvlText w:val="7"/>
      <w:numFmt w:val="bullet"/>
      <w:start w:val="1"/>
    </w:lvl>
  </w:abstractNum>
  <w:abstractNum w:abstractNumId="19">
    <w:nsid w:val="4516DDE9"/>
    <w:multiLevelType w:val="hybridMultilevel"/>
    <w:lvl w:ilvl="0">
      <w:lvlJc w:val="left"/>
      <w:lvlText w:val="8"/>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lvl w:ilvl="1">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bullet"/>
      <w:start w:val="1"/>
    </w:lvl>
  </w:abstractNum>
  <w:abstractNum w:abstractNumId="35">
    <w:nsid w:val="153EA438"/>
    <w:multiLevelType w:val="hybridMultilevel"/>
    <w:lvl w:ilvl="0">
      <w:lvlJc w:val="left"/>
      <w:lvlText w:val="2"/>
      <w:numFmt w:val="bullet"/>
      <w:start w:val="1"/>
    </w:lvl>
  </w:abstractNum>
  <w:abstractNum w:abstractNumId="36">
    <w:nsid w:val="3855585C"/>
    <w:multiLevelType w:val="hybridMultilevel"/>
    <w:lvl w:ilvl="0">
      <w:lvlJc w:val="left"/>
      <w:lvlText w:val="3"/>
      <w:numFmt w:val="bullet"/>
      <w:start w:val="1"/>
    </w:lvl>
  </w:abstractNum>
  <w:abstractNum w:abstractNumId="37">
    <w:nsid w:val="70A64E2A"/>
    <w:multiLevelType w:val="hybridMultilevel"/>
    <w:lvl w:ilvl="0">
      <w:lvlJc w:val="left"/>
      <w:lvlText w:val="4"/>
      <w:numFmt w:val="bullet"/>
      <w:start w:val="1"/>
    </w:lvl>
  </w:abstractNum>
  <w:abstractNum w:abstractNumId="38">
    <w:nsid w:val="6A2342EC"/>
    <w:multiLevelType w:val="hybridMultilevel"/>
    <w:lvl w:ilvl="0">
      <w:lvlJc w:val="left"/>
      <w:lvlText w:val="5"/>
      <w:numFmt w:val="bullet"/>
      <w:start w:val="1"/>
    </w:lvl>
  </w:abstractNum>
  <w:abstractNum w:abstractNumId="39">
    <w:nsid w:val="2A487CB0"/>
    <w:multiLevelType w:val="hybridMultilevel"/>
    <w:lvl w:ilvl="0">
      <w:lvlJc w:val="left"/>
      <w:lvlText w:val="6"/>
      <w:numFmt w:val="bullet"/>
      <w:start w:val="1"/>
    </w:lvl>
  </w:abstractNum>
  <w:abstractNum w:abstractNumId="40">
    <w:nsid w:val="1D4ED43B"/>
    <w:multiLevelType w:val="hybridMultilevel"/>
    <w:lvl w:ilvl="0">
      <w:lvlJc w:val="left"/>
      <w:lvlText w:val="7"/>
      <w:numFmt w:val="bullet"/>
      <w:start w:val="1"/>
    </w:lvl>
  </w:abstractNum>
  <w:abstractNum w:abstractNumId="41">
    <w:nsid w:val="725A06FB"/>
    <w:multiLevelType w:val="hybridMultilevel"/>
    <w:lvl w:ilvl="0">
      <w:lvlJc w:val="left"/>
      <w:lvlText w:val="8"/>
      <w:numFmt w:val="bullet"/>
      <w:start w:val="1"/>
    </w:lvl>
  </w:abstractNum>
  <w:abstractNum w:abstractNumId="42">
    <w:nsid w:val="2CD89A32"/>
    <w:multiLevelType w:val="hybridMultilevel"/>
    <w:lvl w:ilvl="0">
      <w:lvlJc w:val="left"/>
      <w:lvlText w:val="9"/>
      <w:numFmt w:val="bullet"/>
      <w:start w:val="1"/>
    </w:lvl>
  </w:abstractNum>
  <w:abstractNum w:abstractNumId="43">
    <w:nsid w:val="57E4CCAF"/>
    <w:multiLevelType w:val="hybridMultilevel"/>
    <w:lvl w:ilvl="0">
      <w:lvlJc w:val="left"/>
      <w:lvlText w:val="%1"/>
      <w:numFmt w:val="decimal"/>
      <w:start w:val="10"/>
    </w:lvl>
  </w:abstractNum>
  <w:abstractNum w:abstractNumId="44">
    <w:nsid w:val="7A6D8D3C"/>
    <w:multiLevelType w:val="hybridMultilevel"/>
    <w:lvl w:ilvl="0">
      <w:lvlJc w:val="left"/>
      <w:lvlText w:val="(%1)"/>
      <w:numFmt w:val="lowerRoman"/>
      <w:start w:val="2"/>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2022-04-29T19:41:37Z</dcterms:created>
  <dcterms:modified xsi:type="dcterms:W3CDTF">2022-04-29T19:41:37Z</dcterms:modified>
</cp:coreProperties>
</file>