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Henn Matthew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SERES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 CAMBRIDGE PARK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Seres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MCRB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9.13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03/03/2036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 will vest as to 25% of the shares on March 2, 2027. The remainder of the shares will vest in 12 equal quarterly installments thereafter.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President and Chief Scientific Officer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Thomas J. DesRosier, attorney-in-fact for Matthew R. Henn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67321" TargetMode="External"/><Relationship Id="rId5" Type="http://schemas.openxmlformats.org/officeDocument/2006/relationships/hyperlink" Target="http://www.sec.gov/cgi-bin/browse-edgar?action=getcompany&amp;CIK=000160980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610</Words>
  <Characters>3299</Characters>
  <CharactersWithSpaces>3844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