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6"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206"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3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230" w:right="359" w:bottom="140" w:gutter="0" w:footer="0" w:header="0"/>
        </w:sectPr>
      </w:pPr>
    </w:p>
    <w:p>
      <w:pPr>
        <w:spacing w:after="0" w:line="200" w:lineRule="exact"/>
        <w:rPr>
          <w:sz w:val="24"/>
          <w:szCs w:val="24"/>
          <w:color w:val="auto"/>
        </w:rPr>
      </w:pPr>
    </w:p>
    <w:p>
      <w:pPr>
        <w:spacing w:after="0" w:line="348" w:lineRule="exact"/>
        <w:rPr>
          <w:sz w:val="24"/>
          <w:szCs w:val="24"/>
          <w:color w:val="auto"/>
        </w:rPr>
      </w:pPr>
    </w:p>
    <w:p>
      <w:pPr>
        <w:spacing w:after="0" w:line="207" w:lineRule="exact"/>
        <w:tabs>
          <w:tab w:leader="none" w:pos="27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a Party other than the Registrant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4" w:lineRule="exact"/>
        <w:rPr>
          <w:sz w:val="24"/>
          <w:szCs w:val="24"/>
          <w:color w:val="auto"/>
        </w:rPr>
      </w:pPr>
    </w:p>
    <w:p>
      <w:pPr>
        <w:sectPr>
          <w:pgSz w:w="11900" w:h="16838" w:orient="portrait"/>
          <w:cols w:equalWidth="0" w:num="2">
            <w:col w:w="5720" w:space="120"/>
            <w:col w:w="5460"/>
          </w:cols>
          <w:pgMar w:left="240" w:top="230" w:right="359" w:bottom="140" w:gutter="0" w:footer="0" w:header="0"/>
          <w:type w:val="continuous"/>
        </w:sect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SERES THERAPEUTICS,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6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66"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38" w:lineRule="exact"/>
        <w:rPr>
          <w:rFonts w:ascii="MS PGothic" w:cs="MS PGothic" w:eastAsia="MS PGothic" w:hAnsi="MS PGothic"/>
          <w:sz w:val="18"/>
          <w:szCs w:val="18"/>
          <w:color w:val="auto"/>
        </w:rPr>
      </w:pPr>
    </w:p>
    <w:p>
      <w:pPr>
        <w:ind w:left="800" w:hanging="333"/>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00" w:hanging="333"/>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00" w:hanging="333"/>
        <w:spacing w:after="0" w:line="277"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800" w:hanging="333"/>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00" w:hanging="333"/>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right="32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2" w:lineRule="exact"/>
        <w:rPr>
          <w:rFonts w:ascii="MS PGothic" w:cs="MS PGothic" w:eastAsia="MS PGothic" w:hAnsi="MS PGothic"/>
          <w:sz w:val="17"/>
          <w:szCs w:val="17"/>
          <w:color w:val="auto"/>
        </w:rPr>
      </w:pPr>
    </w:p>
    <w:p>
      <w:pPr>
        <w:ind w:left="800" w:hanging="333"/>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-2848610</wp:posOffset>
            </wp:positionV>
            <wp:extent cx="6749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-2402840</wp:posOffset>
            </wp:positionV>
            <wp:extent cx="6749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-1819910</wp:posOffset>
            </wp:positionV>
            <wp:extent cx="6749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-1373505</wp:posOffset>
            </wp:positionV>
            <wp:extent cx="67494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-927735</wp:posOffset>
            </wp:positionV>
            <wp:extent cx="6749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306705</wp:posOffset>
            </wp:positionV>
            <wp:extent cx="6749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ectPr>
          <w:pgSz w:w="11900" w:h="16838" w:orient="portrait"/>
          <w:cols w:equalWidth="0" w:num="1">
            <w:col w:w="11300"/>
          </w:cols>
          <w:pgMar w:left="240" w:top="230" w:right="359" w:bottom="140" w:gutter="0" w:footer="0" w:header="0"/>
          <w:type w:val="continuous"/>
        </w:sectPr>
      </w:pPr>
    </w:p>
    <w:bookmarkStart w:id="1" w:name="page2"/>
    <w:bookmarkEnd w:id="1"/>
    <w:p>
      <w:pPr>
        <w:ind w:left="333" w:hanging="333"/>
        <w:spacing w:after="0"/>
        <w:tabs>
          <w:tab w:leader="none" w:pos="333"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333" w:hanging="333"/>
        <w:spacing w:after="0"/>
        <w:tabs>
          <w:tab w:leader="none" w:pos="333"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333" w:hanging="333"/>
        <w:spacing w:after="0"/>
        <w:tabs>
          <w:tab w:leader="none" w:pos="333"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-584835</wp:posOffset>
            </wp:positionV>
            <wp:extent cx="67494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-139065</wp:posOffset>
            </wp:positionV>
            <wp:extent cx="67494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306705</wp:posOffset>
            </wp:positionV>
            <wp:extent cx="67494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409575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452120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52"/>
          </w:cols>
          <w:pgMar w:left="707"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857250</wp:posOffset>
            </wp:positionV>
            <wp:extent cx="6997700" cy="4913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491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Seres Therapeutics, Inc.</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65"/>
          <w:szCs w:val="65"/>
          <w:color w:val="auto"/>
        </w:rPr>
        <w:t>PROXY</w:t>
      </w:r>
    </w:p>
    <w:p>
      <w:pPr>
        <w:ind w:left="840"/>
        <w:spacing w:after="0"/>
        <w:rPr>
          <w:sz w:val="20"/>
          <w:szCs w:val="20"/>
          <w:color w:val="auto"/>
        </w:rPr>
      </w:pPr>
      <w:r>
        <w:rPr>
          <w:rFonts w:ascii="Arial" w:cs="Arial" w:eastAsia="Arial" w:hAnsi="Arial"/>
          <w:sz w:val="65"/>
          <w:szCs w:val="65"/>
          <w:color w:val="auto"/>
        </w:rPr>
        <w:t>STATEMENT</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53"/>
          <w:szCs w:val="53"/>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June 26, 2018</w:t>
      </w:r>
    </w:p>
    <w:p>
      <w:pPr>
        <w:ind w:left="820"/>
        <w:spacing w:after="0"/>
        <w:rPr>
          <w:sz w:val="20"/>
          <w:szCs w:val="20"/>
          <w:color w:val="auto"/>
        </w:rPr>
      </w:pPr>
      <w:r>
        <w:rPr>
          <w:rFonts w:ascii="Arial" w:cs="Arial" w:eastAsia="Arial" w:hAnsi="Arial"/>
          <w:sz w:val="14"/>
          <w:szCs w:val="14"/>
          <w:color w:val="auto"/>
        </w:rPr>
        <w:t>8:00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18415</wp:posOffset>
            </wp:positionV>
            <wp:extent cx="6997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SERES THERAPEUTICS, INC.</w:t>
      </w:r>
    </w:p>
    <w:p>
      <w:pPr>
        <w:ind w:left="200"/>
        <w:spacing w:after="0" w:line="226" w:lineRule="auto"/>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26670</wp:posOffset>
            </wp:positionV>
            <wp:extent cx="6997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30, 2018</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104" w:lineRule="exact"/>
        <w:rPr>
          <w:sz w:val="20"/>
          <w:szCs w:val="20"/>
          <w:color w:val="auto"/>
        </w:rPr>
      </w:pPr>
    </w:p>
    <w:p>
      <w:pPr>
        <w:ind w:left="200" w:right="460"/>
        <w:spacing w:after="0" w:line="246" w:lineRule="auto"/>
        <w:rPr>
          <w:sz w:val="20"/>
          <w:szCs w:val="20"/>
          <w:color w:val="auto"/>
        </w:rPr>
      </w:pPr>
      <w:r>
        <w:rPr>
          <w:rFonts w:ascii="Arial" w:cs="Arial" w:eastAsia="Arial" w:hAnsi="Arial"/>
          <w:sz w:val="18"/>
          <w:szCs w:val="18"/>
          <w:color w:val="auto"/>
        </w:rPr>
        <w:t>You are cordially invited to attend the 2018 Annual Meeting of Stockholders of Seres Therapeutics, Inc. at 8:00 a.m. Eastern time, on Tuesday, June 26, 2018, at our principal executive offices located at 200 Sidney Street, Cambridge Massachusetts 02139.</w:t>
      </w:r>
    </w:p>
    <w:p>
      <w:pPr>
        <w:spacing w:after="0" w:line="89"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If you would like to attend the Annual Meeting, you must call 1-617-945-9626 no later than 5:00 p.m. Eastern time on June 22, 2018 to have your name placed on the attendance list. Please see the section called “Who Can Attend the 2018 Annual Meeting of Stockholders?” on page 3 of the proxy statement for more information about how to attend the meeting in person.</w:t>
      </w:r>
    </w:p>
    <w:p>
      <w:pPr>
        <w:spacing w:after="0" w:line="9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in person, even if you have previously submitted your proxy.</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Thank you for your support.</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1646555" cy="591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655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Roger J. Pomerantz, M.D.</w:t>
      </w:r>
    </w:p>
    <w:p>
      <w:pPr>
        <w:ind w:left="200"/>
        <w:spacing w:after="0"/>
        <w:rPr>
          <w:sz w:val="20"/>
          <w:szCs w:val="20"/>
          <w:color w:val="auto"/>
        </w:rPr>
      </w:pPr>
      <w:r>
        <w:rPr>
          <w:rFonts w:ascii="Arial" w:cs="Arial" w:eastAsia="Arial" w:hAnsi="Arial"/>
          <w:sz w:val="18"/>
          <w:szCs w:val="18"/>
          <w:color w:val="auto"/>
        </w:rPr>
        <w:t>President, Chief Executive Officer and Chairman of the Board</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0000EE"/>
        </w:rPr>
        <w:t>Proxy Statement</w:t>
      </w:r>
    </w:p>
    <w:p>
      <w:pPr>
        <w:spacing w:after="0" w:line="13" w:lineRule="exact"/>
        <w:rPr>
          <w:sz w:val="20"/>
          <w:szCs w:val="20"/>
          <w:color w:val="auto"/>
        </w:rPr>
      </w:pPr>
    </w:p>
    <w:p>
      <w:pPr>
        <w:ind w:left="7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Proposals</w:t>
        </w:r>
      </w:hyperlink>
    </w:p>
    <w:p>
      <w:pPr>
        <w:ind w:left="780"/>
        <w:spacing w:after="0" w:line="234"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Recommendations of the Board</w:t>
        </w:r>
      </w:hyperlink>
    </w:p>
    <w:p>
      <w:pPr>
        <w:spacing w:after="0" w:line="1" w:lineRule="exact"/>
        <w:rPr>
          <w:sz w:val="20"/>
          <w:szCs w:val="20"/>
          <w:color w:val="auto"/>
        </w:rPr>
      </w:pPr>
    </w:p>
    <w:p>
      <w:pPr>
        <w:ind w:left="7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Information About This Proxy Statement</w:t>
        </w:r>
      </w:hyperlink>
    </w:p>
    <w:p>
      <w:pPr>
        <w:spacing w:after="0" w:line="190" w:lineRule="exact"/>
        <w:rPr>
          <w:sz w:val="20"/>
          <w:szCs w:val="20"/>
          <w:color w:val="auto"/>
        </w:rPr>
      </w:pPr>
    </w:p>
    <w:p>
      <w:pPr>
        <w:ind w:left="200"/>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Questions and Answers About the 2018 Annual Meeting of Stockholders</w:t>
        </w:r>
      </w:hyperlink>
    </w:p>
    <w:p>
      <w:pPr>
        <w:spacing w:after="0" w:line="212" w:lineRule="exact"/>
        <w:rPr>
          <w:sz w:val="20"/>
          <w:szCs w:val="20"/>
          <w:color w:val="auto"/>
        </w:rPr>
      </w:pPr>
    </w:p>
    <w:p>
      <w:pPr>
        <w:ind w:left="200"/>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Proposals to be Voted On</w:t>
        </w:r>
      </w:hyperlink>
    </w:p>
    <w:p>
      <w:pPr>
        <w:spacing w:after="0" w:line="13" w:lineRule="exact"/>
        <w:rPr>
          <w:sz w:val="20"/>
          <w:szCs w:val="20"/>
          <w:color w:val="auto"/>
        </w:rPr>
      </w:pPr>
    </w:p>
    <w:p>
      <w:pPr>
        <w:ind w:left="780"/>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 xml:space="preserve">Proposal 1: </w:t>
        </w:r>
        <w:r>
          <w:rPr>
            <w:rFonts w:ascii="Arial" w:cs="Arial" w:eastAsia="Arial" w:hAnsi="Arial"/>
            <w:sz w:val="18"/>
            <w:szCs w:val="18"/>
            <w:u w:val="single" w:color="auto"/>
            <w:color w:val="0000EE"/>
          </w:rPr>
          <w:t>Election of Directors</w:t>
        </w:r>
      </w:hyperlink>
    </w:p>
    <w:p>
      <w:pPr>
        <w:ind w:left="780"/>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 xml:space="preserve">Proposal 2:  </w:t>
        </w:r>
        <w:r>
          <w:rPr>
            <w:rFonts w:ascii="Arial" w:cs="Arial" w:eastAsia="Arial" w:hAnsi="Arial"/>
            <w:sz w:val="18"/>
            <w:szCs w:val="18"/>
            <w:u w:val="single" w:color="auto"/>
            <w:color w:val="0000EE"/>
          </w:rPr>
          <w:t>Ratification of Appointment of Independent Registered Public Accounting Firm</w:t>
        </w:r>
      </w:hyperlink>
    </w:p>
    <w:p>
      <w:pPr>
        <w:spacing w:after="0" w:line="190" w:lineRule="exact"/>
        <w:rPr>
          <w:sz w:val="20"/>
          <w:szCs w:val="20"/>
          <w:color w:val="auto"/>
        </w:rPr>
      </w:pPr>
    </w:p>
    <w:p>
      <w:pPr>
        <w:ind w:left="200"/>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Report of the Audit Committee of the Board of Directors</w:t>
        </w:r>
      </w:hyperlink>
    </w:p>
    <w:p>
      <w:pPr>
        <w:spacing w:after="0" w:line="212" w:lineRule="exact"/>
        <w:rPr>
          <w:sz w:val="20"/>
          <w:szCs w:val="20"/>
          <w:color w:val="auto"/>
        </w:rPr>
      </w:pPr>
    </w:p>
    <w:p>
      <w:pPr>
        <w:ind w:left="200"/>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Independent Registered Public Accounting Firm Fees and Other Matters</w:t>
        </w:r>
      </w:hyperlink>
    </w:p>
    <w:p>
      <w:pPr>
        <w:spacing w:after="0" w:line="212" w:lineRule="exact"/>
        <w:rPr>
          <w:sz w:val="20"/>
          <w:szCs w:val="20"/>
          <w:color w:val="auto"/>
        </w:rPr>
      </w:pPr>
    </w:p>
    <w:p>
      <w:pPr>
        <w:ind w:left="200"/>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Executive Officers</w:t>
        </w:r>
      </w:hyperlink>
    </w:p>
    <w:p>
      <w:pPr>
        <w:spacing w:after="0" w:line="212" w:lineRule="exact"/>
        <w:rPr>
          <w:sz w:val="20"/>
          <w:szCs w:val="20"/>
          <w:color w:val="auto"/>
        </w:rPr>
      </w:pPr>
    </w:p>
    <w:p>
      <w:pPr>
        <w:ind w:left="200"/>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Corporate Governance</w:t>
        </w:r>
      </w:hyperlink>
    </w:p>
    <w:p>
      <w:pPr>
        <w:spacing w:after="0" w:line="13" w:lineRule="exact"/>
        <w:rPr>
          <w:sz w:val="20"/>
          <w:szCs w:val="20"/>
          <w:color w:val="auto"/>
        </w:rPr>
      </w:pPr>
    </w:p>
    <w:p>
      <w:pPr>
        <w:ind w:left="7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General</w:t>
        </w:r>
      </w:hyperlink>
    </w:p>
    <w:p>
      <w:pPr>
        <w:ind w:left="780"/>
        <w:spacing w:after="0" w:line="234"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Board Composition</w:t>
        </w:r>
      </w:hyperlink>
    </w:p>
    <w:p>
      <w:pPr>
        <w:ind w:left="780"/>
        <w:spacing w:after="0" w:line="235"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Director Independence</w:t>
        </w:r>
      </w:hyperlink>
    </w:p>
    <w:p>
      <w:pPr>
        <w:ind w:left="780"/>
        <w:spacing w:after="0" w:line="235"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Director Candidates</w:t>
        </w:r>
      </w:hyperlink>
    </w:p>
    <w:p>
      <w:pPr>
        <w:ind w:left="780"/>
        <w:spacing w:after="0" w:line="235"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Communications from Stockholders</w:t>
        </w:r>
      </w:hyperlink>
    </w:p>
    <w:p>
      <w:pPr>
        <w:ind w:left="780"/>
        <w:spacing w:after="0" w:line="235"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Board Leadership Structure and Role in Risk Oversight</w:t>
        </w:r>
      </w:hyperlink>
    </w:p>
    <w:p>
      <w:pPr>
        <w:ind w:left="780"/>
        <w:spacing w:after="0" w:line="235"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Annual Board Evaluation</w:t>
        </w:r>
      </w:hyperlink>
    </w:p>
    <w:p>
      <w:pPr>
        <w:ind w:left="780"/>
        <w:spacing w:after="0" w:line="235"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Code of Ethics</w:t>
        </w:r>
      </w:hyperlink>
    </w:p>
    <w:p>
      <w:pPr>
        <w:ind w:left="7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Attendance by Members of the Board of Directors at Meetings</w:t>
        </w:r>
      </w:hyperlink>
    </w:p>
    <w:p>
      <w:pPr>
        <w:spacing w:after="0" w:line="190" w:lineRule="exact"/>
        <w:rPr>
          <w:sz w:val="20"/>
          <w:szCs w:val="20"/>
          <w:color w:val="auto"/>
        </w:rPr>
      </w:pPr>
    </w:p>
    <w:p>
      <w:pPr>
        <w:ind w:left="20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Committees of the Board</w:t>
        </w:r>
      </w:hyperlink>
    </w:p>
    <w:p>
      <w:pPr>
        <w:spacing w:after="0" w:line="13" w:lineRule="exact"/>
        <w:rPr>
          <w:sz w:val="20"/>
          <w:szCs w:val="20"/>
          <w:color w:val="auto"/>
        </w:rPr>
      </w:pPr>
    </w:p>
    <w:p>
      <w:pPr>
        <w:ind w:left="7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Audit Committee</w:t>
        </w:r>
      </w:hyperlink>
    </w:p>
    <w:p>
      <w:pPr>
        <w:ind w:left="780"/>
        <w:spacing w:after="0" w:line="234" w:lineRule="auto"/>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Compensation Committee</w:t>
        </w:r>
      </w:hyperlink>
    </w:p>
    <w:p>
      <w:pPr>
        <w:spacing w:after="0" w:line="1" w:lineRule="exact"/>
        <w:rPr>
          <w:sz w:val="20"/>
          <w:szCs w:val="20"/>
          <w:color w:val="auto"/>
        </w:rPr>
      </w:pPr>
    </w:p>
    <w:p>
      <w:pPr>
        <w:ind w:left="7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Nominating and Corporate Governance Committee</w:t>
        </w:r>
      </w:hyperlink>
    </w:p>
    <w:p>
      <w:pPr>
        <w:spacing w:after="0" w:line="190" w:lineRule="exact"/>
        <w:rPr>
          <w:sz w:val="20"/>
          <w:szCs w:val="20"/>
          <w:color w:val="auto"/>
        </w:rPr>
      </w:pPr>
    </w:p>
    <w:p>
      <w:pPr>
        <w:ind w:left="20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Executive and Director Compensation</w:t>
        </w:r>
      </w:hyperlink>
    </w:p>
    <w:p>
      <w:pPr>
        <w:spacing w:after="0" w:line="13" w:lineRule="exact"/>
        <w:rPr>
          <w:sz w:val="20"/>
          <w:szCs w:val="20"/>
          <w:color w:val="auto"/>
        </w:rPr>
      </w:pPr>
    </w:p>
    <w:p>
      <w:pPr>
        <w:ind w:left="7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Executive Compensation</w:t>
        </w:r>
      </w:hyperlink>
    </w:p>
    <w:p>
      <w:pPr>
        <w:ind w:left="780"/>
        <w:spacing w:after="0" w:line="234" w:lineRule="auto"/>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2017 Summary Compensation Table</w:t>
        </w:r>
      </w:hyperlink>
    </w:p>
    <w:p>
      <w:pPr>
        <w:ind w:left="780"/>
        <w:spacing w:after="0" w:line="235"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Narrative Disclosure to Compensation Table</w:t>
        </w:r>
      </w:hyperlink>
    </w:p>
    <w:p>
      <w:pPr>
        <w:ind w:left="780"/>
        <w:spacing w:after="0" w:line="235"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Outstanding Equity Awards at 2017 Fiscal Year-End</w:t>
        </w:r>
      </w:hyperlink>
    </w:p>
    <w:p>
      <w:pPr>
        <w:ind w:left="780"/>
        <w:spacing w:after="0" w:line="235"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Employment Agreements</w:t>
        </w:r>
      </w:hyperlink>
    </w:p>
    <w:p>
      <w:pPr>
        <w:ind w:left="780"/>
        <w:spacing w:after="0" w:line="235" w:lineRule="auto"/>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Director Compensation</w:t>
        </w:r>
      </w:hyperlink>
    </w:p>
    <w:p>
      <w:pPr>
        <w:ind w:left="780"/>
        <w:spacing w:after="0" w:line="235"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2017 Director Compensation Table</w:t>
        </w:r>
      </w:hyperlink>
    </w:p>
    <w:p>
      <w:pPr>
        <w:ind w:left="7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Equity Compensation Plan Information</w:t>
        </w:r>
      </w:hyperlink>
    </w:p>
    <w:p>
      <w:pPr>
        <w:spacing w:after="0" w:line="190" w:lineRule="exact"/>
        <w:rPr>
          <w:sz w:val="20"/>
          <w:szCs w:val="20"/>
          <w:color w:val="auto"/>
        </w:rPr>
      </w:pPr>
    </w:p>
    <w:p>
      <w:pPr>
        <w:ind w:left="200"/>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Security Ownership of Certain Beneficial Owners and Management</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12</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13</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15</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17</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17</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17</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17</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17</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18</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19</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20</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20</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20</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21</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21</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22</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22</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24</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24</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25</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26</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28</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28</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29</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30</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31</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32</w:t>
      </w:r>
    </w:p>
    <w:p>
      <w:pPr>
        <w:sectPr>
          <w:pgSz w:w="11900" w:h="16838" w:orient="portrait"/>
          <w:cols w:equalWidth="0" w:num="2">
            <w:col w:w="10320" w:space="720"/>
            <w:col w:w="14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420370</wp:posOffset>
            </wp:positionV>
            <wp:extent cx="699770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Table of Contents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18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Certain Relationships</w:t>
              </w:r>
            </w:hyperlink>
          </w:p>
        </w:tc>
        <w:tc>
          <w:tcPr>
            <w:tcW w:w="3420" w:type="dxa"/>
            <w:vAlign w:val="bottom"/>
            <w:gridSpan w:val="5"/>
          </w:tcPr>
          <w:p>
            <w:pPr>
              <w:spacing w:after="0"/>
              <w:rPr>
                <w:sz w:val="19"/>
                <w:szCs w:val="19"/>
                <w:color w:val="auto"/>
              </w:rPr>
            </w:pPr>
          </w:p>
        </w:tc>
        <w:tc>
          <w:tcPr>
            <w:tcW w:w="57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99"/>
        </w:trPr>
        <w:tc>
          <w:tcPr>
            <w:tcW w:w="498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Section 16(a) Beneficial Ownership Reporting Compliance</w:t>
              </w:r>
            </w:hyperlink>
          </w:p>
        </w:tc>
        <w:tc>
          <w:tcPr>
            <w:tcW w:w="300" w:type="dxa"/>
            <w:vAlign w:val="bottom"/>
          </w:tcPr>
          <w:p>
            <w:pPr>
              <w:spacing w:after="0"/>
              <w:rPr>
                <w:sz w:val="24"/>
                <w:szCs w:val="24"/>
                <w:color w:val="auto"/>
              </w:rPr>
            </w:pPr>
          </w:p>
        </w:tc>
        <w:tc>
          <w:tcPr>
            <w:tcW w:w="57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99"/>
        </w:trPr>
        <w:tc>
          <w:tcPr>
            <w:tcW w:w="528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Compensation Committee Interlocks and Insider Participation</w:t>
              </w:r>
            </w:hyperlink>
          </w:p>
        </w:tc>
        <w:tc>
          <w:tcPr>
            <w:tcW w:w="57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99"/>
        </w:trPr>
        <w:tc>
          <w:tcPr>
            <w:tcW w:w="212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Stockholders’ Proposals</w:t>
              </w:r>
            </w:hyperlink>
          </w:p>
        </w:tc>
        <w:tc>
          <w:tcPr>
            <w:tcW w:w="3160" w:type="dxa"/>
            <w:vAlign w:val="bottom"/>
            <w:gridSpan w:val="3"/>
          </w:tcPr>
          <w:p>
            <w:pPr>
              <w:spacing w:after="0"/>
              <w:rPr>
                <w:sz w:val="24"/>
                <w:szCs w:val="24"/>
                <w:color w:val="auto"/>
              </w:rPr>
            </w:pPr>
          </w:p>
        </w:tc>
        <w:tc>
          <w:tcPr>
            <w:tcW w:w="57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99"/>
        </w:trPr>
        <w:tc>
          <w:tcPr>
            <w:tcW w:w="1180" w:type="dxa"/>
            <w:vAlign w:val="bottom"/>
            <w:tcBorders>
              <w:bottom w:val="single" w:sz="8" w:color="0000EE"/>
            </w:tcBorders>
          </w:tcPr>
          <w:p>
            <w:pPr>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Other Matters</w:t>
              </w:r>
            </w:hyperlink>
          </w:p>
        </w:tc>
        <w:tc>
          <w:tcPr>
            <w:tcW w:w="4100" w:type="dxa"/>
            <w:vAlign w:val="bottom"/>
            <w:gridSpan w:val="6"/>
          </w:tcPr>
          <w:p>
            <w:pPr>
              <w:spacing w:after="0"/>
              <w:rPr>
                <w:sz w:val="24"/>
                <w:szCs w:val="24"/>
                <w:color w:val="auto"/>
              </w:rPr>
            </w:pPr>
          </w:p>
        </w:tc>
        <w:tc>
          <w:tcPr>
            <w:tcW w:w="57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99"/>
        </w:trPr>
        <w:tc>
          <w:tcPr>
            <w:tcW w:w="190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45">
              <w:r>
                <w:rPr>
                  <w:rFonts w:ascii="Arial" w:cs="Arial" w:eastAsia="Arial" w:hAnsi="Arial"/>
                  <w:sz w:val="18"/>
                  <w:szCs w:val="18"/>
                  <w:b w:val="1"/>
                  <w:bCs w:val="1"/>
                  <w:color w:val="0000EE"/>
                  <w:w w:val="99"/>
                </w:rPr>
                <w:t>Solicitation of Proxies</w:t>
              </w:r>
            </w:hyperlink>
          </w:p>
        </w:tc>
        <w:tc>
          <w:tcPr>
            <w:tcW w:w="3380" w:type="dxa"/>
            <w:vAlign w:val="bottom"/>
            <w:gridSpan w:val="4"/>
          </w:tcPr>
          <w:p>
            <w:pPr>
              <w:spacing w:after="0"/>
              <w:rPr>
                <w:sz w:val="24"/>
                <w:szCs w:val="24"/>
                <w:color w:val="auto"/>
              </w:rPr>
            </w:pPr>
          </w:p>
        </w:tc>
        <w:tc>
          <w:tcPr>
            <w:tcW w:w="57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99"/>
        </w:trPr>
        <w:tc>
          <w:tcPr>
            <w:tcW w:w="4720" w:type="dxa"/>
            <w:vAlign w:val="bottom"/>
            <w:tcBorders>
              <w:bottom w:val="single" w:sz="8" w:color="0000EE"/>
            </w:tcBorders>
            <w:gridSpan w:val="5"/>
          </w:tcPr>
          <w:p>
            <w:pPr>
              <w:spacing w:after="0"/>
              <w:rPr>
                <w:rFonts w:ascii="Arial" w:cs="Arial" w:eastAsia="Arial" w:hAnsi="Arial"/>
                <w:sz w:val="18"/>
                <w:szCs w:val="18"/>
                <w:b w:val="1"/>
                <w:bCs w:val="1"/>
                <w:color w:val="0000EE"/>
                <w:w w:val="99"/>
              </w:rPr>
            </w:pPr>
            <w:hyperlink w:anchor="page46">
              <w:r>
                <w:rPr>
                  <w:rFonts w:ascii="Arial" w:cs="Arial" w:eastAsia="Arial" w:hAnsi="Arial"/>
                  <w:sz w:val="18"/>
                  <w:szCs w:val="18"/>
                  <w:b w:val="1"/>
                  <w:bCs w:val="1"/>
                  <w:color w:val="0000EE"/>
                  <w:w w:val="99"/>
                </w:rPr>
                <w:t>Seres Therapeutics, Inc.’s Annual Report on Form 10-K</w:t>
              </w:r>
            </w:hyperlink>
          </w:p>
        </w:tc>
        <w:tc>
          <w:tcPr>
            <w:tcW w:w="560" w:type="dxa"/>
            <w:vAlign w:val="bottom"/>
            <w:gridSpan w:val="2"/>
          </w:tcPr>
          <w:p>
            <w:pPr>
              <w:spacing w:after="0"/>
              <w:rPr>
                <w:sz w:val="24"/>
                <w:szCs w:val="24"/>
                <w:color w:val="auto"/>
              </w:rPr>
            </w:pPr>
          </w:p>
        </w:tc>
        <w:tc>
          <w:tcPr>
            <w:tcW w:w="5700" w:type="dxa"/>
            <w:vAlign w:val="bottom"/>
          </w:tcPr>
          <w:p>
            <w:pPr>
              <w:jc w:val="right"/>
              <w:spacing w:after="0"/>
              <w:rPr>
                <w:sz w:val="20"/>
                <w:szCs w:val="20"/>
                <w:color w:val="auto"/>
              </w:rPr>
            </w:pPr>
            <w:r>
              <w:rPr>
                <w:rFonts w:ascii="Arial" w:cs="Arial" w:eastAsia="Arial" w:hAnsi="Arial"/>
                <w:sz w:val="14"/>
                <w:szCs w:val="14"/>
                <w:color w:val="auto"/>
              </w:rPr>
              <w:t>39</w:t>
            </w:r>
          </w:p>
        </w:tc>
      </w:tr>
    </w:tbl>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Be Held Tuesday, June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SERES THERAPEUTICS, INC.</w:t>
      </w:r>
    </w:p>
    <w:p>
      <w:pPr>
        <w:ind w:left="200"/>
        <w:spacing w:after="0" w:line="226" w:lineRule="auto"/>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26670</wp:posOffset>
            </wp:positionV>
            <wp:extent cx="6997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5"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The Annual Meeting of Stockholders (the “Annual Meeting”) of Seres Therapeutics, Inc., a Delaware corporation (the “Company”), will be held at 8:00 a.m. Eastern time on Tuesday, June 26, 2018, at the Company’s principal executive offices located at 200 Sidney Street, Cambridge, Massachusetts 02139, for the following purposes:</w:t>
      </w:r>
    </w:p>
    <w:p>
      <w:pPr>
        <w:spacing w:after="0" w:line="68" w:lineRule="exact"/>
        <w:rPr>
          <w:sz w:val="20"/>
          <w:szCs w:val="20"/>
          <w:color w:val="auto"/>
        </w:rPr>
      </w:pPr>
    </w:p>
    <w:p>
      <w:pPr>
        <w:ind w:left="540" w:right="80"/>
        <w:spacing w:after="0" w:line="234" w:lineRule="auto"/>
        <w:rPr>
          <w:sz w:val="20"/>
          <w:szCs w:val="20"/>
          <w:color w:val="auto"/>
        </w:rPr>
      </w:pPr>
      <w:r>
        <w:rPr>
          <w:rFonts w:ascii="Arial" w:cs="Arial" w:eastAsia="Arial" w:hAnsi="Arial"/>
          <w:sz w:val="18"/>
          <w:szCs w:val="18"/>
          <w:color w:val="auto"/>
        </w:rPr>
        <w:t>To elect Noubar B. Afeyan, Ph.D., Grégory Behar, and Kurt C. Graves as Class III Directors to serve until the 2021 Annual Meeting of Stockholders, and until their respective successors shall have been duly elected and qualified;</w:t>
      </w:r>
    </w:p>
    <w:p>
      <w:pPr>
        <w:spacing w:after="0" w:line="2" w:lineRule="exact"/>
        <w:rPr>
          <w:sz w:val="20"/>
          <w:szCs w:val="20"/>
          <w:color w:val="auto"/>
        </w:rPr>
      </w:pPr>
    </w:p>
    <w:p>
      <w:pPr>
        <w:ind w:left="540" w:right="400"/>
        <w:spacing w:after="0" w:line="234" w:lineRule="auto"/>
        <w:rPr>
          <w:sz w:val="20"/>
          <w:szCs w:val="20"/>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2018;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-177800</wp:posOffset>
            </wp:positionV>
            <wp:extent cx="10287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540" w:right="2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-191135</wp:posOffset>
            </wp:positionV>
            <wp:extent cx="10287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Holders of record of our Common Stock as of the close of business on April 27, 2018 are entitled to notice of and to vote at the Annual Meeting, or any continuation, postponement or adjournment of the Annual Meeting. A complete list of these stockholders will be open to the examination of any stockholder at the Company’s principal executive offices located at 200 Sidney Street, Cambridge, Massachusetts 02139 for a period of ten days prior to the Annual Meeting and on the day of the Annual Meeting. The Annual Meeting may be continued or adjourned from time to time without notice other than by announcement at the Annual Meeting.</w:t>
      </w:r>
    </w:p>
    <w:p>
      <w:pPr>
        <w:spacing w:after="0" w:line="46" w:lineRule="exact"/>
        <w:rPr>
          <w:sz w:val="20"/>
          <w:szCs w:val="20"/>
          <w:color w:val="auto"/>
        </w:rPr>
      </w:pPr>
    </w:p>
    <w:p>
      <w:pPr>
        <w:ind w:left="200"/>
        <w:spacing w:after="0" w:line="242" w:lineRule="auto"/>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Annual Meeting in person,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1920875" cy="428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20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Thomas J. DesRosier</w:t>
      </w:r>
    </w:p>
    <w:p>
      <w:pPr>
        <w:ind w:left="2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Cambridge, Massachusetts</w:t>
      </w:r>
    </w:p>
    <w:p>
      <w:pPr>
        <w:ind w:left="200"/>
        <w:spacing w:after="0"/>
        <w:rPr>
          <w:sz w:val="20"/>
          <w:szCs w:val="20"/>
          <w:color w:val="auto"/>
        </w:rPr>
      </w:pPr>
      <w:r>
        <w:rPr>
          <w:rFonts w:ascii="Arial" w:cs="Arial" w:eastAsia="Arial" w:hAnsi="Arial"/>
          <w:sz w:val="18"/>
          <w:szCs w:val="18"/>
          <w:color w:val="auto"/>
        </w:rPr>
        <w:t>April 30, 2018</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SERES THERAPEUTICS, INC.</w:t>
      </w:r>
    </w:p>
    <w:p>
      <w:pPr>
        <w:ind w:left="200"/>
        <w:spacing w:after="0" w:line="226" w:lineRule="auto"/>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26670</wp:posOffset>
            </wp:positionV>
            <wp:extent cx="6997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Seres Therapeutics, Inc. of proxies to be voted at our Annual Meeting of Stockholders to be held on Tuesday, June 26, 2018 (the “Annual Meeting”), at the Company’s principal executive offices located at 200 Sidney Street, Cambridge, Massachusetts 02139, at 8:00 a.m. Eastern time, and at any continuation, postponement, or adjournment of the Annual Meeting. Holders of record of shares of Common Stock, $0.001 par value (“Common Stock”), as of the close of business on April 27, 2018 (the “Record Date”), will be entitled to notice of and to vote at the Annual Meeting and any continuation, postponement, or adjournment of the Annual Meeting. As of the Record Date, there were 40,652,668 shares of Common Stock outstanding and entitled to vote at the Annual Meeting. Each share of Common Stock is entitled to one vote on any matter presented to stockholders at the Annual Meeting.</w:t>
      </w:r>
    </w:p>
    <w:p>
      <w:pPr>
        <w:spacing w:after="0" w:line="60" w:lineRule="exact"/>
        <w:rPr>
          <w:sz w:val="20"/>
          <w:szCs w:val="20"/>
          <w:color w:val="auto"/>
        </w:rPr>
      </w:pPr>
    </w:p>
    <w:p>
      <w:pPr>
        <w:ind w:left="200" w:right="640"/>
        <w:spacing w:after="0" w:line="246" w:lineRule="auto"/>
        <w:rPr>
          <w:sz w:val="20"/>
          <w:szCs w:val="20"/>
          <w:color w:val="auto"/>
        </w:rPr>
      </w:pPr>
      <w:r>
        <w:rPr>
          <w:rFonts w:ascii="Arial" w:cs="Arial" w:eastAsia="Arial" w:hAnsi="Arial"/>
          <w:sz w:val="18"/>
          <w:szCs w:val="18"/>
          <w:color w:val="auto"/>
        </w:rPr>
        <w:t>This proxy statement and the Company’s Annual Report to Stockholders for the year ended December 31, 2017 (the “2017 Annual Report”) will be released on or about April 30, 2018 to our stockholders on the Record Date.</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this proxy statement, “Seres”, “Company”, “we”, “us”, and “our” refer to Seres Therapeutics, Inc.</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STOCKHOLDER MEETING TO BE HELD ON TUESDAY, JUNE 26, 2018</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Proxy Statement and our 2017 Annual Report to Stockholders are available at http://www.proxyvote.com/</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may receive directions to attend the meeting in person by calling 1-617-945-9626.</w:t>
      </w:r>
    </w:p>
    <w:p>
      <w:pPr>
        <w:spacing w:after="0" w:line="30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Annual Meeting, our stockholders will be asked:</w:t>
      </w:r>
    </w:p>
    <w:p>
      <w:pPr>
        <w:spacing w:after="0" w:line="77" w:lineRule="exact"/>
        <w:rPr>
          <w:sz w:val="20"/>
          <w:szCs w:val="20"/>
          <w:color w:val="auto"/>
        </w:rPr>
      </w:pPr>
    </w:p>
    <w:p>
      <w:pPr>
        <w:ind w:left="540" w:right="100"/>
        <w:spacing w:after="0" w:line="234" w:lineRule="auto"/>
        <w:rPr>
          <w:sz w:val="20"/>
          <w:szCs w:val="20"/>
          <w:color w:val="auto"/>
        </w:rPr>
      </w:pPr>
      <w:r>
        <w:rPr>
          <w:rFonts w:ascii="Arial" w:cs="Arial" w:eastAsia="Arial" w:hAnsi="Arial"/>
          <w:sz w:val="18"/>
          <w:szCs w:val="18"/>
          <w:color w:val="auto"/>
        </w:rPr>
        <w:t>To elect Noubar B. Afeyan, Ph.D., Grégory Behar, and Kurt C. Graves as Class III Directors to serve until the 2021 Annual Meeting of Stockholders, and until their respective successors shall have been duly elected and qualified;</w:t>
      </w:r>
    </w:p>
    <w:p>
      <w:pPr>
        <w:spacing w:after="0" w:line="2" w:lineRule="exact"/>
        <w:rPr>
          <w:sz w:val="20"/>
          <w:szCs w:val="20"/>
          <w:color w:val="auto"/>
        </w:rPr>
      </w:pPr>
    </w:p>
    <w:p>
      <w:pPr>
        <w:ind w:left="540" w:right="420"/>
        <w:spacing w:after="0" w:line="234" w:lineRule="auto"/>
        <w:rPr>
          <w:sz w:val="20"/>
          <w:szCs w:val="20"/>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2018;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-255270</wp:posOffset>
            </wp:positionV>
            <wp:extent cx="10287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540" w:right="4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-267970</wp:posOffset>
            </wp:positionV>
            <wp:extent cx="10287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42"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of Directors recommends that you vote:</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the election of Noubar B. Afeyan, Ph.D., Grégory Behar, and Kurt C. Graves as Class III Directors; and</w:t>
      </w:r>
    </w:p>
    <w:p>
      <w:pPr>
        <w:ind w:left="540" w:right="120"/>
        <w:spacing w:after="0" w:line="246" w:lineRule="auto"/>
        <w:rPr>
          <w:sz w:val="20"/>
          <w:szCs w:val="20"/>
          <w:color w:val="auto"/>
        </w:rPr>
      </w:pPr>
      <w:r>
        <w:rPr>
          <w:rFonts w:ascii="Arial" w:cs="Arial" w:eastAsia="Arial" w:hAnsi="Arial"/>
          <w:sz w:val="18"/>
          <w:szCs w:val="18"/>
          <w:color w:val="auto"/>
        </w:rPr>
        <w:t>FOR the ratification of the appointment of PricewaterhouseCoopers LLP as our independent registered public accounting firm for the fiscal year ending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-267970</wp:posOffset>
            </wp:positionV>
            <wp:extent cx="10287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9" w:lineRule="exact"/>
        <w:rPr>
          <w:sz w:val="20"/>
          <w:szCs w:val="20"/>
          <w:color w:val="auto"/>
        </w:rPr>
      </w:pPr>
    </w:p>
    <w:p>
      <w:pPr>
        <w:jc w:val="both"/>
        <w:ind w:left="200" w:right="100"/>
        <w:spacing w:after="0" w:line="253"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Seres’ Board of Directors is</w:t>
      </w:r>
      <w:r>
        <w:rPr>
          <w:rFonts w:ascii="Arial" w:cs="Arial" w:eastAsia="Arial" w:hAnsi="Arial"/>
          <w:sz w:val="18"/>
          <w:szCs w:val="18"/>
          <w:b w:val="1"/>
          <w:bCs w:val="1"/>
          <w:color w:val="auto"/>
        </w:rPr>
        <w:t xml:space="preserve"> </w:t>
      </w:r>
      <w:r>
        <w:rPr>
          <w:rFonts w:ascii="Arial" w:cs="Arial" w:eastAsia="Arial" w:hAnsi="Arial"/>
          <w:sz w:val="18"/>
          <w:szCs w:val="18"/>
          <w:color w:val="auto"/>
        </w:rPr>
        <w:t>soliciting your proxy 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As permitted by SEC rules, Seres is making this proxy statement and its 2017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available to its stockholders electronically via the Internet. On or about April 30, 2018, we mailed to our stockholders a Notice of Internet Availability of Proxy Materials (the “Internet Notice”) containing instructions on how to access this proxy statement and our 2017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2017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32" w:lineRule="exact"/>
        <w:rPr>
          <w:sz w:val="20"/>
          <w:szCs w:val="20"/>
          <w:color w:val="auto"/>
        </w:rPr>
      </w:pPr>
    </w:p>
    <w:p>
      <w:pPr>
        <w:ind w:left="200" w:right="240"/>
        <w:spacing w:after="0" w:line="271"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w:t>
      </w:r>
      <w:r>
        <w:rPr>
          <w:rFonts w:ascii="Arial" w:cs="Arial" w:eastAsia="Arial" w:hAnsi="Arial"/>
          <w:sz w:val="18"/>
          <w:szCs w:val="18"/>
          <w:b w:val="1"/>
          <w:bCs w:val="1"/>
          <w:color w:val="auto"/>
        </w:rPr>
        <w:t xml:space="preserve"> </w:t>
      </w:r>
      <w:r>
        <w:rPr>
          <w:rFonts w:ascii="Arial" w:cs="Arial" w:eastAsia="Arial" w:hAnsi="Arial"/>
          <w:sz w:val="18"/>
          <w:szCs w:val="18"/>
          <w:color w:val="auto"/>
        </w:rPr>
        <w:t>vote are contained on the proxy card included in the materials.</w:t>
      </w:r>
    </w:p>
    <w:p>
      <w:pPr>
        <w:spacing w:after="0" w:line="19" w:lineRule="exact"/>
        <w:rPr>
          <w:sz w:val="20"/>
          <w:szCs w:val="20"/>
          <w:color w:val="auto"/>
        </w:rPr>
      </w:pPr>
    </w:p>
    <w:p>
      <w:pPr>
        <w:ind w:left="200" w:right="20"/>
        <w:spacing w:after="0"/>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to deliver a single Internet Notice or set of proxy materials to one address shared by two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of 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contact Broadridge Financial Solutions, Inc. at 1-866-540-7095 or in writing at Broadridge, Householding Department, 51 Mercedes Way, Edgewood, New York 11717.</w:t>
      </w:r>
    </w:p>
    <w:p>
      <w:pPr>
        <w:spacing w:after="0" w:line="54"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If you are currently a stockholder sharing an address with another stockholder and wish to receive only one copy of future Internet Notices or proxy materials for your household, please contact Broadridge at the above phone number or address.</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Questions and Answers about the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The Record Date for the Annual Meeting is April 27, 2018.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40,652,668 shares of Common Stock outstanding and entitled to vote at the Annual Meeting.</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8"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in person at the Annual Meeting, unless you obtain a legal proxy from your bank or brokerage firm.</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9"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in person or by proxy, of the holders of a majority in voting power of the Common Stock issued and outstanding and entitled to vote on the Record Date will constitute a quorum.</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WHO CAN ATTEND THE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9"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You may attend the Annual Meeting only if you are a Seres stockholder who is entitled to vote at the Annual Meeting, or if you hold a valid proxy for the Annual Meeting. If you would like to attend the Annual Meeting, you must call 1-617-945-9626 no later than 5:00 p.m. Eastern time on June 22, 2018 to have your name placed on the attendance list. In order to be admitted into the Annual Meeting, your name must appear on the attendance list and you must present government-issued photo identification (such as a driver’s license). If your bank or broker holds your shares in street name, you will also be required to present proof of beneficial ownership of our Common Stock on the Record Date, such as the Internet Notice you received from your bank or broker, or a bank or brokerage statement or a letter from your bank or broker showing that you owned shares of our Common Stock at the close of business on the Record Date.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9"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If a quorum is not present at the scheduled time of the Annual Meeting, (i) the Chairperson of the Annual Meeting or (ii) a majority in voting power of the stockholders present in person or represented by proxy, may adjourn the Annual Meeting until a quorum is present or represented.</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QUESTIONS AND ANSWERS ABOUT THE 2018 ANNUAL MEETING OF STOCKHOLDERS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32"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8"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We recommend that stockholders vote by proxy even if they plan to attend the Annual Meeting and vote in person. If you are a stockholder of record, there are three ways to vote by proxy:</w:t>
      </w:r>
    </w:p>
    <w:p>
      <w:pPr>
        <w:spacing w:after="0" w:line="21" w:lineRule="exact"/>
        <w:rPr>
          <w:sz w:val="20"/>
          <w:szCs w:val="20"/>
          <w:color w:val="auto"/>
        </w:rPr>
      </w:pPr>
    </w:p>
    <w:p>
      <w:pPr>
        <w:ind w:left="640" w:hanging="220"/>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Telephone—You can vote by telephone by calling 1-800-690-6903 and following the instructions on the proxy card;</w:t>
      </w:r>
    </w:p>
    <w:p>
      <w:pPr>
        <w:spacing w:after="0" w:line="49" w:lineRule="exact"/>
        <w:rPr>
          <w:rFonts w:ascii="Arial" w:cs="Arial" w:eastAsia="Arial" w:hAnsi="Arial"/>
          <w:sz w:val="18"/>
          <w:szCs w:val="18"/>
          <w:color w:val="auto"/>
        </w:rPr>
      </w:pPr>
    </w:p>
    <w:p>
      <w:pPr>
        <w:ind w:left="640" w:right="140" w:hanging="220"/>
        <w:spacing w:after="0" w:line="24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Internet—You can vote over the Internet at www.proxyvote.com by following the instructions on the Internet Notice or proxy card; or</w:t>
      </w:r>
    </w:p>
    <w:p>
      <w:pPr>
        <w:spacing w:after="0" w:line="21" w:lineRule="exact"/>
        <w:rPr>
          <w:rFonts w:ascii="Arial" w:cs="Arial" w:eastAsia="Arial" w:hAnsi="Arial"/>
          <w:sz w:val="18"/>
          <w:szCs w:val="18"/>
          <w:color w:val="auto"/>
        </w:rPr>
      </w:pPr>
    </w:p>
    <w:p>
      <w:pPr>
        <w:ind w:left="640" w:hanging="220"/>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Mail—You can vote by mail by signing, dating and mailing the proxy card, which you may have received by mail.</w:t>
      </w:r>
    </w:p>
    <w:p>
      <w:pPr>
        <w:spacing w:after="0" w:line="77"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Telephone and Internet voting facilities for stockholders of record will be available 24 hours a day and will close at 11:59 p.m., Eastern Time, on June 25, 2018.</w:t>
      </w:r>
    </w:p>
    <w:p>
      <w:pPr>
        <w:spacing w:after="0" w:line="62"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If your shares are held in street name through a bank or broker, you will receive instructions on how to vote from the bank or broker. You must follow their instructions in order for your shares to be voted. Telephone and Internet voting also may be offered to stockholders owning shares through certain banks and brokers. If your shares are not registered in your own name and you would like to vote your shares in person at the Annual Meeting, you should contact your bank or broker to obtain a legal proxy and bring it to the Annual Meeting in order to vote.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Yes.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17" w:lineRule="exact"/>
        <w:rPr>
          <w:sz w:val="20"/>
          <w:szCs w:val="20"/>
          <w:color w:val="auto"/>
        </w:rPr>
      </w:pPr>
    </w:p>
    <w:p>
      <w:pPr>
        <w:ind w:left="640" w:hanging="220"/>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49" w:lineRule="exact"/>
        <w:rPr>
          <w:rFonts w:ascii="Arial" w:cs="Arial" w:eastAsia="Arial" w:hAnsi="Arial"/>
          <w:sz w:val="18"/>
          <w:szCs w:val="18"/>
          <w:color w:val="auto"/>
        </w:rPr>
      </w:pPr>
    </w:p>
    <w:p>
      <w:pPr>
        <w:ind w:left="640" w:hanging="220"/>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49" w:lineRule="exact"/>
        <w:rPr>
          <w:rFonts w:ascii="Arial" w:cs="Arial" w:eastAsia="Arial" w:hAnsi="Arial"/>
          <w:sz w:val="18"/>
          <w:szCs w:val="18"/>
          <w:color w:val="auto"/>
        </w:rPr>
      </w:pPr>
    </w:p>
    <w:p>
      <w:pPr>
        <w:ind w:left="640" w:hanging="220"/>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Seres prior to or at the Annual Meeting; or</w:t>
      </w:r>
    </w:p>
    <w:p>
      <w:pPr>
        <w:spacing w:after="0" w:line="49" w:lineRule="exact"/>
        <w:rPr>
          <w:rFonts w:ascii="Arial" w:cs="Arial" w:eastAsia="Arial" w:hAnsi="Arial"/>
          <w:sz w:val="18"/>
          <w:szCs w:val="18"/>
          <w:color w:val="auto"/>
        </w:rPr>
      </w:pPr>
    </w:p>
    <w:p>
      <w:pPr>
        <w:ind w:left="640" w:hanging="220"/>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77" w:lineRule="exact"/>
        <w:rPr>
          <w:sz w:val="20"/>
          <w:szCs w:val="20"/>
          <w:color w:val="auto"/>
        </w:rPr>
      </w:pPr>
    </w:p>
    <w:p>
      <w:pPr>
        <w:jc w:val="both"/>
        <w:ind w:left="200" w:right="140"/>
        <w:spacing w:after="0"/>
        <w:rPr>
          <w:sz w:val="20"/>
          <w:szCs w:val="20"/>
          <w:color w:val="auto"/>
        </w:rPr>
      </w:pPr>
      <w:r>
        <w:rPr>
          <w:rFonts w:ascii="Arial" w:cs="Arial" w:eastAsia="Arial" w:hAnsi="Arial"/>
          <w:sz w:val="18"/>
          <w:szCs w:val="18"/>
          <w:color w:val="auto"/>
        </w:rPr>
        <w:t>Your most recent proxy card or telephone or Internet proxy is the one that is counted. Your attendance at the Annual Meeting by itself will not revoke your proxy unless you give written notice of revocation to the Secretary before your proxy is voted or you vote in person at the Annual Meeting.</w:t>
      </w:r>
    </w:p>
    <w:p>
      <w:pPr>
        <w:spacing w:after="0" w:line="54"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QUESTIONS AND ANSWERS ABOUT THE 2018 ANNUAL MEETING OF STOCKHOLDERS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 recommendations of the Board of Directors. The Board of Directors’ recommendations are indicated on page 2 of this proxy statement, as well as with the description of each proposal in this proxy statement.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95" w:lineRule="exact"/>
        <w:rPr>
          <w:sz w:val="20"/>
          <w:szCs w:val="20"/>
          <w:color w:val="auto"/>
        </w:rPr>
      </w:pPr>
    </w:p>
    <w:p>
      <w:pPr>
        <w:ind w:left="200" w:right="400"/>
        <w:spacing w:after="0" w:line="247" w:lineRule="auto"/>
        <w:rPr>
          <w:sz w:val="20"/>
          <w:szCs w:val="20"/>
          <w:color w:val="auto"/>
        </w:rPr>
      </w:pPr>
      <w:r>
        <w:rPr>
          <w:rFonts w:ascii="Arial" w:cs="Arial" w:eastAsia="Arial" w:hAnsi="Arial"/>
          <w:sz w:val="14"/>
          <w:szCs w:val="14"/>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80" w:type="dxa"/>
            <w:vAlign w:val="bottom"/>
            <w:shd w:val="clear" w:color="auto" w:fill="D8D8D8"/>
          </w:tcPr>
          <w:p>
            <w:pPr>
              <w:spacing w:after="0"/>
              <w:rPr>
                <w:sz w:val="14"/>
                <w:szCs w:val="14"/>
                <w:color w:val="auto"/>
              </w:rPr>
            </w:pPr>
          </w:p>
        </w:tc>
        <w:tc>
          <w:tcPr>
            <w:tcW w:w="3900" w:type="dxa"/>
            <w:vAlign w:val="bottom"/>
            <w:shd w:val="clear" w:color="auto" w:fill="D8D8D8"/>
          </w:tcPr>
          <w:p>
            <w:pPr>
              <w:spacing w:after="0"/>
              <w:rPr>
                <w:sz w:val="14"/>
                <w:szCs w:val="14"/>
                <w:color w:val="auto"/>
              </w:rPr>
            </w:pPr>
          </w:p>
        </w:tc>
        <w:tc>
          <w:tcPr>
            <w:tcW w:w="4940" w:type="dxa"/>
            <w:vAlign w:val="bottom"/>
            <w:shd w:val="clear" w:color="auto" w:fill="D8D8D8"/>
          </w:tcPr>
          <w:p>
            <w:pPr>
              <w:ind w:left="1400"/>
              <w:spacing w:after="0"/>
              <w:rPr>
                <w:sz w:val="20"/>
                <w:szCs w:val="20"/>
                <w:color w:val="auto"/>
              </w:rPr>
            </w:pPr>
            <w:r>
              <w:rPr>
                <w:rFonts w:ascii="Arial" w:cs="Arial" w:eastAsia="Arial" w:hAnsi="Arial"/>
                <w:sz w:val="14"/>
                <w:szCs w:val="14"/>
                <w:b w:val="1"/>
                <w:bCs w:val="1"/>
                <w:color w:val="auto"/>
              </w:rPr>
              <w:t>Effect of Votes Withheld / Abstentions</w:t>
            </w:r>
          </w:p>
        </w:tc>
      </w:tr>
      <w:tr>
        <w:trPr>
          <w:trHeight w:val="175"/>
        </w:trPr>
        <w:tc>
          <w:tcPr>
            <w:tcW w:w="218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b w:val="1"/>
                <w:bCs w:val="1"/>
                <w:color w:val="auto"/>
              </w:rPr>
              <w:t>Proposal</w:t>
            </w:r>
          </w:p>
        </w:tc>
        <w:tc>
          <w:tcPr>
            <w:tcW w:w="3900" w:type="dxa"/>
            <w:vAlign w:val="bottom"/>
            <w:tcBorders>
              <w:bottom w:val="single" w:sz="8" w:color="auto"/>
            </w:tcBorders>
            <w:shd w:val="clear" w:color="auto" w:fill="D8D8D8"/>
          </w:tcPr>
          <w:p>
            <w:pPr>
              <w:ind w:left="1560"/>
              <w:spacing w:after="0"/>
              <w:rPr>
                <w:sz w:val="20"/>
                <w:szCs w:val="20"/>
                <w:color w:val="auto"/>
              </w:rPr>
            </w:pPr>
            <w:r>
              <w:rPr>
                <w:rFonts w:ascii="Arial" w:cs="Arial" w:eastAsia="Arial" w:hAnsi="Arial"/>
                <w:sz w:val="14"/>
                <w:szCs w:val="14"/>
                <w:b w:val="1"/>
                <w:bCs w:val="1"/>
                <w:color w:val="auto"/>
              </w:rPr>
              <w:t>Votes required</w:t>
            </w:r>
          </w:p>
        </w:tc>
        <w:tc>
          <w:tcPr>
            <w:tcW w:w="4940" w:type="dxa"/>
            <w:vAlign w:val="bottom"/>
            <w:tcBorders>
              <w:bottom w:val="single" w:sz="8" w:color="auto"/>
            </w:tcBorders>
            <w:shd w:val="clear" w:color="auto" w:fill="D8D8D8"/>
          </w:tcPr>
          <w:p>
            <w:pPr>
              <w:ind w:left="1400"/>
              <w:spacing w:after="0"/>
              <w:rPr>
                <w:sz w:val="20"/>
                <w:szCs w:val="20"/>
                <w:color w:val="auto"/>
              </w:rPr>
            </w:pPr>
            <w:r>
              <w:rPr>
                <w:rFonts w:ascii="Arial" w:cs="Arial" w:eastAsia="Arial" w:hAnsi="Arial"/>
                <w:sz w:val="14"/>
                <w:szCs w:val="14"/>
                <w:b w:val="1"/>
                <w:bCs w:val="1"/>
                <w:color w:val="auto"/>
              </w:rPr>
              <w:t>and Broker Non-Votes</w:t>
            </w:r>
          </w:p>
        </w:tc>
      </w:tr>
    </w:tbl>
    <w:p>
      <w:pPr>
        <w:spacing w:after="0" w:line="1" w:lineRule="exact"/>
        <w:rPr>
          <w:sz w:val="20"/>
          <w:szCs w:val="20"/>
          <w:color w:val="auto"/>
        </w:rPr>
      </w:pPr>
    </w:p>
    <w:p>
      <w:pPr>
        <w:sectPr>
          <w:pgSz w:w="11900" w:h="16838" w:orient="portrait"/>
          <w:cols w:equalWidth="0" w:num="1">
            <w:col w:w="11240"/>
          </w:cols>
          <w:pgMar w:left="240" w:top="459" w:right="419" w:bottom="1440" w:gutter="0" w:footer="0" w:header="0"/>
        </w:sectPr>
      </w:pPr>
    </w:p>
    <w:tbl>
      <w:tblPr>
        <w:tblLayout w:type="fixed"/>
        <w:tblInd w:w="260" w:type="dxa"/>
        <w:tblCellMar>
          <w:top w:w="0" w:type="dxa"/>
          <w:left w:w="0" w:type="dxa"/>
          <w:bottom w:w="0" w:type="dxa"/>
          <w:right w:w="0" w:type="dxa"/>
        </w:tblCellMar>
      </w:tblPr>
      <w:tr>
        <w:trPr>
          <w:trHeight w:val="149"/>
        </w:trPr>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Proposal 1: Election of Directors</w:t>
            </w:r>
          </w:p>
        </w:tc>
        <w:tc>
          <w:tcPr>
            <w:tcW w:w="4400" w:type="dxa"/>
            <w:vAlign w:val="bottom"/>
          </w:tcPr>
          <w:p>
            <w:pPr>
              <w:ind w:left="820"/>
              <w:spacing w:after="0" w:line="149" w:lineRule="exact"/>
              <w:rPr>
                <w:sz w:val="20"/>
                <w:szCs w:val="20"/>
                <w:color w:val="auto"/>
              </w:rPr>
            </w:pPr>
            <w:r>
              <w:rPr>
                <w:rFonts w:ascii="Arial" w:cs="Arial" w:eastAsia="Arial" w:hAnsi="Arial"/>
                <w:sz w:val="14"/>
                <w:szCs w:val="14"/>
                <w:color w:val="auto"/>
              </w:rPr>
              <w:t>The plurality of the votes cast. This means that the three</w:t>
            </w:r>
          </w:p>
        </w:tc>
      </w:tr>
      <w:tr>
        <w:trPr>
          <w:trHeight w:val="160"/>
        </w:trPr>
        <w:tc>
          <w:tcPr>
            <w:tcW w:w="680" w:type="dxa"/>
            <w:vAlign w:val="bottom"/>
            <w:tcBorders>
              <w:top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4400" w:type="dxa"/>
            <w:vAlign w:val="bottom"/>
          </w:tcPr>
          <w:p>
            <w:pPr>
              <w:ind w:left="820"/>
              <w:spacing w:after="0"/>
              <w:rPr>
                <w:sz w:val="20"/>
                <w:szCs w:val="20"/>
                <w:color w:val="auto"/>
              </w:rPr>
            </w:pPr>
            <w:r>
              <w:rPr>
                <w:rFonts w:ascii="Arial" w:cs="Arial" w:eastAsia="Arial" w:hAnsi="Arial"/>
                <w:sz w:val="14"/>
                <w:szCs w:val="14"/>
                <w:color w:val="auto"/>
              </w:rPr>
              <w:t>nominees receiving the highest number of affirmative</w:t>
            </w:r>
          </w:p>
        </w:tc>
      </w:tr>
      <w:tr>
        <w:trPr>
          <w:trHeight w:val="155"/>
        </w:trPr>
        <w:tc>
          <w:tcPr>
            <w:tcW w:w="6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400" w:type="dxa"/>
            <w:vAlign w:val="bottom"/>
          </w:tcPr>
          <w:p>
            <w:pPr>
              <w:ind w:left="820"/>
              <w:spacing w:after="0" w:line="155" w:lineRule="exact"/>
              <w:rPr>
                <w:sz w:val="20"/>
                <w:szCs w:val="20"/>
                <w:color w:val="auto"/>
              </w:rPr>
            </w:pPr>
            <w:r>
              <w:rPr>
                <w:rFonts w:ascii="Arial" w:cs="Arial" w:eastAsia="Arial" w:hAnsi="Arial"/>
                <w:sz w:val="14"/>
                <w:szCs w:val="14"/>
                <w:color w:val="auto"/>
              </w:rPr>
              <w:t>“FOR” votes will be elected as Class III Directors.</w:t>
            </w:r>
          </w:p>
        </w:tc>
      </w:tr>
    </w:tbl>
    <w:p>
      <w:pPr>
        <w:spacing w:after="0" w:line="20" w:lineRule="exact"/>
        <w:rPr>
          <w:sz w:val="20"/>
          <w:szCs w:val="20"/>
          <w:color w:val="auto"/>
        </w:rPr>
      </w:pPr>
      <w:r>
        <w:rPr>
          <w:sz w:val="20"/>
          <w:szCs w:val="20"/>
          <w:color w:val="auto"/>
        </w:rPr>
        <w:br w:type="column"/>
      </w:r>
    </w:p>
    <w:p>
      <w:pPr>
        <w:ind w:right="420"/>
        <w:spacing w:after="0" w:line="258" w:lineRule="auto"/>
        <w:rPr>
          <w:sz w:val="20"/>
          <w:szCs w:val="20"/>
          <w:color w:val="auto"/>
        </w:rPr>
      </w:pPr>
      <w:r>
        <w:rPr>
          <w:rFonts w:ascii="Arial" w:cs="Arial" w:eastAsia="Arial" w:hAnsi="Arial"/>
          <w:sz w:val="14"/>
          <w:szCs w:val="14"/>
          <w:color w:val="auto"/>
        </w:rPr>
        <w:t>Votes withheld and broker non-votes will have no effect.</w:t>
      </w:r>
    </w:p>
    <w:p>
      <w:pPr>
        <w:spacing w:after="0" w:line="134" w:lineRule="exact"/>
        <w:rPr>
          <w:sz w:val="20"/>
          <w:szCs w:val="20"/>
          <w:color w:val="auto"/>
        </w:rPr>
      </w:pPr>
    </w:p>
    <w:p>
      <w:pPr>
        <w:sectPr>
          <w:pgSz w:w="11900" w:h="16838" w:orient="portrait"/>
          <w:cols w:equalWidth="0" w:num="2">
            <w:col w:w="7540" w:space="160"/>
            <w:col w:w="3540"/>
          </w:cols>
          <w:pgMar w:left="240" w:top="459" w:right="419" w:bottom="1440" w:gutter="0" w:footer="0" w:header="0"/>
          <w:type w:val="continuous"/>
        </w:sectPr>
      </w:pPr>
    </w:p>
    <w:tbl>
      <w:tblPr>
        <w:tblLayout w:type="fixed"/>
        <w:tblInd w:w="230" w:type="dxa"/>
        <w:tblCellMar>
          <w:top w:w="0" w:type="dxa"/>
          <w:left w:w="0" w:type="dxa"/>
          <w:bottom w:w="0" w:type="dxa"/>
          <w:right w:w="0" w:type="dxa"/>
        </w:tblCellMar>
      </w:tblPr>
      <w:tr>
        <w:trPr>
          <w:trHeight w:val="151"/>
        </w:trPr>
        <w:tc>
          <w:tcPr>
            <w:tcW w:w="3640" w:type="dxa"/>
            <w:vAlign w:val="bottom"/>
            <w:tcBorders>
              <w:left w:val="single" w:sz="8" w:color="D8D8D8"/>
            </w:tcBorders>
            <w:gridSpan w:val="2"/>
            <w:shd w:val="clear" w:color="auto" w:fill="D8D8D8"/>
          </w:tcPr>
          <w:p>
            <w:pPr>
              <w:ind w:left="40"/>
              <w:spacing w:after="0" w:line="151" w:lineRule="exact"/>
              <w:rPr>
                <w:sz w:val="20"/>
                <w:szCs w:val="20"/>
                <w:color w:val="auto"/>
              </w:rPr>
            </w:pPr>
            <w:r>
              <w:rPr>
                <w:rFonts w:ascii="Arial" w:cs="Arial" w:eastAsia="Arial" w:hAnsi="Arial"/>
                <w:sz w:val="14"/>
                <w:szCs w:val="14"/>
                <w:color w:val="auto"/>
              </w:rPr>
              <w:t>Proposal 2: Ratification of Appointment of Independent</w:t>
            </w:r>
          </w:p>
        </w:tc>
        <w:tc>
          <w:tcPr>
            <w:tcW w:w="3760" w:type="dxa"/>
            <w:vAlign w:val="bottom"/>
            <w:shd w:val="clear" w:color="auto" w:fill="D8D8D8"/>
          </w:tcPr>
          <w:p>
            <w:pPr>
              <w:ind w:left="100"/>
              <w:spacing w:after="0" w:line="151" w:lineRule="exact"/>
              <w:rPr>
                <w:sz w:val="20"/>
                <w:szCs w:val="20"/>
                <w:color w:val="auto"/>
              </w:rPr>
            </w:pPr>
            <w:r>
              <w:rPr>
                <w:rFonts w:ascii="Arial" w:cs="Arial" w:eastAsia="Arial" w:hAnsi="Arial"/>
                <w:sz w:val="14"/>
                <w:szCs w:val="14"/>
                <w:color w:val="auto"/>
              </w:rPr>
              <w:t>The affirmative vote of the holders of a majority in voting</w:t>
            </w:r>
          </w:p>
        </w:tc>
        <w:tc>
          <w:tcPr>
            <w:tcW w:w="3620" w:type="dxa"/>
            <w:vAlign w:val="bottom"/>
            <w:shd w:val="clear" w:color="auto" w:fill="D8D8D8"/>
          </w:tcPr>
          <w:p>
            <w:pPr>
              <w:ind w:left="80"/>
              <w:spacing w:after="0" w:line="151" w:lineRule="exact"/>
              <w:rPr>
                <w:sz w:val="20"/>
                <w:szCs w:val="20"/>
                <w:color w:val="auto"/>
              </w:rPr>
            </w:pPr>
            <w:r>
              <w:rPr>
                <w:rFonts w:ascii="Arial" w:cs="Arial" w:eastAsia="Arial" w:hAnsi="Arial"/>
                <w:sz w:val="14"/>
                <w:szCs w:val="14"/>
                <w:color w:val="auto"/>
              </w:rPr>
              <w:t>Abstentions will have no effect. We do not expect any</w:t>
            </w:r>
          </w:p>
        </w:tc>
        <w:tc>
          <w:tcPr>
            <w:tcW w:w="0" w:type="dxa"/>
            <w:vAlign w:val="bottom"/>
          </w:tcPr>
          <w:p>
            <w:pPr>
              <w:spacing w:after="0"/>
              <w:rPr>
                <w:sz w:val="1"/>
                <w:szCs w:val="1"/>
                <w:color w:val="auto"/>
              </w:rPr>
            </w:pPr>
          </w:p>
        </w:tc>
      </w:tr>
      <w:tr>
        <w:trPr>
          <w:trHeight w:val="20"/>
        </w:trPr>
        <w:tc>
          <w:tcPr>
            <w:tcW w:w="720" w:type="dxa"/>
            <w:vAlign w:val="bottom"/>
            <w:tcBorders>
              <w:left w:val="single" w:sz="8" w:color="D8D8D8"/>
            </w:tcBorders>
            <w:shd w:val="clear" w:color="auto" w:fill="000000"/>
          </w:tcPr>
          <w:p>
            <w:pPr>
              <w:spacing w:after="0" w:line="20" w:lineRule="exact"/>
              <w:rPr>
                <w:sz w:val="1"/>
                <w:szCs w:val="1"/>
                <w:color w:val="auto"/>
              </w:rPr>
            </w:pPr>
          </w:p>
        </w:tc>
        <w:tc>
          <w:tcPr>
            <w:tcW w:w="2920" w:type="dxa"/>
            <w:vAlign w:val="bottom"/>
            <w:shd w:val="clear" w:color="auto" w:fill="D8D8D8"/>
          </w:tcPr>
          <w:p>
            <w:pPr>
              <w:spacing w:after="0" w:line="20" w:lineRule="exact"/>
              <w:rPr>
                <w:sz w:val="1"/>
                <w:szCs w:val="1"/>
                <w:color w:val="auto"/>
              </w:rPr>
            </w:pPr>
          </w:p>
        </w:tc>
        <w:tc>
          <w:tcPr>
            <w:tcW w:w="3760" w:type="dxa"/>
            <w:vAlign w:val="bottom"/>
            <w:vMerge w:val="restart"/>
            <w:shd w:val="clear" w:color="auto" w:fill="D8D8D8"/>
          </w:tcPr>
          <w:p>
            <w:pPr>
              <w:ind w:left="100"/>
              <w:spacing w:after="0"/>
              <w:rPr>
                <w:sz w:val="20"/>
                <w:szCs w:val="20"/>
                <w:color w:val="auto"/>
              </w:rPr>
            </w:pPr>
            <w:r>
              <w:rPr>
                <w:rFonts w:ascii="Arial" w:cs="Arial" w:eastAsia="Arial" w:hAnsi="Arial"/>
                <w:sz w:val="14"/>
                <w:szCs w:val="14"/>
                <w:color w:val="auto"/>
              </w:rPr>
              <w:t>power of the votes cast affirmatively or negatively.</w:t>
            </w:r>
          </w:p>
        </w:tc>
        <w:tc>
          <w:tcPr>
            <w:tcW w:w="3620" w:type="dxa"/>
            <w:vAlign w:val="bottom"/>
            <w:vMerge w:val="restart"/>
            <w:shd w:val="clear" w:color="auto" w:fill="D8D8D8"/>
          </w:tcPr>
          <w:p>
            <w:pPr>
              <w:ind w:left="80"/>
              <w:spacing w:after="0"/>
              <w:rPr>
                <w:sz w:val="20"/>
                <w:szCs w:val="20"/>
                <w:color w:val="auto"/>
              </w:rPr>
            </w:pPr>
            <w:r>
              <w:rPr>
                <w:rFonts w:ascii="Arial" w:cs="Arial" w:eastAsia="Arial" w:hAnsi="Arial"/>
                <w:sz w:val="14"/>
                <w:szCs w:val="14"/>
                <w:color w:val="auto"/>
              </w:rPr>
              <w:t>broker non-votes on this proposal.</w:t>
            </w:r>
          </w:p>
        </w:tc>
        <w:tc>
          <w:tcPr>
            <w:tcW w:w="0" w:type="dxa"/>
            <w:vAlign w:val="bottom"/>
          </w:tcPr>
          <w:p>
            <w:pPr>
              <w:spacing w:after="0" w:line="20" w:lineRule="exact"/>
              <w:rPr>
                <w:sz w:val="1"/>
                <w:szCs w:val="1"/>
                <w:color w:val="auto"/>
              </w:rPr>
            </w:pPr>
          </w:p>
        </w:tc>
      </w:tr>
      <w:tr>
        <w:trPr>
          <w:trHeight w:val="156"/>
        </w:trPr>
        <w:tc>
          <w:tcPr>
            <w:tcW w:w="3640" w:type="dxa"/>
            <w:vAlign w:val="bottom"/>
            <w:tcBorders>
              <w:left w:val="single" w:sz="8" w:color="D8D8D8"/>
            </w:tcBorders>
            <w:gridSpan w:val="2"/>
            <w:shd w:val="clear" w:color="auto" w:fill="D8D8D8"/>
          </w:tcPr>
          <w:p>
            <w:pPr>
              <w:ind w:left="40"/>
              <w:spacing w:after="0" w:line="155" w:lineRule="exact"/>
              <w:rPr>
                <w:sz w:val="20"/>
                <w:szCs w:val="20"/>
                <w:color w:val="auto"/>
              </w:rPr>
            </w:pPr>
            <w:r>
              <w:rPr>
                <w:rFonts w:ascii="Arial" w:cs="Arial" w:eastAsia="Arial" w:hAnsi="Arial"/>
                <w:sz w:val="14"/>
                <w:szCs w:val="14"/>
                <w:color w:val="auto"/>
              </w:rPr>
              <w:t>Registered Public Accounting Firm</w:t>
            </w:r>
          </w:p>
        </w:tc>
        <w:tc>
          <w:tcPr>
            <w:tcW w:w="3760" w:type="dxa"/>
            <w:vAlign w:val="bottom"/>
            <w:vMerge w:val="continue"/>
            <w:shd w:val="clear" w:color="auto" w:fill="D8D8D8"/>
          </w:tcPr>
          <w:p>
            <w:pPr>
              <w:spacing w:after="0"/>
              <w:rPr>
                <w:sz w:val="13"/>
                <w:szCs w:val="13"/>
                <w:color w:val="auto"/>
              </w:rPr>
            </w:pPr>
          </w:p>
        </w:tc>
        <w:tc>
          <w:tcPr>
            <w:tcW w:w="3620" w:type="dxa"/>
            <w:vAlign w:val="bottom"/>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PricewaterhouseCoopers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and abstentions have no effect on the ratification of the appointment of PricewaterhouseCoopers LLP.</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PricewaterhouseCoopers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WHERE CAN I FIND THE VOTING RESULTS OF THE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PROPOSALS TO BE VOTED ON—PROPOSAL 1</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At the Annual Meeting, three (3) Class III Directors are to be elected to hold office until the Annual Meeting of Stockholders to be held in 2021 and until such director’s successor is elected and qualified or until such director’s earlier death, resignation or removal.</w:t>
      </w:r>
    </w:p>
    <w:p>
      <w:pPr>
        <w:spacing w:after="0" w:line="48"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We currently have eight (8) directors on our Board, including three (3) Class III Directors. Our current Class III Directors are Noubar B. Afeyan, Ph.D., who has served on our Board since October 2010, Grégory Behar, who has served on our Board since December 2014, and Kurt C. Graves, who has served on our Board since November 2015. The Board has nominated three director candidates for election as Class III Directors at the Annual Meeting: Noubar B. Afeyan, Ph.D., Grégory Behar, and Kurt C. Graves. Proxies cannot be voted for a greater number of persons than the number of nominees named in this proposal.</w:t>
      </w:r>
    </w:p>
    <w:p>
      <w:pPr>
        <w:spacing w:after="0" w:line="68" w:lineRule="exact"/>
        <w:rPr>
          <w:sz w:val="20"/>
          <w:szCs w:val="20"/>
          <w:color w:val="auto"/>
        </w:rPr>
      </w:pPr>
    </w:p>
    <w:p>
      <w:pPr>
        <w:jc w:val="both"/>
        <w:ind w:left="200" w:right="40"/>
        <w:spacing w:after="0"/>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5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currently expires at the 2019 Annual Meeting of Stockholders and whose subsequent term will expire at the 2022 Annual Meeting of Stockholders; Class II, whose term expires at the 2020 Annual Meeting of Stockholders and whose subsequent term will expire at the 2023 Annual Meeting of Stockholders; and Class III, whose term will expire at the 2018 Annual Meeting of Stockholders and whose new term will expire at the 2021 Annual Meeting of Stockholders. The current Class I Directors are Dennis A. Ausiello, M.D, Willard H. Dere, M.D., and Roger J. Pomerantz, M.D.; the current Class II Directors are Richard N. Kender and Lorence H. Kim, M.D.; and the current Class III Directors are Noubar B. Afeyan, Ph.D., Grégory Behar and Kurt C. Graves.</w:t>
      </w:r>
    </w:p>
    <w:p>
      <w:pPr>
        <w:spacing w:after="0" w:line="59"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63"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of Directors or the Board may elect to</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PROPOSAL 1—ELECTION OF DIRECTORS</w:t>
      </w:r>
    </w:p>
    <w:p>
      <w:pPr>
        <w:spacing w:after="0" w:line="136"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reduce its size. The Board of Directors has no reason to believe that the nominees named below will be unable to serve if elected. Each of the nominees has consented to being named in this proxy statement and to serve if elected.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jc w:val="both"/>
        <w:ind w:left="200" w:right="100"/>
        <w:spacing w:after="0"/>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97155</wp:posOffset>
            </wp:positionV>
            <wp:extent cx="214630"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4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below Class III Director nominees.</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NOMINEES FOR CLASS III DIRECTORS (TERMS TO EXPIRE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The current members of the Board of Directors who are also nominees for election to the Board of Directors as Class III Directors are as follows:</w:t>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540" w:type="dxa"/>
            <w:vAlign w:val="bottom"/>
            <w:shd w:val="clear" w:color="auto" w:fill="D8D8D8"/>
          </w:tcPr>
          <w:p>
            <w:pPr>
              <w:spacing w:after="0"/>
              <w:rPr>
                <w:sz w:val="14"/>
                <w:szCs w:val="14"/>
                <w:color w:val="auto"/>
              </w:rPr>
            </w:pPr>
          </w:p>
        </w:tc>
        <w:tc>
          <w:tcPr>
            <w:tcW w:w="1700" w:type="dxa"/>
            <w:vAlign w:val="bottom"/>
            <w:shd w:val="clear" w:color="auto" w:fill="D8D8D8"/>
          </w:tcPr>
          <w:p>
            <w:pPr>
              <w:spacing w:after="0"/>
              <w:rPr>
                <w:sz w:val="14"/>
                <w:szCs w:val="14"/>
                <w:color w:val="auto"/>
              </w:rPr>
            </w:pPr>
          </w:p>
        </w:tc>
        <w:tc>
          <w:tcPr>
            <w:tcW w:w="1620" w:type="dxa"/>
            <w:vAlign w:val="bottom"/>
            <w:shd w:val="clear" w:color="auto" w:fill="D8D8D8"/>
          </w:tcPr>
          <w:p>
            <w:pPr>
              <w:jc w:val="center"/>
              <w:ind w:left="92"/>
              <w:spacing w:after="0"/>
              <w:rPr>
                <w:sz w:val="20"/>
                <w:szCs w:val="20"/>
                <w:color w:val="auto"/>
              </w:rPr>
            </w:pPr>
            <w:r>
              <w:rPr>
                <w:rFonts w:ascii="Arial" w:cs="Arial" w:eastAsia="Arial" w:hAnsi="Arial"/>
                <w:sz w:val="14"/>
                <w:szCs w:val="14"/>
                <w:b w:val="1"/>
                <w:bCs w:val="1"/>
                <w:color w:val="auto"/>
                <w:w w:val="95"/>
              </w:rPr>
              <w:t>Served as a</w:t>
            </w:r>
          </w:p>
        </w:tc>
        <w:tc>
          <w:tcPr>
            <w:tcW w:w="5160" w:type="dxa"/>
            <w:vAlign w:val="bottom"/>
            <w:shd w:val="clear" w:color="auto" w:fill="D8D8D8"/>
          </w:tcPr>
          <w:p>
            <w:pPr>
              <w:spacing w:after="0"/>
              <w:rPr>
                <w:sz w:val="14"/>
                <w:szCs w:val="14"/>
                <w:color w:val="auto"/>
              </w:rPr>
            </w:pPr>
          </w:p>
        </w:tc>
      </w:tr>
      <w:tr>
        <w:trPr>
          <w:trHeight w:val="179"/>
        </w:trPr>
        <w:tc>
          <w:tcPr>
            <w:tcW w:w="254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auto"/>
            </w:tcBorders>
            <w:shd w:val="clear" w:color="auto" w:fill="D8D8D8"/>
          </w:tcPr>
          <w:p>
            <w:pPr>
              <w:jc w:val="center"/>
              <w:ind w:left="532"/>
              <w:spacing w:after="0"/>
              <w:rPr>
                <w:sz w:val="20"/>
                <w:szCs w:val="20"/>
                <w:color w:val="auto"/>
              </w:rPr>
            </w:pPr>
            <w:r>
              <w:rPr>
                <w:rFonts w:ascii="Arial" w:cs="Arial" w:eastAsia="Arial" w:hAnsi="Arial"/>
                <w:sz w:val="14"/>
                <w:szCs w:val="14"/>
                <w:b w:val="1"/>
                <w:bCs w:val="1"/>
                <w:color w:val="auto"/>
                <w:w w:val="98"/>
              </w:rPr>
              <w:t>Age</w:t>
            </w:r>
          </w:p>
        </w:tc>
        <w:tc>
          <w:tcPr>
            <w:tcW w:w="1620" w:type="dxa"/>
            <w:vAlign w:val="bottom"/>
            <w:tcBorders>
              <w:bottom w:val="single" w:sz="8" w:color="auto"/>
            </w:tcBorders>
            <w:shd w:val="clear" w:color="auto" w:fill="D8D8D8"/>
          </w:tcPr>
          <w:p>
            <w:pPr>
              <w:jc w:val="center"/>
              <w:ind w:left="92"/>
              <w:spacing w:after="0"/>
              <w:rPr>
                <w:sz w:val="20"/>
                <w:szCs w:val="20"/>
                <w:color w:val="auto"/>
              </w:rPr>
            </w:pPr>
            <w:r>
              <w:rPr>
                <w:rFonts w:ascii="Arial" w:cs="Arial" w:eastAsia="Arial" w:hAnsi="Arial"/>
                <w:sz w:val="14"/>
                <w:szCs w:val="14"/>
                <w:b w:val="1"/>
                <w:bCs w:val="1"/>
                <w:color w:val="auto"/>
                <w:w w:val="94"/>
              </w:rPr>
              <w:t>Director Since</w:t>
            </w:r>
          </w:p>
        </w:tc>
        <w:tc>
          <w:tcPr>
            <w:tcW w:w="5160" w:type="dxa"/>
            <w:vAlign w:val="bottom"/>
            <w:tcBorders>
              <w:bottom w:val="single" w:sz="8" w:color="auto"/>
            </w:tcBorders>
            <w:shd w:val="clear" w:color="auto" w:fill="D8D8D8"/>
          </w:tcPr>
          <w:p>
            <w:pPr>
              <w:ind w:left="260"/>
              <w:spacing w:after="0"/>
              <w:rPr>
                <w:sz w:val="20"/>
                <w:szCs w:val="20"/>
                <w:color w:val="auto"/>
              </w:rPr>
            </w:pPr>
            <w:r>
              <w:rPr>
                <w:rFonts w:ascii="Arial" w:cs="Arial" w:eastAsia="Arial" w:hAnsi="Arial"/>
                <w:sz w:val="14"/>
                <w:szCs w:val="14"/>
                <w:b w:val="1"/>
                <w:bCs w:val="1"/>
                <w:color w:val="auto"/>
              </w:rPr>
              <w:t>Position with Seres</w:t>
            </w:r>
          </w:p>
        </w:tc>
      </w:tr>
      <w:tr>
        <w:trPr>
          <w:trHeight w:val="196"/>
        </w:trPr>
        <w:tc>
          <w:tcPr>
            <w:tcW w:w="2540" w:type="dxa"/>
            <w:vAlign w:val="bottom"/>
          </w:tcPr>
          <w:p>
            <w:pPr>
              <w:ind w:left="20"/>
              <w:spacing w:after="0"/>
              <w:rPr>
                <w:sz w:val="20"/>
                <w:szCs w:val="20"/>
                <w:color w:val="auto"/>
              </w:rPr>
            </w:pPr>
            <w:r>
              <w:rPr>
                <w:rFonts w:ascii="Arial" w:cs="Arial" w:eastAsia="Arial" w:hAnsi="Arial"/>
                <w:sz w:val="14"/>
                <w:szCs w:val="14"/>
                <w:color w:val="auto"/>
              </w:rPr>
              <w:t>Noubar B. Afeyan, Ph.D.</w:t>
            </w:r>
          </w:p>
        </w:tc>
        <w:tc>
          <w:tcPr>
            <w:tcW w:w="1700" w:type="dxa"/>
            <w:vAlign w:val="bottom"/>
          </w:tcPr>
          <w:p>
            <w:pPr>
              <w:jc w:val="center"/>
              <w:ind w:left="532"/>
              <w:spacing w:after="0"/>
              <w:rPr>
                <w:sz w:val="20"/>
                <w:szCs w:val="20"/>
                <w:color w:val="auto"/>
              </w:rPr>
            </w:pPr>
            <w:r>
              <w:rPr>
                <w:rFonts w:ascii="Arial" w:cs="Arial" w:eastAsia="Arial" w:hAnsi="Arial"/>
                <w:sz w:val="14"/>
                <w:szCs w:val="14"/>
                <w:color w:val="auto"/>
                <w:w w:val="89"/>
              </w:rPr>
              <w:t>55</w:t>
            </w:r>
          </w:p>
        </w:tc>
        <w:tc>
          <w:tcPr>
            <w:tcW w:w="1620" w:type="dxa"/>
            <w:vAlign w:val="bottom"/>
          </w:tcPr>
          <w:p>
            <w:pPr>
              <w:jc w:val="center"/>
              <w:ind w:left="92"/>
              <w:spacing w:after="0"/>
              <w:rPr>
                <w:sz w:val="20"/>
                <w:szCs w:val="20"/>
                <w:color w:val="auto"/>
              </w:rPr>
            </w:pPr>
            <w:r>
              <w:rPr>
                <w:rFonts w:ascii="Arial" w:cs="Arial" w:eastAsia="Arial" w:hAnsi="Arial"/>
                <w:sz w:val="14"/>
                <w:szCs w:val="14"/>
                <w:color w:val="auto"/>
                <w:w w:val="96"/>
              </w:rPr>
              <w:t>2010</w:t>
            </w:r>
          </w:p>
        </w:tc>
        <w:tc>
          <w:tcPr>
            <w:tcW w:w="516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203"/>
        </w:trPr>
        <w:tc>
          <w:tcPr>
            <w:tcW w:w="2540" w:type="dxa"/>
            <w:vAlign w:val="bottom"/>
            <w:shd w:val="clear" w:color="auto" w:fill="D8D8D8"/>
          </w:tcPr>
          <w:p>
            <w:pPr>
              <w:ind w:left="20"/>
              <w:spacing w:after="0"/>
              <w:rPr>
                <w:sz w:val="20"/>
                <w:szCs w:val="20"/>
                <w:color w:val="auto"/>
              </w:rPr>
            </w:pPr>
            <w:r>
              <w:rPr>
                <w:rFonts w:ascii="Arial" w:cs="Arial" w:eastAsia="Arial" w:hAnsi="Arial"/>
                <w:sz w:val="14"/>
                <w:szCs w:val="14"/>
                <w:color w:val="auto"/>
              </w:rPr>
              <w:t>Grégory Behar</w:t>
            </w:r>
          </w:p>
        </w:tc>
        <w:tc>
          <w:tcPr>
            <w:tcW w:w="1700" w:type="dxa"/>
            <w:vAlign w:val="bottom"/>
            <w:shd w:val="clear" w:color="auto" w:fill="D8D8D8"/>
          </w:tcPr>
          <w:p>
            <w:pPr>
              <w:jc w:val="center"/>
              <w:ind w:left="532"/>
              <w:spacing w:after="0"/>
              <w:rPr>
                <w:sz w:val="20"/>
                <w:szCs w:val="20"/>
                <w:color w:val="auto"/>
              </w:rPr>
            </w:pPr>
            <w:r>
              <w:rPr>
                <w:rFonts w:ascii="Arial" w:cs="Arial" w:eastAsia="Arial" w:hAnsi="Arial"/>
                <w:sz w:val="14"/>
                <w:szCs w:val="14"/>
                <w:color w:val="auto"/>
                <w:w w:val="89"/>
              </w:rPr>
              <w:t>48</w:t>
            </w:r>
          </w:p>
        </w:tc>
        <w:tc>
          <w:tcPr>
            <w:tcW w:w="1620" w:type="dxa"/>
            <w:vAlign w:val="bottom"/>
            <w:shd w:val="clear" w:color="auto" w:fill="D8D8D8"/>
          </w:tcPr>
          <w:p>
            <w:pPr>
              <w:jc w:val="center"/>
              <w:ind w:left="92"/>
              <w:spacing w:after="0"/>
              <w:rPr>
                <w:sz w:val="20"/>
                <w:szCs w:val="20"/>
                <w:color w:val="auto"/>
              </w:rPr>
            </w:pPr>
            <w:r>
              <w:rPr>
                <w:rFonts w:ascii="Arial" w:cs="Arial" w:eastAsia="Arial" w:hAnsi="Arial"/>
                <w:sz w:val="14"/>
                <w:szCs w:val="14"/>
                <w:color w:val="auto"/>
                <w:w w:val="96"/>
              </w:rPr>
              <w:t>2014</w:t>
            </w:r>
          </w:p>
        </w:tc>
        <w:tc>
          <w:tcPr>
            <w:tcW w:w="5160" w:type="dxa"/>
            <w:vAlign w:val="bottom"/>
            <w:shd w:val="clear" w:color="auto" w:fill="D8D8D8"/>
          </w:tcPr>
          <w:p>
            <w:pPr>
              <w:ind w:left="260"/>
              <w:spacing w:after="0"/>
              <w:rPr>
                <w:sz w:val="20"/>
                <w:szCs w:val="20"/>
                <w:color w:val="auto"/>
              </w:rPr>
            </w:pPr>
            <w:r>
              <w:rPr>
                <w:rFonts w:ascii="Arial" w:cs="Arial" w:eastAsia="Arial" w:hAnsi="Arial"/>
                <w:sz w:val="14"/>
                <w:szCs w:val="14"/>
                <w:color w:val="auto"/>
              </w:rPr>
              <w:t>Director</w:t>
            </w:r>
          </w:p>
        </w:tc>
      </w:tr>
      <w:tr>
        <w:trPr>
          <w:trHeight w:val="202"/>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Kurt C. Graves</w:t>
            </w:r>
          </w:p>
        </w:tc>
        <w:tc>
          <w:tcPr>
            <w:tcW w:w="1700" w:type="dxa"/>
            <w:vAlign w:val="bottom"/>
            <w:tcBorders>
              <w:bottom w:val="single" w:sz="8" w:color="auto"/>
            </w:tcBorders>
          </w:tcPr>
          <w:p>
            <w:pPr>
              <w:jc w:val="center"/>
              <w:ind w:left="532"/>
              <w:spacing w:after="0"/>
              <w:rPr>
                <w:sz w:val="20"/>
                <w:szCs w:val="20"/>
                <w:color w:val="auto"/>
              </w:rPr>
            </w:pPr>
            <w:r>
              <w:rPr>
                <w:rFonts w:ascii="Arial" w:cs="Arial" w:eastAsia="Arial" w:hAnsi="Arial"/>
                <w:sz w:val="14"/>
                <w:szCs w:val="14"/>
                <w:color w:val="auto"/>
                <w:w w:val="89"/>
              </w:rPr>
              <w:t>50</w:t>
            </w:r>
          </w:p>
        </w:tc>
        <w:tc>
          <w:tcPr>
            <w:tcW w:w="1620" w:type="dxa"/>
            <w:vAlign w:val="bottom"/>
            <w:tcBorders>
              <w:bottom w:val="single" w:sz="8" w:color="auto"/>
            </w:tcBorders>
          </w:tcPr>
          <w:p>
            <w:pPr>
              <w:jc w:val="center"/>
              <w:ind w:left="92"/>
              <w:spacing w:after="0"/>
              <w:rPr>
                <w:sz w:val="20"/>
                <w:szCs w:val="20"/>
                <w:color w:val="auto"/>
              </w:rPr>
            </w:pPr>
            <w:r>
              <w:rPr>
                <w:rFonts w:ascii="Arial" w:cs="Arial" w:eastAsia="Arial" w:hAnsi="Arial"/>
                <w:sz w:val="14"/>
                <w:szCs w:val="14"/>
                <w:color w:val="auto"/>
                <w:w w:val="96"/>
              </w:rPr>
              <w:t>2015</w:t>
            </w:r>
          </w:p>
        </w:tc>
        <w:tc>
          <w:tcPr>
            <w:tcW w:w="51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Director</w:t>
            </w:r>
          </w:p>
        </w:tc>
      </w:tr>
    </w:tbl>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III Nominee for election at the 2018</w:t>
      </w:r>
    </w:p>
    <w:p>
      <w:pPr>
        <w:ind w:left="200"/>
        <w:spacing w:after="0"/>
        <w:rPr>
          <w:sz w:val="20"/>
          <w:szCs w:val="20"/>
          <w:color w:val="auto"/>
        </w:rPr>
      </w:pPr>
      <w:r>
        <w:rPr>
          <w:rFonts w:ascii="Arial" w:cs="Arial" w:eastAsia="Arial" w:hAnsi="Arial"/>
          <w:sz w:val="18"/>
          <w:szCs w:val="18"/>
          <w:color w:val="auto"/>
        </w:rPr>
        <w:t>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229235</wp:posOffset>
            </wp:positionV>
            <wp:extent cx="6997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640"/>
        <w:spacing w:after="0"/>
        <w:tabs>
          <w:tab w:leader="none" w:pos="10720" w:val="left"/>
        </w:tabs>
        <w:rPr>
          <w:sz w:val="20"/>
          <w:szCs w:val="20"/>
          <w:color w:val="auto"/>
        </w:rPr>
      </w:pPr>
      <w:r>
        <w:rPr>
          <w:rFonts w:ascii="Arial" w:cs="Arial" w:eastAsia="Arial" w:hAnsi="Arial"/>
          <w:sz w:val="14"/>
          <w:szCs w:val="14"/>
          <w:b w:val="1"/>
          <w:bCs w:val="1"/>
          <w:color w:val="auto"/>
        </w:rPr>
        <w:t>NOUBAR B. AFEYAN, PH.D.</w:t>
      </w:r>
      <w:r>
        <w:rPr>
          <w:sz w:val="20"/>
          <w:szCs w:val="20"/>
          <w:color w:val="auto"/>
        </w:rPr>
        <w:tab/>
      </w:r>
      <w:r>
        <w:rPr>
          <w:rFonts w:ascii="Arial" w:cs="Arial" w:eastAsia="Arial" w:hAnsi="Arial"/>
          <w:sz w:val="12"/>
          <w:szCs w:val="12"/>
          <w:i w:val="1"/>
          <w:iCs w:val="1"/>
          <w:color w:val="auto"/>
        </w:rPr>
        <w:t>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28575</wp:posOffset>
            </wp:positionV>
            <wp:extent cx="6997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-99695</wp:posOffset>
            </wp:positionV>
            <wp:extent cx="111760" cy="111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05"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Noubar B. Afeyan, Ph.D. has served as a member of our board of directors since October 2010. Since 1999, Dr. Afeyan has served as the Senior Managing Partner and Chief Executive Officer of Flagship Pioneering, formerly known as Flagship Ventures, an early-stage venture capital firm that he co-founded. Dr. Afeyan serves on the board of directors of numerous privately and publicly held companies, including Moderna Therapeutics, Inc., and has previously served on the board of directors of several public companies, including BG Medicine, Inc., BIND Therapeutics, Inc., and Eleven Biotherapeutics, Inc. Dr. Afeyan received a B.S. in Chemical Engineering from McGill University and a Ph.D. in Biochemical Engineering from the Massachusetts Institute of Technology. He is currently a visiting lecturer of business administration at Harvard Business School and was previously a senior lecturer at the Massachusetts Institute of Technology’s Sloan School of Management where he taught courses on technology entrepreneurship, innovation and leadership. We believe Dr. Afeyan is qualified to serve on our board of directors because of his extensive investment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6997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spacing w:after="0"/>
        <w:tabs>
          <w:tab w:leader="none" w:pos="10720" w:val="left"/>
        </w:tabs>
        <w:rPr>
          <w:sz w:val="20"/>
          <w:szCs w:val="20"/>
          <w:color w:val="auto"/>
        </w:rPr>
      </w:pPr>
      <w:r>
        <w:rPr>
          <w:rFonts w:ascii="Arial" w:cs="Arial" w:eastAsia="Arial" w:hAnsi="Arial"/>
          <w:sz w:val="14"/>
          <w:szCs w:val="14"/>
          <w:b w:val="1"/>
          <w:bCs w:val="1"/>
          <w:color w:val="auto"/>
        </w:rPr>
        <w:t>GRÉGORY BEHAR</w:t>
      </w:r>
      <w:r>
        <w:rPr>
          <w:sz w:val="20"/>
          <w:szCs w:val="20"/>
          <w:color w:val="auto"/>
        </w:rPr>
        <w:tab/>
      </w:r>
      <w:r>
        <w:rPr>
          <w:rFonts w:ascii="Arial" w:cs="Arial" w:eastAsia="Arial" w:hAnsi="Arial"/>
          <w:sz w:val="12"/>
          <w:szCs w:val="12"/>
          <w:i w:val="1"/>
          <w:iCs w:val="1"/>
          <w:color w:val="auto"/>
        </w:rPr>
        <w:t>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28575</wp:posOffset>
            </wp:positionV>
            <wp:extent cx="6997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-99695</wp:posOffset>
            </wp:positionV>
            <wp:extent cx="111760"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05"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Grégory Behar has served as a member of our board of directors since December 2014. Mr. Behar has served as Chief Executive Officer of Nestlé Health Science S.A., a health sciences company, since October 2014. From July 2011 to July 2014, Mr. Behar was President and Chief Executive Officer of Boehringer Ingelheim Pharmaceuticals Inc. (USA), a pharmaceutical company. From 2010 to July 2011, Mr. Behar was Corporate Vice President Region NECAR (North European Union, Canada and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PROPOSAL 1—ELECTION OF DIRECTORS</w:t>
      </w:r>
    </w:p>
    <w:p>
      <w:pPr>
        <w:spacing w:after="0" w:line="136"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Australasia) for Boehringer-Ingelheim GmbH, a pharmaceutical company. Mr. Behar received his B.S.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40"/>
        <w:spacing w:after="0"/>
        <w:tabs>
          <w:tab w:leader="none" w:pos="10720" w:val="left"/>
        </w:tabs>
        <w:rPr>
          <w:sz w:val="20"/>
          <w:szCs w:val="20"/>
          <w:color w:val="auto"/>
        </w:rPr>
      </w:pPr>
      <w:r>
        <w:rPr>
          <w:rFonts w:ascii="Arial" w:cs="Arial" w:eastAsia="Arial" w:hAnsi="Arial"/>
          <w:sz w:val="14"/>
          <w:szCs w:val="14"/>
          <w:b w:val="1"/>
          <w:bCs w:val="1"/>
          <w:color w:val="auto"/>
        </w:rPr>
        <w:t>KURT C. GRAVES</w:t>
      </w:r>
      <w:r>
        <w:rPr>
          <w:sz w:val="20"/>
          <w:szCs w:val="20"/>
          <w:color w:val="auto"/>
        </w:rPr>
        <w:tab/>
      </w:r>
      <w:r>
        <w:rPr>
          <w:rFonts w:ascii="Arial" w:cs="Arial" w:eastAsia="Arial" w:hAnsi="Arial"/>
          <w:sz w:val="12"/>
          <w:szCs w:val="12"/>
          <w:i w:val="1"/>
          <w:iCs w:val="1"/>
          <w:color w:val="auto"/>
        </w:rPr>
        <w:t>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28575</wp:posOffset>
            </wp:positionV>
            <wp:extent cx="6997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-99695</wp:posOffset>
            </wp:positionV>
            <wp:extent cx="111760" cy="1117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18"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Kurt C. Graves has served as a member of our board of directors since November 2015. Mr. Graves has been the Chairman, President and Chief Executive Officer of Intarcia Therapeutics, Inc. (“Intarcia”), a biotechnology company, since April 2012. Mr. Graves served as Executive Chairman of Biolex Therapeutics, a biotechnology company, from November 2010 to March 2012, and served as Executive Chairman of Intarcia from August 2010 to April 2012. Previously, he served as Executive Vice President, Chief Commercial Officer and Head of Strategic Development at Vertex Pharmaceuticals Inc. from July 2007 to October 2009. Prior to joining Vertex, Mr. Graves held various leadership positions at Novartis Pharmaceuticals Corporation from 1999 to June 2007. He was also the first Chief Marketing Officer for the pharmaceuticals division from September 2003 to June 2007. He has served as a director of Intarcia since 2012, Radius Health, Inc. since 2011, and Achillion Pharmaceuticals, Inc. since 2012.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CONTINUING MEMBERS OF THE BOARD OF DIRECTORS: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CLASS I DIRECTORS (TERMS TO EXPIRE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current members of the Board of Directors who are Class I Directors are as follows:</w:t>
      </w:r>
    </w:p>
    <w:p>
      <w:pPr>
        <w:spacing w:after="0" w:line="4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960" w:type="dxa"/>
            <w:vAlign w:val="bottom"/>
            <w:shd w:val="clear" w:color="auto" w:fill="D8D8D8"/>
          </w:tcPr>
          <w:p>
            <w:pPr>
              <w:spacing w:after="0"/>
              <w:rPr>
                <w:sz w:val="14"/>
                <w:szCs w:val="14"/>
                <w:color w:val="auto"/>
              </w:rPr>
            </w:pPr>
          </w:p>
        </w:tc>
        <w:tc>
          <w:tcPr>
            <w:tcW w:w="2180" w:type="dxa"/>
            <w:vAlign w:val="bottom"/>
            <w:shd w:val="clear" w:color="auto" w:fill="D8D8D8"/>
          </w:tcPr>
          <w:p>
            <w:pPr>
              <w:spacing w:after="0"/>
              <w:rPr>
                <w:sz w:val="14"/>
                <w:szCs w:val="14"/>
                <w:color w:val="auto"/>
              </w:rPr>
            </w:pPr>
          </w:p>
        </w:tc>
        <w:tc>
          <w:tcPr>
            <w:tcW w:w="1880" w:type="dxa"/>
            <w:vAlign w:val="bottom"/>
            <w:shd w:val="clear" w:color="auto" w:fill="D8D8D8"/>
          </w:tcPr>
          <w:p>
            <w:pPr>
              <w:jc w:val="center"/>
              <w:ind w:left="32"/>
              <w:spacing w:after="0"/>
              <w:rPr>
                <w:sz w:val="20"/>
                <w:szCs w:val="20"/>
                <w:color w:val="auto"/>
              </w:rPr>
            </w:pPr>
            <w:r>
              <w:rPr>
                <w:rFonts w:ascii="Arial" w:cs="Arial" w:eastAsia="Arial" w:hAnsi="Arial"/>
                <w:sz w:val="14"/>
                <w:szCs w:val="14"/>
                <w:b w:val="1"/>
                <w:bCs w:val="1"/>
                <w:color w:val="auto"/>
                <w:w w:val="95"/>
              </w:rPr>
              <w:t>Served as a</w:t>
            </w:r>
          </w:p>
        </w:tc>
        <w:tc>
          <w:tcPr>
            <w:tcW w:w="4000" w:type="dxa"/>
            <w:vAlign w:val="bottom"/>
            <w:shd w:val="clear" w:color="auto" w:fill="D8D8D8"/>
          </w:tcPr>
          <w:p>
            <w:pPr>
              <w:spacing w:after="0"/>
              <w:rPr>
                <w:sz w:val="14"/>
                <w:szCs w:val="14"/>
                <w:color w:val="auto"/>
              </w:rPr>
            </w:pPr>
          </w:p>
        </w:tc>
      </w:tr>
      <w:tr>
        <w:trPr>
          <w:trHeight w:val="165"/>
        </w:trPr>
        <w:tc>
          <w:tcPr>
            <w:tcW w:w="29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Name</w:t>
            </w:r>
          </w:p>
        </w:tc>
        <w:tc>
          <w:tcPr>
            <w:tcW w:w="2180" w:type="dxa"/>
            <w:vAlign w:val="bottom"/>
            <w:tcBorders>
              <w:bottom w:val="single" w:sz="8" w:color="auto"/>
            </w:tcBorders>
            <w:shd w:val="clear" w:color="auto" w:fill="D8D8D8"/>
          </w:tcPr>
          <w:p>
            <w:pPr>
              <w:jc w:val="center"/>
              <w:ind w:left="772"/>
              <w:spacing w:after="0"/>
              <w:rPr>
                <w:sz w:val="20"/>
                <w:szCs w:val="20"/>
                <w:color w:val="auto"/>
              </w:rPr>
            </w:pPr>
            <w:r>
              <w:rPr>
                <w:rFonts w:ascii="Arial" w:cs="Arial" w:eastAsia="Arial" w:hAnsi="Arial"/>
                <w:sz w:val="14"/>
                <w:szCs w:val="14"/>
                <w:b w:val="1"/>
                <w:bCs w:val="1"/>
                <w:color w:val="auto"/>
                <w:w w:val="98"/>
              </w:rPr>
              <w:t>Age</w:t>
            </w:r>
          </w:p>
        </w:tc>
        <w:tc>
          <w:tcPr>
            <w:tcW w:w="1880" w:type="dxa"/>
            <w:vAlign w:val="bottom"/>
            <w:tcBorders>
              <w:bottom w:val="single" w:sz="8" w:color="auto"/>
            </w:tcBorders>
            <w:shd w:val="clear" w:color="auto" w:fill="D8D8D8"/>
          </w:tcPr>
          <w:p>
            <w:pPr>
              <w:jc w:val="center"/>
              <w:ind w:left="32"/>
              <w:spacing w:after="0"/>
              <w:rPr>
                <w:sz w:val="20"/>
                <w:szCs w:val="20"/>
                <w:color w:val="auto"/>
              </w:rPr>
            </w:pPr>
            <w:r>
              <w:rPr>
                <w:rFonts w:ascii="Arial" w:cs="Arial" w:eastAsia="Arial" w:hAnsi="Arial"/>
                <w:sz w:val="14"/>
                <w:szCs w:val="14"/>
                <w:b w:val="1"/>
                <w:bCs w:val="1"/>
                <w:color w:val="auto"/>
                <w:w w:val="94"/>
              </w:rPr>
              <w:t>Director Since</w:t>
            </w:r>
          </w:p>
        </w:tc>
        <w:tc>
          <w:tcPr>
            <w:tcW w:w="4000" w:type="dxa"/>
            <w:vAlign w:val="bottom"/>
            <w:tcBorders>
              <w:bottom w:val="single" w:sz="8" w:color="auto"/>
            </w:tcBorders>
            <w:shd w:val="clear" w:color="auto" w:fill="D8D8D8"/>
          </w:tcPr>
          <w:p>
            <w:pPr>
              <w:ind w:left="420"/>
              <w:spacing w:after="0"/>
              <w:rPr>
                <w:sz w:val="20"/>
                <w:szCs w:val="20"/>
                <w:color w:val="auto"/>
              </w:rPr>
            </w:pPr>
            <w:r>
              <w:rPr>
                <w:rFonts w:ascii="Arial" w:cs="Arial" w:eastAsia="Arial" w:hAnsi="Arial"/>
                <w:sz w:val="14"/>
                <w:szCs w:val="14"/>
                <w:b w:val="1"/>
                <w:bCs w:val="1"/>
                <w:color w:val="auto"/>
              </w:rPr>
              <w:t>Position with Seres</w:t>
            </w:r>
          </w:p>
        </w:tc>
      </w:tr>
      <w:tr>
        <w:trPr>
          <w:trHeight w:val="196"/>
        </w:trPr>
        <w:tc>
          <w:tcPr>
            <w:tcW w:w="2960" w:type="dxa"/>
            <w:vAlign w:val="bottom"/>
          </w:tcPr>
          <w:p>
            <w:pPr>
              <w:ind w:left="20"/>
              <w:spacing w:after="0"/>
              <w:rPr>
                <w:sz w:val="20"/>
                <w:szCs w:val="20"/>
                <w:color w:val="auto"/>
              </w:rPr>
            </w:pPr>
            <w:r>
              <w:rPr>
                <w:rFonts w:ascii="Arial" w:cs="Arial" w:eastAsia="Arial" w:hAnsi="Arial"/>
                <w:sz w:val="14"/>
                <w:szCs w:val="14"/>
                <w:color w:val="auto"/>
              </w:rPr>
              <w:t>Dennis A. Ausiello, M.D.</w:t>
            </w:r>
          </w:p>
        </w:tc>
        <w:tc>
          <w:tcPr>
            <w:tcW w:w="2180" w:type="dxa"/>
            <w:vAlign w:val="bottom"/>
          </w:tcPr>
          <w:p>
            <w:pPr>
              <w:jc w:val="center"/>
              <w:ind w:left="772"/>
              <w:spacing w:after="0"/>
              <w:rPr>
                <w:sz w:val="20"/>
                <w:szCs w:val="20"/>
                <w:color w:val="auto"/>
              </w:rPr>
            </w:pPr>
            <w:r>
              <w:rPr>
                <w:rFonts w:ascii="Arial" w:cs="Arial" w:eastAsia="Arial" w:hAnsi="Arial"/>
                <w:sz w:val="14"/>
                <w:szCs w:val="14"/>
                <w:color w:val="auto"/>
                <w:w w:val="89"/>
              </w:rPr>
              <w:t>72</w:t>
            </w:r>
          </w:p>
        </w:tc>
        <w:tc>
          <w:tcPr>
            <w:tcW w:w="1880" w:type="dxa"/>
            <w:vAlign w:val="bottom"/>
          </w:tcPr>
          <w:p>
            <w:pPr>
              <w:jc w:val="center"/>
              <w:ind w:left="32"/>
              <w:spacing w:after="0"/>
              <w:rPr>
                <w:sz w:val="20"/>
                <w:szCs w:val="20"/>
                <w:color w:val="auto"/>
              </w:rPr>
            </w:pPr>
            <w:r>
              <w:rPr>
                <w:rFonts w:ascii="Arial" w:cs="Arial" w:eastAsia="Arial" w:hAnsi="Arial"/>
                <w:sz w:val="14"/>
                <w:szCs w:val="14"/>
                <w:color w:val="auto"/>
                <w:w w:val="96"/>
              </w:rPr>
              <w:t>2015</w:t>
            </w:r>
          </w:p>
        </w:tc>
        <w:tc>
          <w:tcPr>
            <w:tcW w:w="4000" w:type="dxa"/>
            <w:vAlign w:val="bottom"/>
          </w:tcPr>
          <w:p>
            <w:pPr>
              <w:ind w:left="420"/>
              <w:spacing w:after="0"/>
              <w:rPr>
                <w:sz w:val="20"/>
                <w:szCs w:val="20"/>
                <w:color w:val="auto"/>
              </w:rPr>
            </w:pPr>
            <w:r>
              <w:rPr>
                <w:rFonts w:ascii="Arial" w:cs="Arial" w:eastAsia="Arial" w:hAnsi="Arial"/>
                <w:sz w:val="14"/>
                <w:szCs w:val="14"/>
                <w:color w:val="auto"/>
              </w:rPr>
              <w:t>Director</w:t>
            </w:r>
          </w:p>
        </w:tc>
      </w:tr>
      <w:tr>
        <w:trPr>
          <w:trHeight w:val="189"/>
        </w:trPr>
        <w:tc>
          <w:tcPr>
            <w:tcW w:w="2960" w:type="dxa"/>
            <w:vAlign w:val="bottom"/>
            <w:shd w:val="clear" w:color="auto" w:fill="D8D8D8"/>
          </w:tcPr>
          <w:p>
            <w:pPr>
              <w:ind w:left="20"/>
              <w:spacing w:after="0"/>
              <w:rPr>
                <w:sz w:val="20"/>
                <w:szCs w:val="20"/>
                <w:color w:val="auto"/>
              </w:rPr>
            </w:pPr>
            <w:r>
              <w:rPr>
                <w:rFonts w:ascii="Arial" w:cs="Arial" w:eastAsia="Arial" w:hAnsi="Arial"/>
                <w:sz w:val="14"/>
                <w:szCs w:val="14"/>
                <w:color w:val="auto"/>
              </w:rPr>
              <w:t>Roger J. Pomerantz, M.D.</w:t>
            </w:r>
          </w:p>
        </w:tc>
        <w:tc>
          <w:tcPr>
            <w:tcW w:w="2180" w:type="dxa"/>
            <w:vAlign w:val="bottom"/>
            <w:shd w:val="clear" w:color="auto" w:fill="D8D8D8"/>
          </w:tcPr>
          <w:p>
            <w:pPr>
              <w:jc w:val="center"/>
              <w:ind w:left="772"/>
              <w:spacing w:after="0"/>
              <w:rPr>
                <w:sz w:val="20"/>
                <w:szCs w:val="20"/>
                <w:color w:val="auto"/>
              </w:rPr>
            </w:pPr>
            <w:r>
              <w:rPr>
                <w:rFonts w:ascii="Arial" w:cs="Arial" w:eastAsia="Arial" w:hAnsi="Arial"/>
                <w:sz w:val="14"/>
                <w:szCs w:val="14"/>
                <w:color w:val="auto"/>
                <w:w w:val="89"/>
              </w:rPr>
              <w:t>61</w:t>
            </w:r>
          </w:p>
        </w:tc>
        <w:tc>
          <w:tcPr>
            <w:tcW w:w="1880" w:type="dxa"/>
            <w:vAlign w:val="bottom"/>
            <w:shd w:val="clear" w:color="auto" w:fill="D8D8D8"/>
          </w:tcPr>
          <w:p>
            <w:pPr>
              <w:jc w:val="center"/>
              <w:ind w:left="32"/>
              <w:spacing w:after="0"/>
              <w:rPr>
                <w:sz w:val="20"/>
                <w:szCs w:val="20"/>
                <w:color w:val="auto"/>
              </w:rPr>
            </w:pPr>
            <w:r>
              <w:rPr>
                <w:rFonts w:ascii="Arial" w:cs="Arial" w:eastAsia="Arial" w:hAnsi="Arial"/>
                <w:sz w:val="14"/>
                <w:szCs w:val="14"/>
                <w:color w:val="auto"/>
                <w:w w:val="96"/>
              </w:rPr>
              <w:t>2013</w:t>
            </w:r>
          </w:p>
        </w:tc>
        <w:tc>
          <w:tcPr>
            <w:tcW w:w="4000" w:type="dxa"/>
            <w:vAlign w:val="bottom"/>
            <w:shd w:val="clear" w:color="auto" w:fill="D8D8D8"/>
          </w:tcPr>
          <w:p>
            <w:pPr>
              <w:ind w:left="420"/>
              <w:spacing w:after="0"/>
              <w:rPr>
                <w:sz w:val="20"/>
                <w:szCs w:val="20"/>
                <w:color w:val="auto"/>
              </w:rPr>
            </w:pPr>
            <w:r>
              <w:rPr>
                <w:rFonts w:ascii="Arial" w:cs="Arial" w:eastAsia="Arial" w:hAnsi="Arial"/>
                <w:sz w:val="14"/>
                <w:szCs w:val="14"/>
                <w:color w:val="auto"/>
              </w:rPr>
              <w:t>President, Chief Executive Officer and Chairman of the</w:t>
            </w:r>
          </w:p>
        </w:tc>
      </w:tr>
      <w:tr>
        <w:trPr>
          <w:trHeight w:val="163"/>
        </w:trPr>
        <w:tc>
          <w:tcPr>
            <w:tcW w:w="2960" w:type="dxa"/>
            <w:vAlign w:val="bottom"/>
            <w:shd w:val="clear" w:color="auto" w:fill="D8D8D8"/>
          </w:tcPr>
          <w:p>
            <w:pPr>
              <w:spacing w:after="0"/>
              <w:rPr>
                <w:sz w:val="14"/>
                <w:szCs w:val="14"/>
                <w:color w:val="auto"/>
              </w:rPr>
            </w:pPr>
          </w:p>
        </w:tc>
        <w:tc>
          <w:tcPr>
            <w:tcW w:w="2180" w:type="dxa"/>
            <w:vAlign w:val="bottom"/>
            <w:shd w:val="clear" w:color="auto" w:fill="D8D8D8"/>
          </w:tcPr>
          <w:p>
            <w:pPr>
              <w:spacing w:after="0"/>
              <w:rPr>
                <w:sz w:val="14"/>
                <w:szCs w:val="14"/>
                <w:color w:val="auto"/>
              </w:rPr>
            </w:pPr>
          </w:p>
        </w:tc>
        <w:tc>
          <w:tcPr>
            <w:tcW w:w="1880" w:type="dxa"/>
            <w:vAlign w:val="bottom"/>
            <w:shd w:val="clear" w:color="auto" w:fill="D8D8D8"/>
          </w:tcPr>
          <w:p>
            <w:pPr>
              <w:spacing w:after="0"/>
              <w:rPr>
                <w:sz w:val="14"/>
                <w:szCs w:val="14"/>
                <w:color w:val="auto"/>
              </w:rPr>
            </w:pPr>
          </w:p>
        </w:tc>
        <w:tc>
          <w:tcPr>
            <w:tcW w:w="4000" w:type="dxa"/>
            <w:vAlign w:val="bottom"/>
            <w:shd w:val="clear" w:color="auto" w:fill="D8D8D8"/>
          </w:tcPr>
          <w:p>
            <w:pPr>
              <w:ind w:left="420"/>
              <w:spacing w:after="0"/>
              <w:rPr>
                <w:sz w:val="20"/>
                <w:szCs w:val="20"/>
                <w:color w:val="auto"/>
              </w:rPr>
            </w:pPr>
            <w:r>
              <w:rPr>
                <w:rFonts w:ascii="Arial" w:cs="Arial" w:eastAsia="Arial" w:hAnsi="Arial"/>
                <w:sz w:val="14"/>
                <w:szCs w:val="14"/>
                <w:color w:val="auto"/>
              </w:rPr>
              <w:t>Board</w:t>
            </w:r>
          </w:p>
        </w:tc>
      </w:tr>
      <w:tr>
        <w:trPr>
          <w:trHeight w:val="20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Willard H. Dere, M.D.</w:t>
            </w:r>
          </w:p>
        </w:tc>
        <w:tc>
          <w:tcPr>
            <w:tcW w:w="2180" w:type="dxa"/>
            <w:vAlign w:val="bottom"/>
            <w:tcBorders>
              <w:bottom w:val="single" w:sz="8" w:color="auto"/>
            </w:tcBorders>
          </w:tcPr>
          <w:p>
            <w:pPr>
              <w:jc w:val="center"/>
              <w:ind w:left="772"/>
              <w:spacing w:after="0"/>
              <w:rPr>
                <w:sz w:val="20"/>
                <w:szCs w:val="20"/>
                <w:color w:val="auto"/>
              </w:rPr>
            </w:pPr>
            <w:r>
              <w:rPr>
                <w:rFonts w:ascii="Arial" w:cs="Arial" w:eastAsia="Arial" w:hAnsi="Arial"/>
                <w:sz w:val="14"/>
                <w:szCs w:val="14"/>
                <w:color w:val="auto"/>
                <w:w w:val="89"/>
              </w:rPr>
              <w:t>64</w:t>
            </w:r>
          </w:p>
        </w:tc>
        <w:tc>
          <w:tcPr>
            <w:tcW w:w="188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96"/>
              </w:rPr>
              <w:t>2017</w:t>
            </w:r>
          </w:p>
        </w:tc>
        <w:tc>
          <w:tcPr>
            <w:tcW w:w="400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Director</w:t>
            </w:r>
          </w:p>
        </w:tc>
      </w:tr>
    </w:tbl>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229235</wp:posOffset>
            </wp:positionV>
            <wp:extent cx="6997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640"/>
        <w:spacing w:after="0"/>
        <w:tabs>
          <w:tab w:leader="none" w:pos="10720" w:val="left"/>
        </w:tabs>
        <w:rPr>
          <w:sz w:val="20"/>
          <w:szCs w:val="20"/>
          <w:color w:val="auto"/>
        </w:rPr>
      </w:pPr>
      <w:r>
        <w:rPr>
          <w:rFonts w:ascii="Arial" w:cs="Arial" w:eastAsia="Arial" w:hAnsi="Arial"/>
          <w:sz w:val="14"/>
          <w:szCs w:val="14"/>
          <w:b w:val="1"/>
          <w:bCs w:val="1"/>
          <w:color w:val="auto"/>
        </w:rPr>
        <w:t>DENNIS A. AUSIELLO, M.D.</w:t>
      </w:r>
      <w:r>
        <w:rPr>
          <w:sz w:val="20"/>
          <w:szCs w:val="20"/>
          <w:color w:val="auto"/>
        </w:rPr>
        <w:tab/>
      </w:r>
      <w:r>
        <w:rPr>
          <w:rFonts w:ascii="Arial" w:cs="Arial" w:eastAsia="Arial" w:hAnsi="Arial"/>
          <w:sz w:val="12"/>
          <w:szCs w:val="12"/>
          <w:i w:val="1"/>
          <w:iCs w:val="1"/>
          <w:color w:val="auto"/>
        </w:rPr>
        <w:t>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62865</wp:posOffset>
            </wp:positionV>
            <wp:extent cx="6997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-99695</wp:posOffset>
            </wp:positionV>
            <wp:extent cx="111760" cy="111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91"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Dennis A. Ausiello, M.D. has served as a member of our board of directors since April 2015. Dr. Ausiello serves as the Director of the Center for Assessment Technology and Continuous Health (CATCH),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also served on the board of directors of Pfizer Inc. since December 2006 and Alnylam Pharmaceuticals, Inc. since April 2012. Dr. Ausiello received his undergraduate degree from Harvard College and an M.D. from the University of Pennsylvania. We believe that Dr. Ausiello is qualified to serve on our board of directors because of his extensive experience as a physician and as a director of pharmaceutical companies.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PROPOSAL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318135</wp:posOffset>
            </wp:positionV>
            <wp:extent cx="6997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640"/>
        <w:spacing w:after="0"/>
        <w:tabs>
          <w:tab w:leader="none" w:pos="10720" w:val="left"/>
        </w:tabs>
        <w:rPr>
          <w:sz w:val="20"/>
          <w:szCs w:val="20"/>
          <w:color w:val="auto"/>
        </w:rPr>
      </w:pPr>
      <w:r>
        <w:rPr>
          <w:rFonts w:ascii="Arial" w:cs="Arial" w:eastAsia="Arial" w:hAnsi="Arial"/>
          <w:sz w:val="14"/>
          <w:szCs w:val="14"/>
          <w:b w:val="1"/>
          <w:bCs w:val="1"/>
          <w:color w:val="auto"/>
        </w:rPr>
        <w:t>WILLARD H. DERE, M.D.</w:t>
      </w:r>
      <w:r>
        <w:rPr>
          <w:sz w:val="20"/>
          <w:szCs w:val="20"/>
          <w:color w:val="auto"/>
        </w:rPr>
        <w:tab/>
      </w:r>
      <w:r>
        <w:rPr>
          <w:rFonts w:ascii="Arial" w:cs="Arial" w:eastAsia="Arial" w:hAnsi="Arial"/>
          <w:sz w:val="12"/>
          <w:szCs w:val="12"/>
          <w:i w:val="1"/>
          <w:iCs w:val="1"/>
          <w:color w:val="auto"/>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62865</wp:posOffset>
            </wp:positionV>
            <wp:extent cx="6997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-99695</wp:posOffset>
            </wp:positionV>
            <wp:extent cx="111760" cy="1117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72"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Willard H. Dere, M.D. has served on our board of directors since July 2017. Since November 2014, Dr. Dere has been Professor of Internal Medicine, B. Lue and Hope S. Bettilyon Presidential Endowed Chair in Internal Medicine for Diabetes Research, Executive Director of Personalized Health, and Co-Principal Investigator of the Center for Clinical and Translational Science at the University of Utah Health Sciences Center. Prior to his professorship, from 2003 until his retirement in October 2014, Dr. Dere held multiple roles at Amgen Inc., including Head of Global Development, and both corporate and international Chief Medical Officer, and led development of programs in various therapeutic areas. Dr. Dere currently serves on the boards of directors of BioMarin Pharmaceutical, Inc., and Radius Health, Inc., and previously served on the board of Ocera Therapeutics, Inc. Dr. Dere received his undergraduate and medical degrees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spacing w:after="0"/>
        <w:tabs>
          <w:tab w:leader="none" w:pos="10720" w:val="left"/>
        </w:tabs>
        <w:rPr>
          <w:sz w:val="20"/>
          <w:szCs w:val="20"/>
          <w:color w:val="auto"/>
        </w:rPr>
      </w:pPr>
      <w:r>
        <w:rPr>
          <w:rFonts w:ascii="Arial" w:cs="Arial" w:eastAsia="Arial" w:hAnsi="Arial"/>
          <w:sz w:val="14"/>
          <w:szCs w:val="14"/>
          <w:b w:val="1"/>
          <w:bCs w:val="1"/>
          <w:color w:val="auto"/>
        </w:rPr>
        <w:t>ROGER J. POMERANTZ, M.D.</w:t>
      </w:r>
      <w:r>
        <w:rPr>
          <w:sz w:val="20"/>
          <w:szCs w:val="20"/>
          <w:color w:val="auto"/>
        </w:rPr>
        <w:tab/>
      </w:r>
      <w:r>
        <w:rPr>
          <w:rFonts w:ascii="Arial" w:cs="Arial" w:eastAsia="Arial" w:hAnsi="Arial"/>
          <w:sz w:val="12"/>
          <w:szCs w:val="12"/>
          <w:i w:val="1"/>
          <w:iCs w:val="1"/>
          <w:color w:val="auto"/>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62865</wp:posOffset>
            </wp:positionV>
            <wp:extent cx="6997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-99695</wp:posOffset>
            </wp:positionV>
            <wp:extent cx="111760" cy="1117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59"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Roger J. Pomerantz, M.D. has served as our President and Chief Executive Officer since June 2014 and as Chairman of our board of directors since November 2013. Since July 2014, Dr. Pomerantz has been a Senior Partner at Flagship Pioneering, formerly known as Flagship Ventures, an early-stage venture capital firm. From January 2011 to September 2013, Dr. Pomerantz was Worldwide Head of Licensing and Acquisitions and Senior Vice President at Merck &amp; Co., Inc., (“Merck”), a pharmaceutical company, where he oversaw licensing and acquisitions for Merck Research Laboratories, the research and development division of Merck. From February 2010 to February 2013, Dr. Pomerantz served as Global Head of Infectious Diseases and Senior Vice President at Merck, where he oversaw pharmaceutical development and discovery of antibiotics, antivirals, antifungals and antiparasitic agents. Prior to Merck, Dr. Pomerantz was Global Head of Infectious Diseases for the pharmaceutical division of Johnson &amp; Johnson, Inc. (“Johnson &amp; Johnson”), a multinational medical device, consumer goods and pharmaceutical corporation, where he was responsible for anti-infective agents worldwide. He joined Johnson &amp; Johnson in August 2005 as President of Tibotec Pharmaceuticals, Inc., now Janssen Therapeutics and a subsidiary of Johnson &amp; Johnson a pharmaceutical company focused on the treatment of infectious diseases. Dr. Pomerantz has led the development of ten approved infectious disease drugs for diseases including HIV, HCV and tuberculosis. He has served on the board of directors of ContraFect Corporation, a biotech company, since 2014. Dr. Pomerantz received his B.A. in Biochemistry from The Johns Hopkins University and his M.D. from The Johns Hopkins School of Medicine. We believe Dr. Pomerantz’s extensive academic and clinical experience, as well as his knowledge of the pharmaceutical industry, qualifies him to serve on our board of directors.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CLASS II DIRECTORS (TERMS TO EXPIRE AT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current members of the Board of Directors who are Class II Directors are as follows:</w:t>
      </w:r>
    </w:p>
    <w:p>
      <w:pPr>
        <w:spacing w:after="0" w:line="4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660" w:type="dxa"/>
            <w:vAlign w:val="bottom"/>
            <w:shd w:val="clear" w:color="auto" w:fill="D8D8D8"/>
          </w:tcPr>
          <w:p>
            <w:pPr>
              <w:spacing w:after="0"/>
              <w:rPr>
                <w:sz w:val="14"/>
                <w:szCs w:val="14"/>
                <w:color w:val="auto"/>
              </w:rPr>
            </w:pPr>
          </w:p>
        </w:tc>
        <w:tc>
          <w:tcPr>
            <w:tcW w:w="2200" w:type="dxa"/>
            <w:vAlign w:val="bottom"/>
            <w:shd w:val="clear" w:color="auto" w:fill="D8D8D8"/>
          </w:tcPr>
          <w:p>
            <w:pPr>
              <w:spacing w:after="0"/>
              <w:rPr>
                <w:sz w:val="14"/>
                <w:szCs w:val="14"/>
                <w:color w:val="auto"/>
              </w:rPr>
            </w:pPr>
          </w:p>
        </w:tc>
        <w:tc>
          <w:tcPr>
            <w:tcW w:w="2320" w:type="dxa"/>
            <w:vAlign w:val="bottom"/>
            <w:shd w:val="clear" w:color="auto" w:fill="D8D8D8"/>
          </w:tcPr>
          <w:p>
            <w:pPr>
              <w:jc w:val="right"/>
              <w:ind w:right="492"/>
              <w:spacing w:after="0"/>
              <w:rPr>
                <w:sz w:val="20"/>
                <w:szCs w:val="20"/>
                <w:color w:val="auto"/>
              </w:rPr>
            </w:pPr>
            <w:r>
              <w:rPr>
                <w:rFonts w:ascii="Arial" w:cs="Arial" w:eastAsia="Arial" w:hAnsi="Arial"/>
                <w:sz w:val="14"/>
                <w:szCs w:val="14"/>
                <w:b w:val="1"/>
                <w:bCs w:val="1"/>
                <w:color w:val="auto"/>
              </w:rPr>
              <w:t>Served as a</w:t>
            </w:r>
          </w:p>
        </w:tc>
        <w:tc>
          <w:tcPr>
            <w:tcW w:w="3840" w:type="dxa"/>
            <w:vAlign w:val="bottom"/>
            <w:shd w:val="clear" w:color="auto" w:fill="D8D8D8"/>
          </w:tcPr>
          <w:p>
            <w:pPr>
              <w:spacing w:after="0"/>
              <w:rPr>
                <w:sz w:val="14"/>
                <w:szCs w:val="14"/>
                <w:color w:val="auto"/>
              </w:rPr>
            </w:pPr>
          </w:p>
        </w:tc>
      </w:tr>
      <w:tr>
        <w:trPr>
          <w:trHeight w:val="165"/>
        </w:trPr>
        <w:tc>
          <w:tcPr>
            <w:tcW w:w="26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Name</w:t>
            </w:r>
          </w:p>
        </w:tc>
        <w:tc>
          <w:tcPr>
            <w:tcW w:w="2200" w:type="dxa"/>
            <w:vAlign w:val="bottom"/>
            <w:tcBorders>
              <w:bottom w:val="single" w:sz="8" w:color="auto"/>
            </w:tcBorders>
            <w:shd w:val="clear" w:color="auto" w:fill="D8D8D8"/>
          </w:tcPr>
          <w:p>
            <w:pPr>
              <w:jc w:val="right"/>
              <w:ind w:right="512"/>
              <w:spacing w:after="0"/>
              <w:rPr>
                <w:sz w:val="20"/>
                <w:szCs w:val="20"/>
                <w:color w:val="auto"/>
              </w:rPr>
            </w:pPr>
            <w:r>
              <w:rPr>
                <w:rFonts w:ascii="Arial" w:cs="Arial" w:eastAsia="Arial" w:hAnsi="Arial"/>
                <w:sz w:val="14"/>
                <w:szCs w:val="14"/>
                <w:b w:val="1"/>
                <w:bCs w:val="1"/>
                <w:color w:val="auto"/>
              </w:rPr>
              <w:t>Age</w:t>
            </w:r>
          </w:p>
        </w:tc>
        <w:tc>
          <w:tcPr>
            <w:tcW w:w="2320" w:type="dxa"/>
            <w:vAlign w:val="bottom"/>
            <w:tcBorders>
              <w:bottom w:val="single" w:sz="8" w:color="auto"/>
            </w:tcBorders>
            <w:shd w:val="clear" w:color="auto" w:fill="D8D8D8"/>
          </w:tcPr>
          <w:p>
            <w:pPr>
              <w:jc w:val="right"/>
              <w:ind w:right="412"/>
              <w:spacing w:after="0"/>
              <w:rPr>
                <w:sz w:val="20"/>
                <w:szCs w:val="20"/>
                <w:color w:val="auto"/>
              </w:rPr>
            </w:pPr>
            <w:r>
              <w:rPr>
                <w:rFonts w:ascii="Arial" w:cs="Arial" w:eastAsia="Arial" w:hAnsi="Arial"/>
                <w:sz w:val="14"/>
                <w:szCs w:val="14"/>
                <w:b w:val="1"/>
                <w:bCs w:val="1"/>
                <w:color w:val="auto"/>
              </w:rPr>
              <w:t>Director Since</w:t>
            </w:r>
          </w:p>
        </w:tc>
        <w:tc>
          <w:tcPr>
            <w:tcW w:w="3840" w:type="dxa"/>
            <w:vAlign w:val="bottom"/>
            <w:tcBorders>
              <w:bottom w:val="single" w:sz="8" w:color="auto"/>
            </w:tcBorders>
            <w:shd w:val="clear" w:color="auto" w:fill="D8D8D8"/>
          </w:tcPr>
          <w:p>
            <w:pPr>
              <w:ind w:left="480"/>
              <w:spacing w:after="0"/>
              <w:rPr>
                <w:sz w:val="20"/>
                <w:szCs w:val="20"/>
                <w:color w:val="auto"/>
              </w:rPr>
            </w:pPr>
            <w:r>
              <w:rPr>
                <w:rFonts w:ascii="Arial" w:cs="Arial" w:eastAsia="Arial" w:hAnsi="Arial"/>
                <w:sz w:val="14"/>
                <w:szCs w:val="14"/>
                <w:b w:val="1"/>
                <w:bCs w:val="1"/>
                <w:color w:val="auto"/>
              </w:rPr>
              <w:t>Position(s) with Seres</w:t>
            </w:r>
          </w:p>
        </w:tc>
      </w:tr>
      <w:tr>
        <w:trPr>
          <w:trHeight w:val="196"/>
        </w:trPr>
        <w:tc>
          <w:tcPr>
            <w:tcW w:w="2660" w:type="dxa"/>
            <w:vAlign w:val="bottom"/>
          </w:tcPr>
          <w:p>
            <w:pPr>
              <w:ind w:left="20"/>
              <w:spacing w:after="0"/>
              <w:rPr>
                <w:sz w:val="20"/>
                <w:szCs w:val="20"/>
                <w:color w:val="auto"/>
              </w:rPr>
            </w:pPr>
            <w:r>
              <w:rPr>
                <w:rFonts w:ascii="Arial" w:cs="Arial" w:eastAsia="Arial" w:hAnsi="Arial"/>
                <w:sz w:val="14"/>
                <w:szCs w:val="14"/>
                <w:color w:val="auto"/>
              </w:rPr>
              <w:t>Richard N. Kender</w:t>
            </w:r>
          </w:p>
        </w:tc>
        <w:tc>
          <w:tcPr>
            <w:tcW w:w="2200" w:type="dxa"/>
            <w:vAlign w:val="bottom"/>
          </w:tcPr>
          <w:p>
            <w:pPr>
              <w:jc w:val="right"/>
              <w:ind w:right="512"/>
              <w:spacing w:after="0"/>
              <w:rPr>
                <w:sz w:val="20"/>
                <w:szCs w:val="20"/>
                <w:color w:val="auto"/>
              </w:rPr>
            </w:pPr>
            <w:r>
              <w:rPr>
                <w:rFonts w:ascii="Arial" w:cs="Arial" w:eastAsia="Arial" w:hAnsi="Arial"/>
                <w:sz w:val="14"/>
                <w:szCs w:val="14"/>
                <w:color w:val="auto"/>
              </w:rPr>
              <w:t>62</w:t>
            </w:r>
          </w:p>
        </w:tc>
        <w:tc>
          <w:tcPr>
            <w:tcW w:w="2320" w:type="dxa"/>
            <w:vAlign w:val="bottom"/>
          </w:tcPr>
          <w:p>
            <w:pPr>
              <w:jc w:val="right"/>
              <w:ind w:right="412"/>
              <w:spacing w:after="0"/>
              <w:rPr>
                <w:sz w:val="20"/>
                <w:szCs w:val="20"/>
                <w:color w:val="auto"/>
              </w:rPr>
            </w:pPr>
            <w:r>
              <w:rPr>
                <w:rFonts w:ascii="Arial" w:cs="Arial" w:eastAsia="Arial" w:hAnsi="Arial"/>
                <w:sz w:val="14"/>
                <w:szCs w:val="14"/>
                <w:color w:val="auto"/>
              </w:rPr>
              <w:t>2014</w:t>
            </w:r>
          </w:p>
        </w:tc>
        <w:tc>
          <w:tcPr>
            <w:tcW w:w="3840" w:type="dxa"/>
            <w:vAlign w:val="bottom"/>
          </w:tcPr>
          <w:p>
            <w:pPr>
              <w:ind w:left="480"/>
              <w:spacing w:after="0"/>
              <w:rPr>
                <w:sz w:val="20"/>
                <w:szCs w:val="20"/>
                <w:color w:val="auto"/>
              </w:rPr>
            </w:pPr>
            <w:r>
              <w:rPr>
                <w:rFonts w:ascii="Arial" w:cs="Arial" w:eastAsia="Arial" w:hAnsi="Arial"/>
                <w:sz w:val="14"/>
                <w:szCs w:val="14"/>
                <w:color w:val="auto"/>
              </w:rPr>
              <w:t>Director</w:t>
            </w:r>
          </w:p>
        </w:tc>
      </w:tr>
      <w:tr>
        <w:trPr>
          <w:trHeight w:val="203"/>
        </w:trPr>
        <w:tc>
          <w:tcPr>
            <w:tcW w:w="26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color w:val="auto"/>
              </w:rPr>
              <w:t>Lorence H. Kim, M.D.</w:t>
            </w:r>
          </w:p>
        </w:tc>
        <w:tc>
          <w:tcPr>
            <w:tcW w:w="2200" w:type="dxa"/>
            <w:vAlign w:val="bottom"/>
            <w:tcBorders>
              <w:bottom w:val="single" w:sz="8" w:color="auto"/>
            </w:tcBorders>
            <w:shd w:val="clear" w:color="auto" w:fill="D8D8D8"/>
          </w:tcPr>
          <w:p>
            <w:pPr>
              <w:jc w:val="right"/>
              <w:ind w:right="512"/>
              <w:spacing w:after="0"/>
              <w:rPr>
                <w:sz w:val="20"/>
                <w:szCs w:val="20"/>
                <w:color w:val="auto"/>
              </w:rPr>
            </w:pPr>
            <w:r>
              <w:rPr>
                <w:rFonts w:ascii="Arial" w:cs="Arial" w:eastAsia="Arial" w:hAnsi="Arial"/>
                <w:sz w:val="14"/>
                <w:szCs w:val="14"/>
                <w:color w:val="auto"/>
              </w:rPr>
              <w:t>44</w:t>
            </w:r>
          </w:p>
        </w:tc>
        <w:tc>
          <w:tcPr>
            <w:tcW w:w="2320" w:type="dxa"/>
            <w:vAlign w:val="bottom"/>
            <w:tcBorders>
              <w:bottom w:val="single" w:sz="8" w:color="auto"/>
            </w:tcBorders>
            <w:shd w:val="clear" w:color="auto" w:fill="D8D8D8"/>
          </w:tcPr>
          <w:p>
            <w:pPr>
              <w:jc w:val="right"/>
              <w:ind w:right="412"/>
              <w:spacing w:after="0"/>
              <w:rPr>
                <w:sz w:val="20"/>
                <w:szCs w:val="20"/>
                <w:color w:val="auto"/>
              </w:rPr>
            </w:pPr>
            <w:r>
              <w:rPr>
                <w:rFonts w:ascii="Arial" w:cs="Arial" w:eastAsia="Arial" w:hAnsi="Arial"/>
                <w:sz w:val="14"/>
                <w:szCs w:val="14"/>
                <w:color w:val="auto"/>
              </w:rPr>
              <w:t>2014</w:t>
            </w:r>
          </w:p>
        </w:tc>
        <w:tc>
          <w:tcPr>
            <w:tcW w:w="3840" w:type="dxa"/>
            <w:vAlign w:val="bottom"/>
            <w:tcBorders>
              <w:bottom w:val="single" w:sz="8" w:color="auto"/>
            </w:tcBorders>
            <w:shd w:val="clear" w:color="auto" w:fill="D8D8D8"/>
          </w:tcPr>
          <w:p>
            <w:pPr>
              <w:ind w:left="480"/>
              <w:spacing w:after="0"/>
              <w:rPr>
                <w:sz w:val="20"/>
                <w:szCs w:val="20"/>
                <w:color w:val="auto"/>
              </w:rPr>
            </w:pPr>
            <w:r>
              <w:rPr>
                <w:rFonts w:ascii="Arial" w:cs="Arial" w:eastAsia="Arial" w:hAnsi="Arial"/>
                <w:sz w:val="14"/>
                <w:szCs w:val="14"/>
                <w:color w:val="auto"/>
              </w:rPr>
              <w:t>Director</w:t>
            </w:r>
          </w:p>
        </w:tc>
      </w:tr>
      <w:tr>
        <w:trPr>
          <w:trHeight w:val="304"/>
        </w:trPr>
        <w:tc>
          <w:tcPr>
            <w:tcW w:w="2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20" w:type="dxa"/>
            <w:vAlign w:val="bottom"/>
          </w:tcPr>
          <w:p>
            <w:pPr>
              <w:jc w:val="right"/>
              <w:ind w:right="1572"/>
              <w:spacing w:after="0"/>
              <w:rPr>
                <w:sz w:val="20"/>
                <w:szCs w:val="20"/>
                <w:color w:val="auto"/>
              </w:rPr>
            </w:pPr>
            <w:r>
              <w:rPr>
                <w:rFonts w:ascii="Arial" w:cs="Arial" w:eastAsia="Arial" w:hAnsi="Arial"/>
                <w:sz w:val="14"/>
                <w:szCs w:val="14"/>
                <w:color w:val="auto"/>
              </w:rPr>
              <w:t>9</w:t>
            </w:r>
          </w:p>
        </w:tc>
        <w:tc>
          <w:tcPr>
            <w:tcW w:w="38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PROPOSAL 1—ELECTION OF DIRECTORS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229235</wp:posOffset>
            </wp:positionV>
            <wp:extent cx="6997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640"/>
        <w:spacing w:after="0"/>
        <w:tabs>
          <w:tab w:leader="none" w:pos="10720" w:val="left"/>
        </w:tabs>
        <w:rPr>
          <w:sz w:val="20"/>
          <w:szCs w:val="20"/>
          <w:color w:val="auto"/>
        </w:rPr>
      </w:pPr>
      <w:r>
        <w:rPr>
          <w:rFonts w:ascii="Arial" w:cs="Arial" w:eastAsia="Arial" w:hAnsi="Arial"/>
          <w:sz w:val="14"/>
          <w:szCs w:val="14"/>
          <w:b w:val="1"/>
          <w:bCs w:val="1"/>
          <w:color w:val="auto"/>
        </w:rPr>
        <w:t>RICHARD N. KENDER</w:t>
      </w:r>
      <w:r>
        <w:rPr>
          <w:sz w:val="20"/>
          <w:szCs w:val="20"/>
          <w:color w:val="auto"/>
        </w:rPr>
        <w:tab/>
      </w:r>
      <w:r>
        <w:rPr>
          <w:rFonts w:ascii="Arial" w:cs="Arial" w:eastAsia="Arial" w:hAnsi="Arial"/>
          <w:sz w:val="12"/>
          <w:szCs w:val="12"/>
          <w:i w:val="1"/>
          <w:iCs w:val="1"/>
          <w:color w:val="auto"/>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62865</wp:posOffset>
            </wp:positionV>
            <wp:extent cx="6997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-99695</wp:posOffset>
            </wp:positionV>
            <wp:extent cx="111760" cy="1117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72"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Richard N. Kender has served as a member of our board of directors since October 2014. From October 1978 to September 2013, Mr. Kender held positions in a variety of corporate areas at Merck, most recently serving as Senior Vice President of Business Development and Corporate Licensing. Mr. Kender has served on the board of directors of INC Research Holdings, Inc. since 2014 and Poxel S.A. since 2015. Mr. Kender received a B.S. from Villanova University and an M.B.A. from Fairleigh Dickinson University. We believe Mr. Kender is qualified to serve on our board of directors because of his extensive business experience and his knowledge of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225425</wp:posOffset>
            </wp:positionV>
            <wp:extent cx="6997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40"/>
        <w:spacing w:after="0"/>
        <w:tabs>
          <w:tab w:leader="none" w:pos="10720" w:val="left"/>
        </w:tabs>
        <w:rPr>
          <w:sz w:val="20"/>
          <w:szCs w:val="20"/>
          <w:color w:val="auto"/>
        </w:rPr>
      </w:pPr>
      <w:r>
        <w:rPr>
          <w:rFonts w:ascii="Arial" w:cs="Arial" w:eastAsia="Arial" w:hAnsi="Arial"/>
          <w:sz w:val="14"/>
          <w:szCs w:val="14"/>
          <w:b w:val="1"/>
          <w:bCs w:val="1"/>
          <w:color w:val="auto"/>
        </w:rPr>
        <w:t>LORENCE H. KIM, M.D.</w:t>
      </w:r>
      <w:r>
        <w:rPr>
          <w:sz w:val="20"/>
          <w:szCs w:val="20"/>
          <w:color w:val="auto"/>
        </w:rPr>
        <w:tab/>
      </w:r>
      <w:r>
        <w:rPr>
          <w:rFonts w:ascii="Arial" w:cs="Arial" w:eastAsia="Arial" w:hAnsi="Arial"/>
          <w:sz w:val="12"/>
          <w:szCs w:val="12"/>
          <w:i w:val="1"/>
          <w:iCs w:val="1"/>
          <w:color w:val="auto"/>
        </w:rPr>
        <w:t>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62865</wp:posOffset>
            </wp:positionV>
            <wp:extent cx="6997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-99695</wp:posOffset>
            </wp:positionV>
            <wp:extent cx="111760" cy="1117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59"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Lorence H. Kim, M.D. has served as a member of our board of directors since October 2014. Since April 2014, Dr. Kim has been the Chief Financial Officer of Moderna Therapeutics, Inc., a biotechnology company. From July 2000 to April 2014, Dr. Kim held a number of positions at Goldman, Sachs &amp; Co., an investment bank, most recently as Managing Director and Co-Head of Biotechnology Investment Banking. Dr. Kim received an A.B. from Harvard University, an M.B.A. in Healthcare Management from the Wharton School of the University of Pennsylvania, and an M.D. from the University of Pennsylvania’s School of Medicine. We believe Dr. Kim is qualified to serve on our board of directors because of his finance experience and knowledge of the biotechnology industry.</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PROPOSAL 2</w:t>
      </w:r>
    </w:p>
    <w:p>
      <w:pPr>
        <w:ind w:left="200"/>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Our Audit Committee has appointed PricewaterhouseCoopers LLP as our independent registered public accounting firm for the fiscal year ending December 31, 2018. Our Board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w:t>
      </w:r>
    </w:p>
    <w:p>
      <w:pPr>
        <w:spacing w:after="0" w:line="67"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PricewaterhouseCoopers LLP also served as our independent registered public accounting firm for the fiscal year ended December 31, 2017. Neither the accounting firm nor any of its members has any direct or indirect financial interest in or any connection with us in any capacity other than as our auditors, providing audit and non-audit related services. A representative of PricewaterhouseCoopers LLP is expected to attend the 2018 Annual Meeting and to have an opportunity to make a statement and be available to respond to appropriate questions from stockholders.</w:t>
      </w:r>
    </w:p>
    <w:p>
      <w:pPr>
        <w:spacing w:after="0" w:line="5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In the event that the appointment of PricewaterhouseCoopers LLP is not ratified by the stockholders, the Audit Committee will consider this fact when it appoints the independent auditors for the fiscal year ending December 31, 2019. Even if the appointment of PricewaterhouseCoopers LLP is ratified, the Audit Committee retains the discretion to appoint a different independent auditor at any time if it determines that such a change is in the interest of the Company.</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PricewaterhouseCoopers LLP, we do not expect any broker non-votes in connection with this proposal.</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6" w:lineRule="exact"/>
        <w:rPr>
          <w:sz w:val="20"/>
          <w:szCs w:val="20"/>
          <w:color w:val="auto"/>
        </w:rPr>
      </w:pPr>
    </w:p>
    <w:p>
      <w:pPr>
        <w:ind w:left="860" w:right="1780"/>
        <w:spacing w:after="0" w:line="271"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PricewaterhouseCoopers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-264795</wp:posOffset>
            </wp:positionV>
            <wp:extent cx="214630"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Audit Committee has reviewed the Company’s audited financial statements for the fiscal year ended December 31, 2017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70"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Seres Therapeutics, Inc. The Audit Committee also considered whether the independent registered public accounting firm’s provision of certain other non-audit related services to the Company is compatible with maintaining such firm’s independence.</w:t>
      </w:r>
    </w:p>
    <w:p>
      <w:pPr>
        <w:spacing w:after="0" w:line="55" w:lineRule="exact"/>
        <w:rPr>
          <w:sz w:val="20"/>
          <w:szCs w:val="20"/>
          <w:color w:val="auto"/>
        </w:rPr>
      </w:pPr>
    </w:p>
    <w:p>
      <w:pPr>
        <w:jc w:val="both"/>
        <w:ind w:left="200" w:right="100"/>
        <w:spacing w:after="0" w:line="239"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2017.</w:t>
      </w: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Richard N. Kender (Chair)</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Dennis A. Ausiello</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Willard H. Dere</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160"/>
          </w:cols>
          <w:pgMar w:left="24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services and billed to us in each of the last two fiscal years for other services:</w:t>
      </w:r>
    </w:p>
    <w:p>
      <w:pPr>
        <w:spacing w:after="0" w:line="13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0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Fee Category</w:t>
            </w:r>
          </w:p>
        </w:tc>
        <w:tc>
          <w:tcPr>
            <w:tcW w:w="4100" w:type="dxa"/>
            <w:vAlign w:val="bottom"/>
            <w:tcBorders>
              <w:bottom w:val="single" w:sz="8" w:color="auto"/>
            </w:tcBorders>
            <w:shd w:val="clear" w:color="auto" w:fill="D8D8D8"/>
          </w:tcPr>
          <w:p>
            <w:pPr>
              <w:spacing w:after="0"/>
              <w:rPr>
                <w:sz w:val="14"/>
                <w:szCs w:val="14"/>
                <w:color w:val="auto"/>
              </w:rPr>
            </w:pPr>
          </w:p>
        </w:tc>
        <w:tc>
          <w:tcPr>
            <w:tcW w:w="780" w:type="dxa"/>
            <w:vAlign w:val="bottom"/>
            <w:tcBorders>
              <w:bottom w:val="single" w:sz="8" w:color="auto"/>
            </w:tcBorders>
            <w:shd w:val="clear" w:color="auto" w:fill="D8D8D8"/>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shd w:val="clear" w:color="auto" w:fill="D8D8D8"/>
          </w:tcPr>
          <w:p>
            <w:pPr>
              <w:spacing w:after="0"/>
              <w:rPr>
                <w:sz w:val="14"/>
                <w:szCs w:val="14"/>
                <w:color w:val="auto"/>
              </w:rPr>
            </w:pPr>
          </w:p>
        </w:tc>
        <w:tc>
          <w:tcPr>
            <w:tcW w:w="70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4"/>
                <w:szCs w:val="14"/>
                <w:b w:val="1"/>
                <w:bCs w:val="1"/>
                <w:color w:val="auto"/>
              </w:rPr>
              <w:t>2016</w:t>
            </w:r>
          </w:p>
        </w:tc>
      </w:tr>
      <w:tr>
        <w:trPr>
          <w:trHeight w:val="196"/>
        </w:trPr>
        <w:tc>
          <w:tcPr>
            <w:tcW w:w="5080" w:type="dxa"/>
            <w:vAlign w:val="bottom"/>
          </w:tcPr>
          <w:p>
            <w:pPr>
              <w:ind w:left="20"/>
              <w:spacing w:after="0"/>
              <w:rPr>
                <w:sz w:val="20"/>
                <w:szCs w:val="20"/>
                <w:color w:val="auto"/>
              </w:rPr>
            </w:pPr>
            <w:r>
              <w:rPr>
                <w:rFonts w:ascii="Arial" w:cs="Arial" w:eastAsia="Arial" w:hAnsi="Arial"/>
                <w:sz w:val="14"/>
                <w:szCs w:val="14"/>
                <w:color w:val="auto"/>
              </w:rPr>
              <w:t>Audit Fees</w:t>
            </w:r>
          </w:p>
        </w:tc>
        <w:tc>
          <w:tcPr>
            <w:tcW w:w="41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486,000</w:t>
            </w:r>
          </w:p>
        </w:tc>
        <w:tc>
          <w:tcPr>
            <w:tcW w:w="3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478,000</w:t>
            </w:r>
          </w:p>
        </w:tc>
      </w:tr>
      <w:tr>
        <w:trPr>
          <w:trHeight w:val="203"/>
        </w:trPr>
        <w:tc>
          <w:tcPr>
            <w:tcW w:w="5080" w:type="dxa"/>
            <w:vAlign w:val="bottom"/>
            <w:shd w:val="clear" w:color="auto" w:fill="D8D8D8"/>
          </w:tcPr>
          <w:p>
            <w:pPr>
              <w:ind w:left="20"/>
              <w:spacing w:after="0"/>
              <w:rPr>
                <w:sz w:val="20"/>
                <w:szCs w:val="20"/>
                <w:color w:val="auto"/>
              </w:rPr>
            </w:pPr>
            <w:r>
              <w:rPr>
                <w:rFonts w:ascii="Arial" w:cs="Arial" w:eastAsia="Arial" w:hAnsi="Arial"/>
                <w:sz w:val="14"/>
                <w:szCs w:val="14"/>
                <w:color w:val="auto"/>
              </w:rPr>
              <w:t>Audit-Related Fees</w:t>
            </w:r>
          </w:p>
        </w:tc>
        <w:tc>
          <w:tcPr>
            <w:tcW w:w="410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15,000</w:t>
            </w:r>
          </w:p>
        </w:tc>
        <w:tc>
          <w:tcPr>
            <w:tcW w:w="360" w:type="dxa"/>
            <w:vAlign w:val="bottom"/>
            <w:shd w:val="clear" w:color="auto" w:fill="D8D8D8"/>
          </w:tcPr>
          <w:p>
            <w:pPr>
              <w:spacing w:after="0"/>
              <w:rPr>
                <w:sz w:val="17"/>
                <w:szCs w:val="17"/>
                <w:color w:val="auto"/>
              </w:rPr>
            </w:pPr>
          </w:p>
        </w:tc>
        <w:tc>
          <w:tcPr>
            <w:tcW w:w="70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w:t>
            </w: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color w:val="auto"/>
              </w:rPr>
              <w:t>Tax Fees</w:t>
            </w:r>
          </w:p>
        </w:tc>
        <w:tc>
          <w:tcPr>
            <w:tcW w:w="4100" w:type="dxa"/>
            <w:vAlign w:val="bottom"/>
          </w:tcPr>
          <w:p>
            <w:pPr>
              <w:spacing w:after="0"/>
              <w:rPr>
                <w:sz w:val="17"/>
                <w:szCs w:val="17"/>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03"/>
        </w:trPr>
        <w:tc>
          <w:tcPr>
            <w:tcW w:w="5080" w:type="dxa"/>
            <w:vAlign w:val="bottom"/>
            <w:shd w:val="clear" w:color="auto" w:fill="D8D8D8"/>
          </w:tcPr>
          <w:p>
            <w:pPr>
              <w:ind w:left="20"/>
              <w:spacing w:after="0"/>
              <w:rPr>
                <w:sz w:val="20"/>
                <w:szCs w:val="20"/>
                <w:color w:val="auto"/>
              </w:rPr>
            </w:pPr>
            <w:r>
              <w:rPr>
                <w:rFonts w:ascii="Arial" w:cs="Arial" w:eastAsia="Arial" w:hAnsi="Arial"/>
                <w:sz w:val="14"/>
                <w:szCs w:val="14"/>
                <w:color w:val="auto"/>
              </w:rPr>
              <w:t>All Other Fees</w:t>
            </w:r>
          </w:p>
        </w:tc>
        <w:tc>
          <w:tcPr>
            <w:tcW w:w="410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900</w:t>
            </w:r>
          </w:p>
        </w:tc>
        <w:tc>
          <w:tcPr>
            <w:tcW w:w="360" w:type="dxa"/>
            <w:vAlign w:val="bottom"/>
            <w:shd w:val="clear" w:color="auto" w:fill="D8D8D8"/>
          </w:tcPr>
          <w:p>
            <w:pPr>
              <w:spacing w:after="0"/>
              <w:rPr>
                <w:sz w:val="17"/>
                <w:szCs w:val="17"/>
                <w:color w:val="auto"/>
              </w:rPr>
            </w:pPr>
          </w:p>
        </w:tc>
        <w:tc>
          <w:tcPr>
            <w:tcW w:w="70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w:t>
            </w:r>
          </w:p>
        </w:tc>
      </w:tr>
      <w:tr>
        <w:trPr>
          <w:trHeight w:val="202"/>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Fees</w:t>
            </w:r>
          </w:p>
        </w:tc>
        <w:tc>
          <w:tcPr>
            <w:tcW w:w="4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501,900</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478,000</w:t>
            </w:r>
          </w:p>
        </w:tc>
      </w:tr>
    </w:tbl>
    <w:p>
      <w:pPr>
        <w:spacing w:after="0" w:line="30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700"/>
        <w:spacing w:after="0" w:line="246" w:lineRule="auto"/>
        <w:rPr>
          <w:sz w:val="20"/>
          <w:szCs w:val="20"/>
          <w:color w:val="auto"/>
        </w:rPr>
      </w:pPr>
      <w:r>
        <w:rPr>
          <w:rFonts w:ascii="Arial" w:cs="Arial" w:eastAsia="Arial" w:hAnsi="Arial"/>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Audit-related fees in 2017 consist of fees for services performed related to our adoption of the new revenue standard in the first quarter of 2018. There were no such fees incurred in 2016.</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Tax fees consist of fees for professional services, including tax consulting and compliance performed by PricewaterhouseCoopers LLP.</w:t>
      </w:r>
    </w:p>
    <w:p>
      <w:pPr>
        <w:ind w:left="200"/>
        <w:spacing w:after="0"/>
        <w:rPr>
          <w:sz w:val="20"/>
          <w:szCs w:val="20"/>
          <w:color w:val="auto"/>
        </w:rPr>
      </w:pPr>
      <w:r>
        <w:rPr>
          <w:rFonts w:ascii="Arial" w:cs="Arial" w:eastAsia="Arial" w:hAnsi="Arial"/>
          <w:sz w:val="18"/>
          <w:szCs w:val="18"/>
          <w:color w:val="auto"/>
        </w:rPr>
        <w:t>There were no such fees incurred in 2017 or 2016.</w:t>
      </w:r>
    </w:p>
    <w:p>
      <w:pPr>
        <w:spacing w:after="0" w:line="30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700"/>
        <w:spacing w:after="0" w:line="246" w:lineRule="auto"/>
        <w:rPr>
          <w:sz w:val="20"/>
          <w:szCs w:val="20"/>
          <w:color w:val="auto"/>
        </w:rPr>
      </w:pPr>
      <w:r>
        <w:rPr>
          <w:rFonts w:ascii="Arial" w:cs="Arial" w:eastAsia="Arial" w:hAnsi="Arial"/>
          <w:sz w:val="18"/>
          <w:szCs w:val="18"/>
          <w:color w:val="auto"/>
        </w:rPr>
        <w:t>All Other Fees in 2017 represent non-audit fees in connection with access to the PricewaterhouseCoopers LLP on-line accounting research and disclosures database. We did not incur any other fees in 2016.</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INDEPENDENT REGISTERED PUBLIC ACCOUNTING FIRM FEES AND OTHER MATTERS</w:t>
      </w:r>
    </w:p>
    <w:p>
      <w:pPr>
        <w:spacing w:after="0" w:line="136"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060"/>
          </w:cols>
          <w:pgMar w:left="240" w:top="459" w:right="5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30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Name</w:t>
            </w:r>
          </w:p>
        </w:tc>
        <w:tc>
          <w:tcPr>
            <w:tcW w:w="18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4"/>
                <w:szCs w:val="14"/>
                <w:b w:val="1"/>
                <w:bCs w:val="1"/>
                <w:color w:val="auto"/>
              </w:rPr>
              <w:t>Age</w:t>
            </w:r>
          </w:p>
        </w:tc>
        <w:tc>
          <w:tcPr>
            <w:tcW w:w="5880" w:type="dxa"/>
            <w:vAlign w:val="bottom"/>
            <w:tcBorders>
              <w:bottom w:val="single" w:sz="8" w:color="auto"/>
            </w:tcBorders>
            <w:shd w:val="clear" w:color="auto" w:fill="D8D8D8"/>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196"/>
        </w:trPr>
        <w:tc>
          <w:tcPr>
            <w:tcW w:w="3300" w:type="dxa"/>
            <w:vAlign w:val="bottom"/>
          </w:tcPr>
          <w:p>
            <w:pPr>
              <w:ind w:left="20"/>
              <w:spacing w:after="0"/>
              <w:rPr>
                <w:sz w:val="20"/>
                <w:szCs w:val="20"/>
                <w:color w:val="auto"/>
              </w:rPr>
            </w:pPr>
            <w:r>
              <w:rPr>
                <w:rFonts w:ascii="Arial" w:cs="Arial" w:eastAsia="Arial" w:hAnsi="Arial"/>
                <w:sz w:val="14"/>
                <w:szCs w:val="14"/>
                <w:color w:val="auto"/>
              </w:rPr>
              <w:t>Roger J. Pomerantz, M.D.</w:t>
            </w:r>
            <w:r>
              <w:rPr>
                <w:rFonts w:ascii="Arial" w:cs="Arial" w:eastAsia="Arial" w:hAnsi="Arial"/>
                <w:sz w:val="11"/>
                <w:szCs w:val="11"/>
                <w:color w:val="auto"/>
              </w:rPr>
              <w:t>(1)</w:t>
            </w:r>
          </w:p>
        </w:tc>
        <w:tc>
          <w:tcPr>
            <w:tcW w:w="1840" w:type="dxa"/>
            <w:vAlign w:val="bottom"/>
          </w:tcPr>
          <w:p>
            <w:pPr>
              <w:jc w:val="right"/>
              <w:ind w:right="112"/>
              <w:spacing w:after="0"/>
              <w:rPr>
                <w:sz w:val="20"/>
                <w:szCs w:val="20"/>
                <w:color w:val="auto"/>
              </w:rPr>
            </w:pPr>
            <w:r>
              <w:rPr>
                <w:rFonts w:ascii="Arial" w:cs="Arial" w:eastAsia="Arial" w:hAnsi="Arial"/>
                <w:sz w:val="14"/>
                <w:szCs w:val="14"/>
                <w:color w:val="auto"/>
              </w:rPr>
              <w:t>61</w:t>
            </w:r>
          </w:p>
        </w:tc>
        <w:tc>
          <w:tcPr>
            <w:tcW w:w="5880" w:type="dxa"/>
            <w:vAlign w:val="bottom"/>
          </w:tcPr>
          <w:p>
            <w:pPr>
              <w:ind w:left="180"/>
              <w:spacing w:after="0"/>
              <w:rPr>
                <w:sz w:val="20"/>
                <w:szCs w:val="20"/>
                <w:color w:val="auto"/>
              </w:rPr>
            </w:pPr>
            <w:r>
              <w:rPr>
                <w:rFonts w:ascii="Arial" w:cs="Arial" w:eastAsia="Arial" w:hAnsi="Arial"/>
                <w:sz w:val="14"/>
                <w:szCs w:val="14"/>
                <w:color w:val="auto"/>
              </w:rPr>
              <w:t>President, Chief Executive Officer and Chairman of the Board</w:t>
            </w:r>
          </w:p>
        </w:tc>
      </w:tr>
      <w:tr>
        <w:trPr>
          <w:trHeight w:val="203"/>
        </w:trPr>
        <w:tc>
          <w:tcPr>
            <w:tcW w:w="3300" w:type="dxa"/>
            <w:vAlign w:val="bottom"/>
            <w:shd w:val="clear" w:color="auto" w:fill="D8D8D8"/>
          </w:tcPr>
          <w:p>
            <w:pPr>
              <w:ind w:left="20"/>
              <w:spacing w:after="0"/>
              <w:rPr>
                <w:sz w:val="20"/>
                <w:szCs w:val="20"/>
                <w:color w:val="auto"/>
              </w:rPr>
            </w:pPr>
            <w:r>
              <w:rPr>
                <w:rFonts w:ascii="Arial" w:cs="Arial" w:eastAsia="Arial" w:hAnsi="Arial"/>
                <w:sz w:val="14"/>
                <w:szCs w:val="14"/>
                <w:color w:val="auto"/>
              </w:rPr>
              <w:t>John G. Aunins, Ph.D.</w:t>
            </w:r>
            <w:r>
              <w:rPr>
                <w:rFonts w:ascii="Arial" w:cs="Arial" w:eastAsia="Arial" w:hAnsi="Arial"/>
                <w:sz w:val="11"/>
                <w:szCs w:val="11"/>
                <w:color w:val="auto"/>
              </w:rPr>
              <w:t>(2)</w:t>
            </w:r>
          </w:p>
        </w:tc>
        <w:tc>
          <w:tcPr>
            <w:tcW w:w="184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57</w:t>
            </w:r>
          </w:p>
        </w:tc>
        <w:tc>
          <w:tcPr>
            <w:tcW w:w="5880" w:type="dxa"/>
            <w:vAlign w:val="bottom"/>
            <w:shd w:val="clear" w:color="auto" w:fill="D8D8D8"/>
          </w:tcPr>
          <w:p>
            <w:pPr>
              <w:ind w:left="180"/>
              <w:spacing w:after="0"/>
              <w:rPr>
                <w:sz w:val="20"/>
                <w:szCs w:val="20"/>
                <w:color w:val="auto"/>
              </w:rPr>
            </w:pPr>
            <w:r>
              <w:rPr>
                <w:rFonts w:ascii="Arial" w:cs="Arial" w:eastAsia="Arial" w:hAnsi="Arial"/>
                <w:sz w:val="14"/>
                <w:szCs w:val="14"/>
                <w:color w:val="auto"/>
              </w:rPr>
              <w:t>Executive Vice President of Bioprocess &amp; Manufacturing and Chief Technology Officer</w:t>
            </w:r>
          </w:p>
        </w:tc>
      </w:tr>
      <w:tr>
        <w:trPr>
          <w:trHeight w:val="202"/>
        </w:trPr>
        <w:tc>
          <w:tcPr>
            <w:tcW w:w="3300" w:type="dxa"/>
            <w:vAlign w:val="bottom"/>
          </w:tcPr>
          <w:p>
            <w:pPr>
              <w:ind w:left="20"/>
              <w:spacing w:after="0"/>
              <w:rPr>
                <w:sz w:val="20"/>
                <w:szCs w:val="20"/>
                <w:color w:val="auto"/>
              </w:rPr>
            </w:pPr>
            <w:r>
              <w:rPr>
                <w:rFonts w:ascii="Arial" w:cs="Arial" w:eastAsia="Arial" w:hAnsi="Arial"/>
                <w:sz w:val="14"/>
                <w:szCs w:val="14"/>
                <w:color w:val="auto"/>
              </w:rPr>
              <w:t>David N. Cook, Ph.D.</w:t>
            </w:r>
            <w:r>
              <w:rPr>
                <w:rFonts w:ascii="Arial" w:cs="Arial" w:eastAsia="Arial" w:hAnsi="Arial"/>
                <w:sz w:val="11"/>
                <w:szCs w:val="11"/>
                <w:color w:val="auto"/>
              </w:rPr>
              <w:t>(3)</w:t>
            </w:r>
          </w:p>
        </w:tc>
        <w:tc>
          <w:tcPr>
            <w:tcW w:w="1840" w:type="dxa"/>
            <w:vAlign w:val="bottom"/>
          </w:tcPr>
          <w:p>
            <w:pPr>
              <w:jc w:val="right"/>
              <w:ind w:right="112"/>
              <w:spacing w:after="0"/>
              <w:rPr>
                <w:sz w:val="20"/>
                <w:szCs w:val="20"/>
                <w:color w:val="auto"/>
              </w:rPr>
            </w:pPr>
            <w:r>
              <w:rPr>
                <w:rFonts w:ascii="Arial" w:cs="Arial" w:eastAsia="Arial" w:hAnsi="Arial"/>
                <w:sz w:val="14"/>
                <w:szCs w:val="14"/>
                <w:color w:val="auto"/>
              </w:rPr>
              <w:t>60</w:t>
            </w:r>
          </w:p>
        </w:tc>
        <w:tc>
          <w:tcPr>
            <w:tcW w:w="5880" w:type="dxa"/>
            <w:vAlign w:val="bottom"/>
          </w:tcPr>
          <w:p>
            <w:pPr>
              <w:ind w:left="180"/>
              <w:spacing w:after="0"/>
              <w:rPr>
                <w:sz w:val="20"/>
                <w:szCs w:val="20"/>
                <w:color w:val="auto"/>
              </w:rPr>
            </w:pPr>
            <w:r>
              <w:rPr>
                <w:rFonts w:ascii="Arial" w:cs="Arial" w:eastAsia="Arial" w:hAnsi="Arial"/>
                <w:sz w:val="14"/>
                <w:szCs w:val="14"/>
                <w:color w:val="auto"/>
              </w:rPr>
              <w:t>Executive Vice President of Research &amp; Development and Chief Scientific Officer</w:t>
            </w:r>
          </w:p>
        </w:tc>
      </w:tr>
      <w:tr>
        <w:trPr>
          <w:trHeight w:val="203"/>
        </w:trPr>
        <w:tc>
          <w:tcPr>
            <w:tcW w:w="3300" w:type="dxa"/>
            <w:vAlign w:val="bottom"/>
            <w:shd w:val="clear" w:color="auto" w:fill="D8D8D8"/>
          </w:tcPr>
          <w:p>
            <w:pPr>
              <w:ind w:left="20"/>
              <w:spacing w:after="0"/>
              <w:rPr>
                <w:sz w:val="20"/>
                <w:szCs w:val="20"/>
                <w:color w:val="auto"/>
              </w:rPr>
            </w:pPr>
            <w:r>
              <w:rPr>
                <w:rFonts w:ascii="Arial" w:cs="Arial" w:eastAsia="Arial" w:hAnsi="Arial"/>
                <w:sz w:val="14"/>
                <w:szCs w:val="14"/>
                <w:color w:val="auto"/>
              </w:rPr>
              <w:t>Thomas J. DesRosier</w:t>
            </w:r>
            <w:r>
              <w:rPr>
                <w:rFonts w:ascii="Arial" w:cs="Arial" w:eastAsia="Arial" w:hAnsi="Arial"/>
                <w:sz w:val="11"/>
                <w:szCs w:val="11"/>
                <w:color w:val="auto"/>
              </w:rPr>
              <w:t>(4)</w:t>
            </w:r>
          </w:p>
        </w:tc>
        <w:tc>
          <w:tcPr>
            <w:tcW w:w="184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63</w:t>
            </w:r>
          </w:p>
        </w:tc>
        <w:tc>
          <w:tcPr>
            <w:tcW w:w="5880" w:type="dxa"/>
            <w:vAlign w:val="bottom"/>
            <w:shd w:val="clear" w:color="auto" w:fill="D8D8D8"/>
          </w:tcPr>
          <w:p>
            <w:pPr>
              <w:ind w:left="180"/>
              <w:spacing w:after="0"/>
              <w:rPr>
                <w:sz w:val="20"/>
                <w:szCs w:val="20"/>
                <w:color w:val="auto"/>
              </w:rPr>
            </w:pPr>
            <w:r>
              <w:rPr>
                <w:rFonts w:ascii="Arial" w:cs="Arial" w:eastAsia="Arial" w:hAnsi="Arial"/>
                <w:sz w:val="14"/>
                <w:szCs w:val="14"/>
                <w:color w:val="auto"/>
              </w:rPr>
              <w:t>Executive Vice President and Chief Legal Officer</w:t>
            </w:r>
          </w:p>
        </w:tc>
      </w:tr>
      <w:tr>
        <w:trPr>
          <w:trHeight w:val="202"/>
        </w:trPr>
        <w:tc>
          <w:tcPr>
            <w:tcW w:w="3300" w:type="dxa"/>
            <w:vAlign w:val="bottom"/>
          </w:tcPr>
          <w:p>
            <w:pPr>
              <w:ind w:left="20"/>
              <w:spacing w:after="0"/>
              <w:rPr>
                <w:sz w:val="20"/>
                <w:szCs w:val="20"/>
                <w:color w:val="auto"/>
              </w:rPr>
            </w:pPr>
            <w:r>
              <w:rPr>
                <w:rFonts w:ascii="Arial" w:cs="Arial" w:eastAsia="Arial" w:hAnsi="Arial"/>
                <w:sz w:val="14"/>
                <w:szCs w:val="14"/>
                <w:color w:val="auto"/>
              </w:rPr>
              <w:t>Eric D. Shaff</w:t>
            </w:r>
            <w:r>
              <w:rPr>
                <w:rFonts w:ascii="Arial" w:cs="Arial" w:eastAsia="Arial" w:hAnsi="Arial"/>
                <w:sz w:val="11"/>
                <w:szCs w:val="11"/>
                <w:color w:val="auto"/>
              </w:rPr>
              <w:t>(5)</w:t>
            </w:r>
          </w:p>
        </w:tc>
        <w:tc>
          <w:tcPr>
            <w:tcW w:w="1840" w:type="dxa"/>
            <w:vAlign w:val="bottom"/>
          </w:tcPr>
          <w:p>
            <w:pPr>
              <w:jc w:val="right"/>
              <w:ind w:right="112"/>
              <w:spacing w:after="0"/>
              <w:rPr>
                <w:sz w:val="20"/>
                <w:szCs w:val="20"/>
                <w:color w:val="auto"/>
              </w:rPr>
            </w:pPr>
            <w:r>
              <w:rPr>
                <w:rFonts w:ascii="Arial" w:cs="Arial" w:eastAsia="Arial" w:hAnsi="Arial"/>
                <w:sz w:val="14"/>
                <w:szCs w:val="14"/>
                <w:color w:val="auto"/>
              </w:rPr>
              <w:t>42</w:t>
            </w:r>
          </w:p>
        </w:tc>
        <w:tc>
          <w:tcPr>
            <w:tcW w:w="5880" w:type="dxa"/>
            <w:vAlign w:val="bottom"/>
          </w:tcPr>
          <w:p>
            <w:pPr>
              <w:ind w:left="180"/>
              <w:spacing w:after="0"/>
              <w:rPr>
                <w:sz w:val="20"/>
                <w:szCs w:val="20"/>
                <w:color w:val="auto"/>
              </w:rPr>
            </w:pPr>
            <w:r>
              <w:rPr>
                <w:rFonts w:ascii="Arial" w:cs="Arial" w:eastAsia="Arial" w:hAnsi="Arial"/>
                <w:sz w:val="14"/>
                <w:szCs w:val="14"/>
                <w:color w:val="auto"/>
              </w:rPr>
              <w:t>Executive Vice President and Chief Operating &amp; Financial Officer</w:t>
            </w:r>
          </w:p>
        </w:tc>
      </w:tr>
      <w:tr>
        <w:trPr>
          <w:trHeight w:val="203"/>
        </w:trPr>
        <w:tc>
          <w:tcPr>
            <w:tcW w:w="330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color w:val="auto"/>
              </w:rPr>
              <w:t>Michele Trucksis, Ph.D., M.D.</w:t>
            </w:r>
            <w:r>
              <w:rPr>
                <w:rFonts w:ascii="Arial" w:cs="Arial" w:eastAsia="Arial" w:hAnsi="Arial"/>
                <w:sz w:val="11"/>
                <w:szCs w:val="11"/>
                <w:color w:val="auto"/>
              </w:rPr>
              <w:t>(6)</w:t>
            </w:r>
          </w:p>
        </w:tc>
        <w:tc>
          <w:tcPr>
            <w:tcW w:w="1840" w:type="dxa"/>
            <w:vAlign w:val="bottom"/>
            <w:tcBorders>
              <w:bottom w:val="single" w:sz="8" w:color="auto"/>
            </w:tcBorders>
            <w:shd w:val="clear" w:color="auto" w:fill="D8D8D8"/>
          </w:tcPr>
          <w:p>
            <w:pPr>
              <w:jc w:val="right"/>
              <w:ind w:right="112"/>
              <w:spacing w:after="0"/>
              <w:rPr>
                <w:sz w:val="20"/>
                <w:szCs w:val="20"/>
                <w:color w:val="auto"/>
              </w:rPr>
            </w:pPr>
            <w:r>
              <w:rPr>
                <w:rFonts w:ascii="Arial" w:cs="Arial" w:eastAsia="Arial" w:hAnsi="Arial"/>
                <w:sz w:val="14"/>
                <w:szCs w:val="14"/>
                <w:color w:val="auto"/>
              </w:rPr>
              <w:t>65</w:t>
            </w:r>
          </w:p>
        </w:tc>
        <w:tc>
          <w:tcPr>
            <w:tcW w:w="5880" w:type="dxa"/>
            <w:vAlign w:val="bottom"/>
            <w:tcBorders>
              <w:bottom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Executive Vice President and Chief Medical Officer</w:t>
            </w:r>
          </w:p>
        </w:tc>
      </w:tr>
    </w:tbl>
    <w:p>
      <w:pPr>
        <w:spacing w:after="0" w:line="80" w:lineRule="exact"/>
        <w:rPr>
          <w:sz w:val="20"/>
          <w:szCs w:val="20"/>
          <w:color w:val="auto"/>
        </w:rPr>
      </w:pPr>
    </w:p>
    <w:p>
      <w:pPr>
        <w:ind w:left="340" w:hanging="136"/>
        <w:spacing w:after="0"/>
        <w:tabs>
          <w:tab w:leader="none" w:pos="340" w:val="left"/>
        </w:tabs>
        <w:numPr>
          <w:ilvl w:val="0"/>
          <w:numId w:val="9"/>
        </w:numPr>
        <w:rPr>
          <w:rFonts w:ascii="Arial" w:cs="Arial" w:eastAsia="Arial" w:hAnsi="Arial"/>
          <w:sz w:val="15"/>
          <w:szCs w:val="15"/>
          <w:color w:val="auto"/>
        </w:rPr>
      </w:pPr>
      <w:r>
        <w:rPr>
          <w:rFonts w:ascii="Arial" w:cs="Arial" w:eastAsia="Arial" w:hAnsi="Arial"/>
          <w:sz w:val="18"/>
          <w:szCs w:val="18"/>
          <w:color w:val="auto"/>
        </w:rPr>
        <w:t>See biography on page 9 of this proxy statement.</w:t>
      </w:r>
    </w:p>
    <w:p>
      <w:pPr>
        <w:spacing w:after="0" w:line="63" w:lineRule="exact"/>
        <w:rPr>
          <w:sz w:val="20"/>
          <w:szCs w:val="20"/>
          <w:color w:val="auto"/>
        </w:rPr>
      </w:pPr>
    </w:p>
    <w:p>
      <w:pPr>
        <w:ind w:left="200" w:right="100" w:firstLine="4"/>
        <w:spacing w:after="0" w:line="237" w:lineRule="auto"/>
        <w:tabs>
          <w:tab w:leader="none" w:pos="335" w:val="left"/>
        </w:tabs>
        <w:numPr>
          <w:ilvl w:val="0"/>
          <w:numId w:val="10"/>
        </w:numPr>
        <w:rPr>
          <w:rFonts w:ascii="Arial" w:cs="Arial" w:eastAsia="Arial" w:hAnsi="Arial"/>
          <w:sz w:val="15"/>
          <w:szCs w:val="15"/>
          <w:color w:val="auto"/>
        </w:rPr>
      </w:pPr>
      <w:r>
        <w:rPr>
          <w:rFonts w:ascii="Arial" w:cs="Arial" w:eastAsia="Arial" w:hAnsi="Arial"/>
          <w:sz w:val="18"/>
          <w:szCs w:val="18"/>
          <w:color w:val="auto"/>
        </w:rPr>
        <w:t>John G. Aunins, Ph.D., has served as our Chief Technology Officer and Executive Vice President of Bioprocess Development since December 2012. Prior to joining our company, Dr. Aunins served on our Scientific Advisory Board from February 2012 to December 2012. From April 1989 to November 2011, Dr. Aunins served in various roles at Merck, most recently as Executive Science Director. At Merck, Dr. Aunins led process and product development teams for six licensed vaccines and multiple vaccine candidates. He is a Fellow of the American Institute for Medical and Biological Engineering and an adjunct Full Professor at the Instituto de Tecnologia Quimica e Biologica in Oeiras, Portugal. Dr. Aunins received his B.S. from the University of Kansas and his Ph.D. in Chemical Engineering from the Massachusetts Institute of Technology.</w:t>
      </w:r>
    </w:p>
    <w:p>
      <w:pPr>
        <w:spacing w:after="0" w:line="55" w:lineRule="exact"/>
        <w:rPr>
          <w:sz w:val="20"/>
          <w:szCs w:val="20"/>
          <w:color w:val="auto"/>
        </w:rPr>
      </w:pPr>
    </w:p>
    <w:p>
      <w:pPr>
        <w:ind w:left="200" w:right="60" w:firstLine="4"/>
        <w:spacing w:after="0" w:line="238" w:lineRule="auto"/>
        <w:tabs>
          <w:tab w:leader="none" w:pos="335" w:val="left"/>
        </w:tabs>
        <w:numPr>
          <w:ilvl w:val="0"/>
          <w:numId w:val="11"/>
        </w:numPr>
        <w:rPr>
          <w:rFonts w:ascii="Arial" w:cs="Arial" w:eastAsia="Arial" w:hAnsi="Arial"/>
          <w:sz w:val="15"/>
          <w:szCs w:val="15"/>
          <w:color w:val="auto"/>
        </w:rPr>
      </w:pPr>
      <w:r>
        <w:rPr>
          <w:rFonts w:ascii="Arial" w:cs="Arial" w:eastAsia="Arial" w:hAnsi="Arial"/>
          <w:sz w:val="18"/>
          <w:szCs w:val="18"/>
          <w:color w:val="auto"/>
        </w:rPr>
        <w:t>David N. Cook, Ph.D., has served as our Chief Scientific Officer and Executive Vice President of Research &amp; Development since October 2012. From February 2010 to October 2012, Dr. Cook was the Chief Operating Officer at the International AIDS Vaccine Initiative, a global not-for-profit, research and development organization focused on the development of a safe and accessible vaccine for HIV. As Chief Operating Officer, Dr. Cook acted as the head of operations, overseeing seven international offices and research facilities. Dr. Cook received his A.B. from Harvard College and his Ph.D. in Chemistry from the University of California, Berkeley.</w:t>
      </w:r>
    </w:p>
    <w:p>
      <w:pPr>
        <w:spacing w:after="0" w:line="68" w:lineRule="exact"/>
        <w:rPr>
          <w:sz w:val="20"/>
          <w:szCs w:val="20"/>
          <w:color w:val="auto"/>
        </w:rPr>
      </w:pPr>
    </w:p>
    <w:p>
      <w:pPr>
        <w:ind w:left="200" w:right="280" w:firstLine="4"/>
        <w:spacing w:after="0" w:line="236" w:lineRule="auto"/>
        <w:tabs>
          <w:tab w:leader="none" w:pos="335"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Thomas J. DesRosier has served as our Chief Legal Officer, Executive Vice President, and Secretary since May 2016. Previously, he served as Executive Vice President, Chief Legal and Administrative Officer and Secretary of ARIAD Pharmaceuticals, Inc., a biopharmaceutical company, from 2015 to 2016, as Executive Vice President, Chief Legal and Administrative Officer and Secretary of Cubist Pharmaceuticals, Inc. (“Cubist”), a biopharmaceutical company, from 2014 to 2015 and as Senior Vice President, Chief Legal Officer and Secretary of Cubist from 2013 to 2014. Before that, Mr. DesRosier served as Senior Vice President, General Counsel North America of Sanofi, a global biopharmaceutical company, from 2011 to 2013. From 1999 to 2011, Mr. DesRosier held leadership roles of increasing importance within the legal group of Genzyme Corporation, a biotechnology company, culminating in his role as Senior Vice President, Chief Legal Officer. Mr. DesRosier earned a B.A. in Chemistry from the University of Vermont and a J.D. from Wake Forest University School of Law.</w:t>
      </w:r>
    </w:p>
    <w:p>
      <w:pPr>
        <w:spacing w:after="0" w:line="59" w:lineRule="exact"/>
        <w:rPr>
          <w:sz w:val="20"/>
          <w:szCs w:val="20"/>
          <w:color w:val="auto"/>
        </w:rPr>
      </w:pPr>
    </w:p>
    <w:p>
      <w:pPr>
        <w:ind w:left="200" w:right="160" w:firstLine="4"/>
        <w:spacing w:after="0" w:line="246" w:lineRule="auto"/>
        <w:tabs>
          <w:tab w:leader="none" w:pos="335" w:val="left"/>
        </w:tabs>
        <w:numPr>
          <w:ilvl w:val="0"/>
          <w:numId w:val="13"/>
        </w:numPr>
        <w:rPr>
          <w:rFonts w:ascii="Arial" w:cs="Arial" w:eastAsia="Arial" w:hAnsi="Arial"/>
          <w:sz w:val="15"/>
          <w:szCs w:val="15"/>
          <w:color w:val="auto"/>
        </w:rPr>
      </w:pPr>
      <w:r>
        <w:rPr>
          <w:rFonts w:ascii="Arial" w:cs="Arial" w:eastAsia="Arial" w:hAnsi="Arial"/>
          <w:sz w:val="18"/>
          <w:szCs w:val="18"/>
          <w:color w:val="auto"/>
        </w:rPr>
        <w:t>Eric D. Shaff has served as our Chief Financial Officer and Executive Vice President since November 2014 and as Chief Operating and Financial Officer since February 2018. From January 2012 to</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EXECUTIVE OFFICERS</w:t>
      </w:r>
    </w:p>
    <w:p>
      <w:pPr>
        <w:spacing w:after="0" w:line="136"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November 2014, Mr. Shaff was Vice President of Corporate Finance for Momenta Pharmaceuticals, Inc. (“Momenta”), a biotechnology company, where he helped manage Momenta’s accounting, finance, planning, and procurement functions, as well as contributing to Momenta’s investor relations efforts. From June 2004 to December 2011, Mr. Shaff held a number of corporate development and finance positions with Genzyme Corporation, most recently as Vice President of Finance/Controller for the Personalized Genetic Health division. Mr. Shaff received his B.A. from the University of Pennsylvania and his M.B.A. from Cornell University.</w:t>
      </w:r>
    </w:p>
    <w:p>
      <w:pPr>
        <w:spacing w:after="0" w:line="68" w:lineRule="exact"/>
        <w:rPr>
          <w:sz w:val="20"/>
          <w:szCs w:val="20"/>
          <w:color w:val="auto"/>
        </w:rPr>
      </w:pPr>
    </w:p>
    <w:p>
      <w:pPr>
        <w:ind w:left="200" w:firstLine="4"/>
        <w:spacing w:after="0" w:line="236" w:lineRule="auto"/>
        <w:tabs>
          <w:tab w:leader="none" w:pos="335" w:val="left"/>
        </w:tabs>
        <w:numPr>
          <w:ilvl w:val="0"/>
          <w:numId w:val="14"/>
        </w:numPr>
        <w:rPr>
          <w:rFonts w:ascii="Arial" w:cs="Arial" w:eastAsia="Arial" w:hAnsi="Arial"/>
          <w:sz w:val="15"/>
          <w:szCs w:val="15"/>
          <w:color w:val="auto"/>
        </w:rPr>
      </w:pPr>
      <w:r>
        <w:rPr>
          <w:rFonts w:ascii="Arial" w:cs="Arial" w:eastAsia="Arial" w:hAnsi="Arial"/>
          <w:sz w:val="18"/>
          <w:szCs w:val="18"/>
          <w:color w:val="auto"/>
        </w:rPr>
        <w:t>Michele Trucksis, Ph.D., M.D., has served as our Chief Medical Officer and Executive Vice President since January 2015. Dr. Trucksis was an Associate Clinical Professor at Harvard Medical School from January 2005 to April 2015. From December 2006 to December 2014, Dr. Trucksis held various positions of increasing seniority at Merck Research Laboratories, the research and development division of Merck. Most recently, from June 2014 to December 2014, Dr. Trucksis served as Executive Director, Team Leader &amp; Clinical Lead, Antifungals and Antibacterials where she was responsible for medical, clinical and global product development and strategy. From July 2011 to June 2014, Dr. Trucksis was Project Leader, Antifungals and Antibacterials, and from December 2006 to July 2011, she was Director in Clinical Pharmacology. Dr. Trucksis received her B.S. in Medical Technology from Youngstown State University, her Ph.D. in Biochemistry from Kent State University and her M.D. from Case Western Reserve University School of Medicine.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 of our executive officers is related to any other executive officer or to any of our directors.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Our Board of Directors has adopted Corporate Governance Guidelines, an Insider Trading Compliance Policy,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Insider Trading Compliance Policy, and our Code of Business Conduct and Ethics in the “Corporate Governance” section of the “Investors &amp; Media” page of our website located at www.serestherapeutics.com, or by writing to our Secretary at our offices at 200 Sidney Street, Cambridge, MA 02139.</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Our Board of Directors currently consists of eight members: Roger J. Pomerantz, M.D., Noubar B. Afeyan, Ph.D., Dennis A. Ausiello, M.D., Grégory Behar, Willard H. Dere, M.D., Richard N. Kender, Lorence H. Kim, M.D. and Kurt C. Graves.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left="200" w:right="60"/>
        <w:spacing w:after="0" w:line="252" w:lineRule="auto"/>
        <w:rPr>
          <w:sz w:val="20"/>
          <w:szCs w:val="20"/>
          <w:color w:val="auto"/>
        </w:rPr>
      </w:pPr>
      <w:r>
        <w:rPr>
          <w:rFonts w:ascii="Arial" w:cs="Arial" w:eastAsia="Arial" w:hAnsi="Arial"/>
          <w:sz w:val="17"/>
          <w:szCs w:val="17"/>
          <w:color w:val="auto"/>
        </w:rPr>
        <w:t>All of our directors, other than Roger J. Pomerantz, M.D., qualify as “independent”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Dr. Pomerantz is not independent because he is the President and Chief Executive Officer of our Company. There are no family relationships among any of our directors or executive officers.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CORPORATE GOVERNANCE</w:t>
      </w:r>
    </w:p>
    <w:p>
      <w:pPr>
        <w:spacing w:after="0" w:line="13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 Noubar B. Afeyan, Ph.D., elected to the Board in 2010, was one of the founders of the Company and was recommended by Flagship Pioneering, one of our shareholders. Grégory Behar, elected to the Board in 2015, was recommended by one of our shareholders, Nestlé Health Science US Holdings, Inc. Kurt C. Graves, elected to the Board in 2015, was recommended by our President, Chief Executive Officer and Chairman of the Board.</w:t>
      </w:r>
    </w:p>
    <w:p>
      <w:pPr>
        <w:spacing w:after="0" w:line="7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5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Seres Therapeutics, Inc., 200 Sidney Street, Cambridge, MA 02139. In the event there is a vacancy, and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740"/>
        <w:spacing w:after="0"/>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54" w:lineRule="exact"/>
        <w:rPr>
          <w:sz w:val="20"/>
          <w:szCs w:val="20"/>
          <w:color w:val="auto"/>
        </w:rPr>
      </w:pPr>
    </w:p>
    <w:p>
      <w:pPr>
        <w:ind w:left="200" w:right="280"/>
        <w:spacing w:after="0" w:line="246"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Secretary, Lead Director and Chairman of the Board</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CORPORATE GOVERNANCE</w:t>
      </w:r>
    </w:p>
    <w:p>
      <w:pPr>
        <w:spacing w:after="0" w:line="136"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Secretary, Seres Therapeutics, Inc., 200 Sidney Street, Cambridge, MA 02139.</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At the current time, Roger J. Pomerantz, M.D., our President and Chief Executive Officer, serves as Chairman of the Board. Our Board of Directors has determined that combining the roles of Chairman of the Board and Chief Executive Officer is best for our company and our stockholders at this time because it promotes unified leadership by Dr. Pomerantz and allows for a single, clear focus for management to execute the Company’s strategy and business plans. If the Chairman of the Board is a member of management or does not otherwise qualify as independent, our Corporate Governance Guidelines provide for the appointment by the independent directors of a Lead Director. Since our Chairman of the Board is a member of management, the independent directors elected Noubar B. Afeyan, Ph.D., as the Lead Director. The Lead Director’s responsibilities include, but are not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of Directors is comprised of individuals with extensive experience with the biotechnology and pharmaceutical industries and, with the exception of Dr. Pomerantz, is comprised of directors who meet the independence standards of Nasdaq. For these reasons and because of the strong leadership of Dr. Pomerantz as Chairman of the Board and Chief Executive Officer and the counterbalancing role of the Lead Director,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6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and our Audit Committee is responsible for overseeing our major financial and cyber-security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CORPORATE GOVERNANCE</w:t>
      </w:r>
    </w:p>
    <w:p>
      <w:pPr>
        <w:spacing w:after="0" w:line="136"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compensation policies and programs has the potential to encourage excessive risk-taking. The Board does not believe that its role in the oversight of our risks adversely affects the Board’s leadership.</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Our Corporate Governance Guidelines require the Nominating and Corporate Governance Committee to oversee an annual assessment of the Board and its committees. Our outside counsel, Latham &amp; Watkins, LLP, (“Latham”), distributed board evaluations to our Board and each board member returned an evaluation anonymously. Latham tabulated the results and presented them to the Nominating and Corporate Governance Committee for review.</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our website, www.serestherapeutics.com. In addition, we intend to post on our website all disclosures that are required by law or the rules of Nasdaq concerning any amendments to, or waivers from, any provision of the code.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There were eleven meetings of the Board of Directors during the fiscal year ended December 31, 2017. During the fiscal year ended December 31, 2017, each director attended at least 75% of the aggregate of all meetings of the Board of Directors and meetings of the committees on which the Director served during the period in which he or she served as a director, except for Kurt C. Graves, who did not attend 75% of the board meetings and committee meetings.</w:t>
      </w:r>
    </w:p>
    <w:p>
      <w:pPr>
        <w:spacing w:after="0" w:line="67" w:lineRule="exact"/>
        <w:rPr>
          <w:sz w:val="20"/>
          <w:szCs w:val="20"/>
          <w:color w:val="auto"/>
        </w:rPr>
      </w:pPr>
    </w:p>
    <w:p>
      <w:pPr>
        <w:ind w:left="200" w:right="160"/>
        <w:spacing w:after="0" w:line="246" w:lineRule="auto"/>
        <w:rPr>
          <w:sz w:val="20"/>
          <w:szCs w:val="20"/>
          <w:color w:val="auto"/>
        </w:rPr>
      </w:pPr>
      <w:r>
        <w:rPr>
          <w:rFonts w:ascii="Arial" w:cs="Arial" w:eastAsia="Arial" w:hAnsi="Arial"/>
          <w:sz w:val="18"/>
          <w:szCs w:val="18"/>
          <w:color w:val="auto"/>
        </w:rPr>
        <w:t>Currently, we do not maintain a formal policy regarding director attendance at the Annual Meeting; however, it is expected that directors will attend absent compelling circumstances.</w:t>
      </w:r>
    </w:p>
    <w:p>
      <w:pPr>
        <w:spacing w:after="0" w:line="130"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120"/>
          </w:cols>
          <w:pgMar w:left="240" w:top="459" w:right="5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Our Board has established three standing committees—Audit, Compensation and Nominating and Corporate Governance—each of which operates under a written charter that has been approved by our Board. All of the members of each of the Board’s three standing committees are independent as defined under the Nasdaq rules. Our Board of Directors has determined that Richard N. Kender, Dennis A. Ausiello, and Willard H. Dere meet the independence requirements of Rule 10A-3 under the Securities Exchange Act of 1934, as amended (the “Exchange Act”). From June 2016 to June 2017, Kurt C. Graves served on the Audit Committee. In connection with his service on the Audit Committee, our Board of Directors determined that Mr. Graves met the independence requirements of Rule 10A-3. All members of the Compensation Committee meet the heightened standard for independence specific to members of a compensation committee under the Nasdaq rules. All members of the Nominating and Corporate Governance Committee are independent under the Nasdaq rules.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shd w:val="clear" w:color="auto" w:fill="D8D8D8"/>
          </w:tcPr>
          <w:p>
            <w:pPr>
              <w:spacing w:after="0"/>
              <w:rPr>
                <w:sz w:val="14"/>
                <w:szCs w:val="14"/>
                <w:color w:val="auto"/>
              </w:rPr>
            </w:pPr>
          </w:p>
        </w:tc>
        <w:tc>
          <w:tcPr>
            <w:tcW w:w="1480" w:type="dxa"/>
            <w:vAlign w:val="bottom"/>
            <w:shd w:val="clear" w:color="auto" w:fill="D8D8D8"/>
          </w:tcPr>
          <w:p>
            <w:pPr>
              <w:ind w:left="200"/>
              <w:spacing w:after="0"/>
              <w:rPr>
                <w:sz w:val="20"/>
                <w:szCs w:val="20"/>
                <w:color w:val="auto"/>
              </w:rPr>
            </w:pPr>
            <w:r>
              <w:rPr>
                <w:rFonts w:ascii="Arial" w:cs="Arial" w:eastAsia="Arial" w:hAnsi="Arial"/>
                <w:sz w:val="14"/>
                <w:szCs w:val="14"/>
                <w:b w:val="1"/>
                <w:bCs w:val="1"/>
                <w:color w:val="auto"/>
              </w:rPr>
              <w:t>Audit</w:t>
            </w:r>
          </w:p>
        </w:tc>
        <w:tc>
          <w:tcPr>
            <w:tcW w:w="2700" w:type="dxa"/>
            <w:vAlign w:val="bottom"/>
            <w:shd w:val="clear" w:color="auto" w:fill="D8D8D8"/>
          </w:tcPr>
          <w:p>
            <w:pPr>
              <w:ind w:left="920"/>
              <w:spacing w:after="0"/>
              <w:rPr>
                <w:sz w:val="20"/>
                <w:szCs w:val="20"/>
                <w:color w:val="auto"/>
              </w:rPr>
            </w:pPr>
            <w:r>
              <w:rPr>
                <w:rFonts w:ascii="Arial" w:cs="Arial" w:eastAsia="Arial" w:hAnsi="Arial"/>
                <w:sz w:val="14"/>
                <w:szCs w:val="14"/>
                <w:b w:val="1"/>
                <w:bCs w:val="1"/>
                <w:color w:val="auto"/>
              </w:rPr>
              <w:t>Compensation</w:t>
            </w:r>
          </w:p>
        </w:tc>
        <w:tc>
          <w:tcPr>
            <w:tcW w:w="2980" w:type="dxa"/>
            <w:vAlign w:val="bottom"/>
            <w:shd w:val="clear" w:color="auto" w:fill="D8D8D8"/>
          </w:tcPr>
          <w:p>
            <w:pPr>
              <w:jc w:val="center"/>
              <w:ind w:left="411"/>
              <w:spacing w:after="0"/>
              <w:rPr>
                <w:sz w:val="20"/>
                <w:szCs w:val="20"/>
                <w:color w:val="auto"/>
              </w:rPr>
            </w:pPr>
            <w:r>
              <w:rPr>
                <w:rFonts w:ascii="Arial" w:cs="Arial" w:eastAsia="Arial" w:hAnsi="Arial"/>
                <w:sz w:val="14"/>
                <w:szCs w:val="14"/>
                <w:b w:val="1"/>
                <w:bCs w:val="1"/>
                <w:color w:val="auto"/>
              </w:rPr>
              <w:t>Nominating and Corporate</w:t>
            </w:r>
          </w:p>
        </w:tc>
      </w:tr>
      <w:tr>
        <w:trPr>
          <w:trHeight w:val="175"/>
        </w:trPr>
        <w:tc>
          <w:tcPr>
            <w:tcW w:w="20" w:type="dxa"/>
            <w:vAlign w:val="bottom"/>
          </w:tcPr>
          <w:p>
            <w:pPr>
              <w:spacing w:after="0"/>
              <w:rPr>
                <w:sz w:val="15"/>
                <w:szCs w:val="15"/>
                <w:color w:val="auto"/>
              </w:rPr>
            </w:pPr>
          </w:p>
        </w:tc>
        <w:tc>
          <w:tcPr>
            <w:tcW w:w="386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bottom w:val="single" w:sz="8" w:color="auto"/>
            </w:tcBorders>
            <w:shd w:val="clear" w:color="auto" w:fill="D8D8D8"/>
          </w:tcPr>
          <w:p>
            <w:pPr>
              <w:spacing w:after="0"/>
              <w:rPr>
                <w:sz w:val="15"/>
                <w:szCs w:val="15"/>
                <w:color w:val="auto"/>
              </w:rPr>
            </w:pPr>
          </w:p>
        </w:tc>
        <w:tc>
          <w:tcPr>
            <w:tcW w:w="2700" w:type="dxa"/>
            <w:vAlign w:val="bottom"/>
            <w:tcBorders>
              <w:bottom w:val="single" w:sz="8" w:color="auto"/>
            </w:tcBorders>
            <w:shd w:val="clear" w:color="auto" w:fill="D8D8D8"/>
          </w:tcPr>
          <w:p>
            <w:pPr>
              <w:spacing w:after="0"/>
              <w:rPr>
                <w:sz w:val="15"/>
                <w:szCs w:val="15"/>
                <w:color w:val="auto"/>
              </w:rPr>
            </w:pPr>
          </w:p>
        </w:tc>
        <w:tc>
          <w:tcPr>
            <w:tcW w:w="2980" w:type="dxa"/>
            <w:vAlign w:val="bottom"/>
            <w:tcBorders>
              <w:bottom w:val="single" w:sz="8" w:color="auto"/>
            </w:tcBorders>
            <w:shd w:val="clear" w:color="auto" w:fill="D8D8D8"/>
          </w:tcPr>
          <w:p>
            <w:pPr>
              <w:jc w:val="center"/>
              <w:ind w:left="431"/>
              <w:spacing w:after="0"/>
              <w:rPr>
                <w:sz w:val="20"/>
                <w:szCs w:val="20"/>
                <w:color w:val="auto"/>
              </w:rPr>
            </w:pPr>
            <w:r>
              <w:rPr>
                <w:rFonts w:ascii="Arial" w:cs="Arial" w:eastAsia="Arial" w:hAnsi="Arial"/>
                <w:sz w:val="14"/>
                <w:szCs w:val="14"/>
                <w:b w:val="1"/>
                <w:bCs w:val="1"/>
                <w:color w:val="auto"/>
              </w:rPr>
              <w:t>Governance</w:t>
            </w:r>
          </w:p>
        </w:tc>
      </w:tr>
      <w:tr>
        <w:trPr>
          <w:trHeight w:val="196"/>
        </w:trPr>
        <w:tc>
          <w:tcPr>
            <w:tcW w:w="2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Noubar B. Afeyan, Ph.D.</w:t>
            </w:r>
          </w:p>
        </w:tc>
        <w:tc>
          <w:tcPr>
            <w:tcW w:w="14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980" w:type="dxa"/>
            <w:vAlign w:val="bottom"/>
          </w:tcPr>
          <w:p>
            <w:pPr>
              <w:jc w:val="center"/>
              <w:ind w:left="431"/>
              <w:spacing w:after="0"/>
              <w:rPr>
                <w:sz w:val="20"/>
                <w:szCs w:val="20"/>
                <w:color w:val="auto"/>
              </w:rPr>
            </w:pPr>
            <w:r>
              <w:rPr>
                <w:rFonts w:ascii="Arial" w:cs="Arial" w:eastAsia="Arial" w:hAnsi="Arial"/>
                <w:sz w:val="14"/>
                <w:szCs w:val="14"/>
                <w:color w:val="auto"/>
                <w:w w:val="95"/>
              </w:rPr>
              <w:t>Chair</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4"/>
                <w:szCs w:val="14"/>
                <w:color w:val="auto"/>
              </w:rPr>
              <w:t>Dennis A. Ausiello, M.D.</w:t>
            </w:r>
          </w:p>
        </w:tc>
        <w:tc>
          <w:tcPr>
            <w:tcW w:w="1480" w:type="dxa"/>
            <w:vAlign w:val="bottom"/>
            <w:tcBorders>
              <w:bottom w:val="single" w:sz="8" w:color="D8D8D8"/>
            </w:tcBorders>
            <w:shd w:val="clear" w:color="auto" w:fill="D8D8D8"/>
          </w:tcPr>
          <w:p>
            <w:pPr>
              <w:jc w:val="center"/>
              <w:ind w:right="732"/>
              <w:spacing w:after="0"/>
              <w:rPr>
                <w:sz w:val="20"/>
                <w:szCs w:val="20"/>
                <w:color w:val="auto"/>
              </w:rPr>
            </w:pPr>
            <w:r>
              <w:rPr>
                <w:rFonts w:ascii="Arial" w:cs="Arial" w:eastAsia="Arial" w:hAnsi="Arial"/>
                <w:sz w:val="14"/>
                <w:szCs w:val="14"/>
                <w:color w:val="auto"/>
                <w:w w:val="85"/>
              </w:rPr>
              <w:t>X</w:t>
            </w:r>
          </w:p>
        </w:tc>
        <w:tc>
          <w:tcPr>
            <w:tcW w:w="2700" w:type="dxa"/>
            <w:vAlign w:val="bottom"/>
            <w:tcBorders>
              <w:bottom w:val="single" w:sz="8" w:color="D8D8D8"/>
            </w:tcBorders>
            <w:shd w:val="clear" w:color="auto" w:fill="D8D8D8"/>
          </w:tcPr>
          <w:p>
            <w:pPr>
              <w:spacing w:after="0"/>
              <w:rPr>
                <w:sz w:val="19"/>
                <w:szCs w:val="19"/>
                <w:color w:val="auto"/>
              </w:rPr>
            </w:pPr>
          </w:p>
        </w:tc>
        <w:tc>
          <w:tcPr>
            <w:tcW w:w="2980" w:type="dxa"/>
            <w:vAlign w:val="bottom"/>
            <w:tcBorders>
              <w:bottom w:val="single" w:sz="8" w:color="D8D8D8"/>
            </w:tcBorders>
            <w:shd w:val="clear" w:color="auto" w:fill="D8D8D8"/>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Gregory Behar</w:t>
            </w:r>
          </w:p>
        </w:tc>
        <w:tc>
          <w:tcPr>
            <w:tcW w:w="14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980" w:type="dxa"/>
            <w:vAlign w:val="bottom"/>
          </w:tcPr>
          <w:p>
            <w:pPr>
              <w:jc w:val="center"/>
              <w:ind w:left="431"/>
              <w:spacing w:after="0"/>
              <w:rPr>
                <w:sz w:val="20"/>
                <w:szCs w:val="20"/>
                <w:color w:val="auto"/>
              </w:rPr>
            </w:pPr>
            <w:r>
              <w:rPr>
                <w:rFonts w:ascii="Arial" w:cs="Arial" w:eastAsia="Arial" w:hAnsi="Arial"/>
                <w:sz w:val="14"/>
                <w:szCs w:val="14"/>
                <w:color w:val="auto"/>
                <w:w w:val="85"/>
              </w:rPr>
              <w:t>X</w:t>
            </w:r>
          </w:p>
        </w:tc>
      </w:tr>
      <w:tr>
        <w:trPr>
          <w:trHeight w:val="41"/>
        </w:trPr>
        <w:tc>
          <w:tcPr>
            <w:tcW w:w="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980" w:type="dxa"/>
            <w:vAlign w:val="bottom"/>
          </w:tcPr>
          <w:p>
            <w:pPr>
              <w:spacing w:after="0"/>
              <w:rPr>
                <w:sz w:val="3"/>
                <w:szCs w:val="3"/>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4"/>
                <w:szCs w:val="14"/>
                <w:color w:val="auto"/>
              </w:rPr>
              <w:t>Willard H. Dere, M.D.</w:t>
            </w:r>
          </w:p>
        </w:tc>
        <w:tc>
          <w:tcPr>
            <w:tcW w:w="1480" w:type="dxa"/>
            <w:vAlign w:val="bottom"/>
            <w:tcBorders>
              <w:bottom w:val="single" w:sz="8" w:color="D8D8D8"/>
            </w:tcBorders>
            <w:shd w:val="clear" w:color="auto" w:fill="D8D8D8"/>
          </w:tcPr>
          <w:p>
            <w:pPr>
              <w:jc w:val="center"/>
              <w:ind w:right="732"/>
              <w:spacing w:after="0"/>
              <w:rPr>
                <w:sz w:val="20"/>
                <w:szCs w:val="20"/>
                <w:color w:val="auto"/>
              </w:rPr>
            </w:pPr>
            <w:r>
              <w:rPr>
                <w:rFonts w:ascii="Arial" w:cs="Arial" w:eastAsia="Arial" w:hAnsi="Arial"/>
                <w:sz w:val="14"/>
                <w:szCs w:val="14"/>
                <w:color w:val="auto"/>
                <w:w w:val="85"/>
              </w:rPr>
              <w:t>X</w:t>
            </w:r>
          </w:p>
        </w:tc>
        <w:tc>
          <w:tcPr>
            <w:tcW w:w="2700" w:type="dxa"/>
            <w:vAlign w:val="bottom"/>
            <w:tcBorders>
              <w:bottom w:val="single" w:sz="8" w:color="D8D8D8"/>
            </w:tcBorders>
            <w:shd w:val="clear" w:color="auto" w:fill="D8D8D8"/>
          </w:tcPr>
          <w:p>
            <w:pPr>
              <w:spacing w:after="0"/>
              <w:rPr>
                <w:sz w:val="19"/>
                <w:szCs w:val="19"/>
                <w:color w:val="auto"/>
              </w:rPr>
            </w:pPr>
          </w:p>
        </w:tc>
        <w:tc>
          <w:tcPr>
            <w:tcW w:w="2980" w:type="dxa"/>
            <w:vAlign w:val="bottom"/>
            <w:tcBorders>
              <w:bottom w:val="single" w:sz="8" w:color="D8D8D8"/>
            </w:tcBorders>
            <w:shd w:val="clear" w:color="auto" w:fill="D8D8D8"/>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Kurt C. Graves</w:t>
            </w:r>
          </w:p>
        </w:tc>
        <w:tc>
          <w:tcPr>
            <w:tcW w:w="148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Arial" w:cs="Arial" w:eastAsia="Arial" w:hAnsi="Arial"/>
                <w:sz w:val="14"/>
                <w:szCs w:val="14"/>
                <w:color w:val="auto"/>
              </w:rPr>
              <w:t>Chair</w:t>
            </w:r>
          </w:p>
        </w:tc>
        <w:tc>
          <w:tcPr>
            <w:tcW w:w="2980" w:type="dxa"/>
            <w:vAlign w:val="bottom"/>
          </w:tcPr>
          <w:p>
            <w:pPr>
              <w:spacing w:after="0"/>
              <w:rPr>
                <w:sz w:val="17"/>
                <w:szCs w:val="17"/>
                <w:color w:val="auto"/>
              </w:rPr>
            </w:pPr>
          </w:p>
        </w:tc>
      </w:tr>
      <w:tr>
        <w:trPr>
          <w:trHeight w:val="41"/>
        </w:trPr>
        <w:tc>
          <w:tcPr>
            <w:tcW w:w="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980" w:type="dxa"/>
            <w:vAlign w:val="bottom"/>
          </w:tcPr>
          <w:p>
            <w:pPr>
              <w:spacing w:after="0"/>
              <w:rPr>
                <w:sz w:val="3"/>
                <w:szCs w:val="3"/>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4"/>
                <w:szCs w:val="14"/>
                <w:color w:val="auto"/>
              </w:rPr>
              <w:t>Richard N. Kender</w:t>
            </w:r>
          </w:p>
        </w:tc>
        <w:tc>
          <w:tcPr>
            <w:tcW w:w="1480" w:type="dxa"/>
            <w:vAlign w:val="bottom"/>
            <w:tcBorders>
              <w:bottom w:val="single" w:sz="8" w:color="D8D8D8"/>
            </w:tcBorders>
            <w:shd w:val="clear" w:color="auto" w:fill="D8D8D8"/>
          </w:tcPr>
          <w:p>
            <w:pPr>
              <w:jc w:val="center"/>
              <w:ind w:right="732"/>
              <w:spacing w:after="0"/>
              <w:rPr>
                <w:sz w:val="20"/>
                <w:szCs w:val="20"/>
                <w:color w:val="auto"/>
              </w:rPr>
            </w:pPr>
            <w:r>
              <w:rPr>
                <w:rFonts w:ascii="Arial" w:cs="Arial" w:eastAsia="Arial" w:hAnsi="Arial"/>
                <w:sz w:val="14"/>
                <w:szCs w:val="14"/>
                <w:color w:val="auto"/>
                <w:w w:val="95"/>
              </w:rPr>
              <w:t>Chair</w:t>
            </w:r>
          </w:p>
        </w:tc>
        <w:tc>
          <w:tcPr>
            <w:tcW w:w="27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X</w:t>
            </w:r>
          </w:p>
        </w:tc>
        <w:tc>
          <w:tcPr>
            <w:tcW w:w="2980" w:type="dxa"/>
            <w:vAlign w:val="bottom"/>
            <w:tcBorders>
              <w:bottom w:val="single" w:sz="8" w:color="D8D8D8"/>
            </w:tcBorders>
            <w:shd w:val="clear" w:color="auto" w:fill="D8D8D8"/>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Lorence H. Kim, M.D.</w:t>
            </w:r>
          </w:p>
        </w:tc>
        <w:tc>
          <w:tcPr>
            <w:tcW w:w="148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Arial" w:cs="Arial" w:eastAsia="Arial" w:hAnsi="Arial"/>
                <w:sz w:val="14"/>
                <w:szCs w:val="14"/>
                <w:color w:val="auto"/>
              </w:rPr>
              <w:t>X</w:t>
            </w:r>
          </w:p>
        </w:tc>
        <w:tc>
          <w:tcPr>
            <w:tcW w:w="2980" w:type="dxa"/>
            <w:vAlign w:val="bottom"/>
          </w:tcPr>
          <w:p>
            <w:pPr>
              <w:jc w:val="center"/>
              <w:ind w:left="431"/>
              <w:spacing w:after="0"/>
              <w:rPr>
                <w:sz w:val="20"/>
                <w:szCs w:val="20"/>
                <w:color w:val="auto"/>
              </w:rPr>
            </w:pPr>
            <w:r>
              <w:rPr>
                <w:rFonts w:ascii="Arial" w:cs="Arial" w:eastAsia="Arial" w:hAnsi="Arial"/>
                <w:sz w:val="14"/>
                <w:szCs w:val="14"/>
                <w:color w:val="auto"/>
                <w:w w:val="85"/>
              </w:rPr>
              <w:t>X</w:t>
            </w:r>
          </w:p>
        </w:tc>
      </w:tr>
      <w:tr>
        <w:trPr>
          <w:trHeight w:val="41"/>
        </w:trPr>
        <w:tc>
          <w:tcPr>
            <w:tcW w:w="20" w:type="dxa"/>
            <w:vAlign w:val="bottom"/>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r>
      <w:tr>
        <w:trPr>
          <w:trHeight w:val="479"/>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AUDIT COMMITTEE</w:t>
            </w:r>
          </w:p>
        </w:tc>
        <w:tc>
          <w:tcPr>
            <w:tcW w:w="1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1"/>
        </w:trPr>
        <w:tc>
          <w:tcPr>
            <w:tcW w:w="388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Our Audit Committee’s responsibilities include:</w:t>
            </w:r>
          </w:p>
        </w:tc>
        <w:tc>
          <w:tcPr>
            <w:tcW w:w="14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980" w:type="dxa"/>
            <w:vAlign w:val="bottom"/>
          </w:tcPr>
          <w:p>
            <w:pPr>
              <w:spacing w:after="0"/>
              <w:rPr>
                <w:sz w:val="20"/>
                <w:szCs w:val="20"/>
                <w:color w:val="auto"/>
              </w:rPr>
            </w:pPr>
          </w:p>
        </w:tc>
      </w:tr>
    </w:tbl>
    <w:p>
      <w:pPr>
        <w:spacing w:after="0" w:line="67" w:lineRule="exact"/>
        <w:rPr>
          <w:sz w:val="20"/>
          <w:szCs w:val="20"/>
          <w:color w:val="auto"/>
        </w:rPr>
      </w:pPr>
    </w:p>
    <w:p>
      <w:pPr>
        <w:ind w:left="1280" w:right="900" w:hanging="428"/>
        <w:spacing w:after="0" w:line="246"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21" w:lineRule="exact"/>
        <w:rPr>
          <w:rFonts w:ascii="Arial" w:cs="Arial" w:eastAsia="Arial" w:hAnsi="Arial"/>
          <w:sz w:val="18"/>
          <w:szCs w:val="18"/>
          <w:color w:val="auto"/>
        </w:rPr>
      </w:pPr>
    </w:p>
    <w:p>
      <w:pPr>
        <w:ind w:left="1280" w:right="120" w:hanging="428"/>
        <w:spacing w:after="0" w:line="246"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21" w:lineRule="exact"/>
        <w:rPr>
          <w:rFonts w:ascii="Arial" w:cs="Arial" w:eastAsia="Arial" w:hAnsi="Arial"/>
          <w:sz w:val="18"/>
          <w:szCs w:val="18"/>
          <w:color w:val="auto"/>
        </w:rPr>
      </w:pPr>
    </w:p>
    <w:p>
      <w:pPr>
        <w:ind w:left="1280" w:right="140" w:hanging="428"/>
        <w:spacing w:after="0" w:line="246"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21" w:lineRule="exact"/>
        <w:rPr>
          <w:rFonts w:ascii="Arial" w:cs="Arial" w:eastAsia="Arial" w:hAnsi="Arial"/>
          <w:sz w:val="18"/>
          <w:szCs w:val="18"/>
          <w:color w:val="auto"/>
        </w:rPr>
      </w:pPr>
    </w:p>
    <w:p>
      <w:pPr>
        <w:ind w:left="1280" w:right="20" w:hanging="428"/>
        <w:spacing w:after="0" w:line="246"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21" w:lineRule="exact"/>
        <w:rPr>
          <w:rFonts w:ascii="Arial" w:cs="Arial" w:eastAsia="Arial" w:hAnsi="Arial"/>
          <w:sz w:val="18"/>
          <w:szCs w:val="18"/>
          <w:color w:val="auto"/>
        </w:rPr>
      </w:pPr>
    </w:p>
    <w:p>
      <w:pPr>
        <w:ind w:left="1280" w:hanging="42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49" w:lineRule="exact"/>
        <w:rPr>
          <w:rFonts w:ascii="Arial" w:cs="Arial" w:eastAsia="Arial" w:hAnsi="Arial"/>
          <w:sz w:val="18"/>
          <w:szCs w:val="18"/>
          <w:color w:val="auto"/>
        </w:rPr>
      </w:pPr>
    </w:p>
    <w:p>
      <w:pPr>
        <w:ind w:left="1280" w:right="180" w:hanging="428"/>
        <w:spacing w:after="0" w:line="246"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21" w:lineRule="exact"/>
        <w:rPr>
          <w:rFonts w:ascii="Arial" w:cs="Arial" w:eastAsia="Arial" w:hAnsi="Arial"/>
          <w:sz w:val="18"/>
          <w:szCs w:val="18"/>
          <w:color w:val="auto"/>
        </w:rPr>
      </w:pPr>
    </w:p>
    <w:p>
      <w:pPr>
        <w:ind w:left="1280" w:right="1160" w:hanging="428"/>
        <w:spacing w:after="0" w:line="246"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21" w:lineRule="exact"/>
        <w:rPr>
          <w:rFonts w:ascii="Arial" w:cs="Arial" w:eastAsia="Arial" w:hAnsi="Arial"/>
          <w:sz w:val="18"/>
          <w:szCs w:val="18"/>
          <w:color w:val="auto"/>
        </w:rPr>
      </w:pPr>
    </w:p>
    <w:p>
      <w:pPr>
        <w:ind w:left="1280" w:hanging="42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49" w:lineRule="exact"/>
        <w:rPr>
          <w:rFonts w:ascii="Arial" w:cs="Arial" w:eastAsia="Arial" w:hAnsi="Arial"/>
          <w:sz w:val="18"/>
          <w:szCs w:val="18"/>
          <w:color w:val="auto"/>
        </w:rPr>
      </w:pPr>
    </w:p>
    <w:p>
      <w:pPr>
        <w:ind w:left="1280" w:hanging="42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 (which is included on page 12 of this proxy statement).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COMMITTEES OF THE BOARD</w:t>
      </w:r>
    </w:p>
    <w:p>
      <w:pPr>
        <w:spacing w:after="0" w:line="136"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members of the Audit Committee are Mr. Kender and Drs. Ausiello and Dere. Mr. Kender serves as the Chairperson of the committee. The members of our Audit Committee meet the requirements for financial literacy under the applicable rules of the SEC and Nasdaq. Our board of directors has determined that Mr. Kender is an “audit committee financial expert” as defined by Item 407(d)(5)(ii) of Regulation S-K.</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 Committee met eight times in 2017.</w:t>
      </w:r>
    </w:p>
    <w:p>
      <w:pPr>
        <w:spacing w:after="0" w:line="30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62" w:lineRule="exact"/>
        <w:rPr>
          <w:sz w:val="20"/>
          <w:szCs w:val="20"/>
          <w:color w:val="auto"/>
        </w:rPr>
      </w:pPr>
    </w:p>
    <w:p>
      <w:pPr>
        <w:ind w:left="960" w:hanging="4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CEO compensation;</w:t>
      </w:r>
    </w:p>
    <w:p>
      <w:pPr>
        <w:spacing w:after="0" w:line="49" w:lineRule="exact"/>
        <w:rPr>
          <w:rFonts w:ascii="Arial" w:cs="Arial" w:eastAsia="Arial" w:hAnsi="Arial"/>
          <w:sz w:val="18"/>
          <w:szCs w:val="18"/>
          <w:color w:val="auto"/>
        </w:rPr>
      </w:pPr>
    </w:p>
    <w:p>
      <w:pPr>
        <w:ind w:left="960" w:hanging="4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determining our CEO’s compensation;</w:t>
      </w:r>
    </w:p>
    <w:p>
      <w:pPr>
        <w:spacing w:after="0" w:line="49" w:lineRule="exact"/>
        <w:rPr>
          <w:rFonts w:ascii="Arial" w:cs="Arial" w:eastAsia="Arial" w:hAnsi="Arial"/>
          <w:sz w:val="18"/>
          <w:szCs w:val="18"/>
          <w:color w:val="auto"/>
        </w:rPr>
      </w:pPr>
    </w:p>
    <w:p>
      <w:pPr>
        <w:ind w:left="960" w:right="400" w:hanging="432"/>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with respect to, the compensation of our other executive officers;</w:t>
      </w:r>
    </w:p>
    <w:p>
      <w:pPr>
        <w:spacing w:after="0" w:line="21" w:lineRule="exact"/>
        <w:rPr>
          <w:rFonts w:ascii="Arial" w:cs="Arial" w:eastAsia="Arial" w:hAnsi="Arial"/>
          <w:sz w:val="18"/>
          <w:szCs w:val="18"/>
          <w:color w:val="auto"/>
        </w:rPr>
      </w:pPr>
    </w:p>
    <w:p>
      <w:pPr>
        <w:ind w:left="960" w:hanging="4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49" w:lineRule="exact"/>
        <w:rPr>
          <w:rFonts w:ascii="Arial" w:cs="Arial" w:eastAsia="Arial" w:hAnsi="Arial"/>
          <w:sz w:val="18"/>
          <w:szCs w:val="18"/>
          <w:color w:val="auto"/>
        </w:rPr>
      </w:pPr>
    </w:p>
    <w:p>
      <w:pPr>
        <w:ind w:left="960" w:hanging="4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49" w:lineRule="exact"/>
        <w:rPr>
          <w:rFonts w:ascii="Arial" w:cs="Arial" w:eastAsia="Arial" w:hAnsi="Arial"/>
          <w:sz w:val="18"/>
          <w:szCs w:val="18"/>
          <w:color w:val="auto"/>
        </w:rPr>
      </w:pPr>
    </w:p>
    <w:p>
      <w:pPr>
        <w:ind w:left="960" w:hanging="4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49" w:lineRule="exact"/>
        <w:rPr>
          <w:rFonts w:ascii="Arial" w:cs="Arial" w:eastAsia="Arial" w:hAnsi="Arial"/>
          <w:sz w:val="18"/>
          <w:szCs w:val="18"/>
          <w:color w:val="auto"/>
        </w:rPr>
      </w:pPr>
    </w:p>
    <w:p>
      <w:pPr>
        <w:ind w:left="960" w:hanging="4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49" w:lineRule="exact"/>
        <w:rPr>
          <w:rFonts w:ascii="Arial" w:cs="Arial" w:eastAsia="Arial" w:hAnsi="Arial"/>
          <w:sz w:val="18"/>
          <w:szCs w:val="18"/>
          <w:color w:val="auto"/>
        </w:rPr>
      </w:pPr>
    </w:p>
    <w:p>
      <w:pPr>
        <w:ind w:left="960" w:hanging="4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if required by SEC rules.</w:t>
      </w:r>
    </w:p>
    <w:p>
      <w:pPr>
        <w:spacing w:after="0" w:line="90" w:lineRule="exact"/>
        <w:rPr>
          <w:sz w:val="20"/>
          <w:szCs w:val="20"/>
          <w:color w:val="auto"/>
        </w:rPr>
      </w:pPr>
    </w:p>
    <w:p>
      <w:pPr>
        <w:ind w:left="200" w:right="100"/>
        <w:spacing w:after="0" w:line="261" w:lineRule="auto"/>
        <w:rPr>
          <w:sz w:val="20"/>
          <w:szCs w:val="20"/>
          <w:color w:val="auto"/>
        </w:rPr>
      </w:pPr>
      <w:r>
        <w:rPr>
          <w:rFonts w:ascii="Arial" w:cs="Arial" w:eastAsia="Arial" w:hAnsi="Arial"/>
          <w:sz w:val="17"/>
          <w:szCs w:val="17"/>
          <w:color w:val="auto"/>
        </w:rPr>
        <w:t>The Compensation Committee has the authority to retain or obtain the advice of compensation consultants, legal counsel and other advisors to assist in carrying out its responsibilities. For information regarding the role of our compensation consultants in determining our executive compensation, please refer to the section entitled “Executive and Director Compensation – Compensation Setting Process.”</w:t>
      </w:r>
    </w:p>
    <w:p>
      <w:pPr>
        <w:spacing w:after="0" w:line="38"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as further described in its charter, which is available on our website at www.serestherapeutics.com. The Compensation Committee may also delegate to an officer the authority to grant equity awards to certain employees, as further described in its charter and subject to the terms of our equity plans.</w:t>
      </w:r>
    </w:p>
    <w:p>
      <w:pPr>
        <w:spacing w:after="0" w:line="5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The members of our Compensation Committee are Dr. Kim and Messrs. Graves and Kender. Mr. Graves serves as the Chairperson of the Compensation Committee.</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 met four times during 2017.</w:t>
      </w:r>
    </w:p>
    <w:p>
      <w:pPr>
        <w:spacing w:after="0" w:line="30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77" w:lineRule="exact"/>
        <w:rPr>
          <w:sz w:val="20"/>
          <w:szCs w:val="20"/>
          <w:color w:val="auto"/>
        </w:rPr>
      </w:pPr>
    </w:p>
    <w:p>
      <w:pPr>
        <w:ind w:left="960" w:hanging="4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49" w:lineRule="exact"/>
        <w:rPr>
          <w:rFonts w:ascii="Arial" w:cs="Arial" w:eastAsia="Arial" w:hAnsi="Arial"/>
          <w:sz w:val="18"/>
          <w:szCs w:val="18"/>
          <w:color w:val="auto"/>
        </w:rPr>
      </w:pPr>
    </w:p>
    <w:p>
      <w:pPr>
        <w:ind w:left="960" w:hanging="4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board committee;</w:t>
      </w:r>
    </w:p>
    <w:p>
      <w:pPr>
        <w:spacing w:after="0" w:line="49" w:lineRule="exact"/>
        <w:rPr>
          <w:rFonts w:ascii="Arial" w:cs="Arial" w:eastAsia="Arial" w:hAnsi="Arial"/>
          <w:sz w:val="18"/>
          <w:szCs w:val="18"/>
          <w:color w:val="auto"/>
        </w:rPr>
      </w:pPr>
    </w:p>
    <w:p>
      <w:pPr>
        <w:ind w:left="960" w:hanging="4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COMMITTEES OF THE BOARD</w:t>
      </w:r>
    </w:p>
    <w:p>
      <w:pPr>
        <w:spacing w:after="0" w:line="176" w:lineRule="exact"/>
        <w:rPr>
          <w:sz w:val="20"/>
          <w:szCs w:val="20"/>
          <w:color w:val="auto"/>
        </w:rPr>
      </w:pPr>
    </w:p>
    <w:p>
      <w:pPr>
        <w:ind w:left="960" w:hanging="4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principles; and</w:t>
      </w:r>
    </w:p>
    <w:p>
      <w:pPr>
        <w:spacing w:after="0" w:line="49" w:lineRule="exact"/>
        <w:rPr>
          <w:rFonts w:ascii="Arial" w:cs="Arial" w:eastAsia="Arial" w:hAnsi="Arial"/>
          <w:sz w:val="18"/>
          <w:szCs w:val="18"/>
          <w:color w:val="auto"/>
        </w:rPr>
      </w:pPr>
    </w:p>
    <w:p>
      <w:pPr>
        <w:ind w:left="960" w:hanging="4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90"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The members of our Nominating and Corporate Governance Committee are Drs. Afeyan and Kim and Mr. Behar. Dr. Afeyan serves as the Chairperson of the Nominating and Corporate Governance Committee.</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Nominating and Corporate Governance Committee met three times in 2017.</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160"/>
          </w:cols>
          <w:pgMar w:left="24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This section discusses the material components of the executive compensation program offered to our named executive officers, or NEOs, identified below. For 2017, our NEOs were:</w:t>
      </w:r>
    </w:p>
    <w:p>
      <w:pPr>
        <w:spacing w:after="0" w:line="62"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Roger J. Pomerantz, M.D., President and Chief Executive Officer;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Michele Trucksis, Ph.D., M.D., Executive Vice President and Chief Medical Officer; and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Eric Shaff, Executive Vice President, Chief Operating and Financial Officer, and Treasurer.</w:t>
      </w:r>
    </w:p>
    <w:p>
      <w:pPr>
        <w:spacing w:after="0" w:line="77" w:lineRule="exact"/>
        <w:rPr>
          <w:sz w:val="20"/>
          <w:szCs w:val="20"/>
          <w:color w:val="auto"/>
        </w:rPr>
      </w:pPr>
    </w:p>
    <w:p>
      <w:pPr>
        <w:jc w:val="both"/>
        <w:ind w:left="200" w:right="160"/>
        <w:spacing w:after="0" w:line="275" w:lineRule="auto"/>
        <w:rPr>
          <w:sz w:val="20"/>
          <w:szCs w:val="20"/>
          <w:color w:val="auto"/>
        </w:rPr>
      </w:pPr>
      <w:r>
        <w:rPr>
          <w:rFonts w:ascii="Arial" w:cs="Arial" w:eastAsia="Arial" w:hAnsi="Arial"/>
          <w:sz w:val="17"/>
          <w:szCs w:val="17"/>
          <w:color w:val="auto"/>
        </w:rPr>
        <w:t>We are an “emerging growth company” as that term is used in the Jumpstart Our Business Startups Act of 2012, or JOBS Act, and have elected to comply with the reduced compensation disclosure requirements available to emerging growth companies under the JOBS Act.</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99"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We intend that the total compensation of our NEOs reflect a “pay for performance” compensation philosophy. We generally target total compensation relative to the 50</w:t>
      </w:r>
      <w:r>
        <w:rPr>
          <w:rFonts w:ascii="Arial" w:cs="Arial" w:eastAsia="Arial" w:hAnsi="Arial"/>
          <w:sz w:val="15"/>
          <w:szCs w:val="15"/>
          <w:color w:val="auto"/>
        </w:rPr>
        <w:t>th</w:t>
      </w:r>
      <w:r>
        <w:rPr>
          <w:rFonts w:ascii="Arial" w:cs="Arial" w:eastAsia="Arial" w:hAnsi="Arial"/>
          <w:sz w:val="18"/>
          <w:szCs w:val="18"/>
          <w:color w:val="auto"/>
        </w:rPr>
        <w:t xml:space="preserve"> percentile of our peer group, but the Compensation Committee retains discretion to adjust compensation reflecting individual factors or performance. Our executive compensation program consists of three primary components: base salary, annual performance-based cash incentive awards and periodic equity-based incentives, typically in the form of stock options, and, beginning in 2017, restricted stock units. We also prohibit our employees and directors from engaging in hedging transactions with regard to the Company’s securities.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85" w:lineRule="exact"/>
        <w:rPr>
          <w:sz w:val="20"/>
          <w:szCs w:val="20"/>
          <w:color w:val="auto"/>
        </w:rPr>
      </w:pPr>
    </w:p>
    <w:p>
      <w:pPr>
        <w:ind w:left="200" w:right="100"/>
        <w:spacing w:after="0" w:line="255" w:lineRule="auto"/>
        <w:rPr>
          <w:sz w:val="20"/>
          <w:szCs w:val="20"/>
          <w:color w:val="auto"/>
        </w:rPr>
      </w:pPr>
      <w:r>
        <w:rPr>
          <w:rFonts w:ascii="Arial" w:cs="Arial" w:eastAsia="Arial" w:hAnsi="Arial"/>
          <w:sz w:val="17"/>
          <w:szCs w:val="17"/>
          <w:color w:val="auto"/>
        </w:rPr>
        <w:t>The Compensation Committee makes compensation decisions regarding all of our NEOs. Dr. Pomerantz, our President, Chief Executive Officer and Chairman of the Board, makes recommendations to the Compensation Committee to assist it in determining compensation levels for our other executive officers. In addition, Dr. Pomerantz provides the Compensation Committee with a review of the performance of our other executive officers. While the Compensation Committee utilizes this information and values management’s observations with regard to compensation, the ultimate decisions regarding executive compensation are made by the Compensation Committee.</w:t>
      </w:r>
    </w:p>
    <w:p>
      <w:pPr>
        <w:spacing w:after="0" w:line="42"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Our Compensation Committee has the authority under its charter to engage the services of a consulting firm or other outside advisor to assist it in designing our compensation programs and in making executive compensation decisions. Our Compensation Committee has engaged Radford, a compensation consulting firm, as its compensation consultant to assess and make recommendations with respect to the amount and types of compensation to provide our executives and directors. When making executive compensation decisions in 2017, our Compensation Committee considered advice and data provided by Radford, and also met with Radford to discuss compensation of our executive officers, including Dr. Pomerantz. Radford reported directly to the Compensation Committee; however, Dr. Pomerantz, our President, Chief Executive Officer and Chairman of the Board, consulted with Radford with respect to its assessments of the compensation of executive officers other than himself. Radford provided the Compensation Committee with peer group and market information that the Compensation Committee used when determining whether our executive compensation is competitive, commensurate with the executive officers’ responsibilities and consistent with market trends in executive compensation practices for comparable companies. Radford also provides additional services to us that are unrelated to executive and director compensation. The fees for these additional</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EXECUTIVE AND DIRECTOR COMPENSATION</w:t>
      </w:r>
    </w:p>
    <w:p>
      <w:pPr>
        <w:spacing w:after="0" w:line="136" w:lineRule="exact"/>
        <w:rPr>
          <w:sz w:val="20"/>
          <w:szCs w:val="20"/>
          <w:color w:val="auto"/>
        </w:rPr>
      </w:pPr>
    </w:p>
    <w:p>
      <w:pPr>
        <w:jc w:val="both"/>
        <w:ind w:left="200" w:right="140"/>
        <w:spacing w:after="0"/>
        <w:rPr>
          <w:sz w:val="20"/>
          <w:szCs w:val="20"/>
          <w:color w:val="auto"/>
        </w:rPr>
      </w:pPr>
      <w:r>
        <w:rPr>
          <w:rFonts w:ascii="Arial" w:cs="Arial" w:eastAsia="Arial" w:hAnsi="Arial"/>
          <w:sz w:val="18"/>
          <w:szCs w:val="18"/>
          <w:color w:val="auto"/>
        </w:rPr>
        <w:t>services were less than $120,000 during 2017. The Compensation Committee has considered the adviser independence factors required under SEC rules and Nasdaq listing standards as they relate to Radford and does not believe Radford’s work in 2017 raised a conflict of interest.</w:t>
      </w:r>
    </w:p>
    <w:p>
      <w:pPr>
        <w:spacing w:after="0" w:line="68"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The Compensation Committee recognizes the very competitive market for executive talent in our industry, and the importance of attracting and retaining strong talent as our business continues to evolve. Our positioning on compensation is intended to keep the Company competitive while strongly incentivizing performance and appropriately controlling executive compensation cost.</w:t>
      </w:r>
    </w:p>
    <w:p>
      <w:pPr>
        <w:spacing w:after="0" w:line="54"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In connection with the Compensation Committee’s review of our executive compensation programs Radford provided market data and analysis relative to the following peer group of pre-commercial, publicly traded companies with a similar market capitalization selected by the Compensation Committee in consultation with Radford:</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Arial" w:cs="Arial" w:eastAsia="Arial" w:hAnsi="Arial"/>
                <w:sz w:val="18"/>
                <w:szCs w:val="18"/>
                <w:color w:val="auto"/>
              </w:rPr>
              <w:t>Achaogen, Inc.</w:t>
            </w:r>
          </w:p>
        </w:tc>
        <w:tc>
          <w:tcPr>
            <w:tcW w:w="3900" w:type="dxa"/>
            <w:vAlign w:val="bottom"/>
          </w:tcPr>
          <w:p>
            <w:pPr>
              <w:ind w:left="780"/>
              <w:spacing w:after="0"/>
              <w:rPr>
                <w:sz w:val="20"/>
                <w:szCs w:val="20"/>
                <w:color w:val="auto"/>
              </w:rPr>
            </w:pPr>
            <w:r>
              <w:rPr>
                <w:rFonts w:ascii="Arial" w:cs="Arial" w:eastAsia="Arial" w:hAnsi="Arial"/>
                <w:sz w:val="18"/>
                <w:szCs w:val="18"/>
                <w:color w:val="auto"/>
              </w:rPr>
              <w:t>Aimmune Therapeutics, Inc.</w:t>
            </w:r>
          </w:p>
        </w:tc>
        <w:tc>
          <w:tcPr>
            <w:tcW w:w="3520" w:type="dxa"/>
            <w:vAlign w:val="bottom"/>
          </w:tcPr>
          <w:p>
            <w:pPr>
              <w:ind w:left="860"/>
              <w:spacing w:after="0"/>
              <w:rPr>
                <w:sz w:val="20"/>
                <w:szCs w:val="20"/>
                <w:color w:val="auto"/>
              </w:rPr>
            </w:pPr>
            <w:r>
              <w:rPr>
                <w:rFonts w:ascii="Arial" w:cs="Arial" w:eastAsia="Arial" w:hAnsi="Arial"/>
                <w:sz w:val="18"/>
                <w:szCs w:val="18"/>
                <w:color w:val="auto"/>
              </w:rPr>
              <w:t>Amicus Therapeutics, Inc.</w:t>
            </w: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Ardelyx, Inc.</w:t>
            </w:r>
          </w:p>
        </w:tc>
        <w:tc>
          <w:tcPr>
            <w:tcW w:w="3900" w:type="dxa"/>
            <w:vAlign w:val="bottom"/>
          </w:tcPr>
          <w:p>
            <w:pPr>
              <w:ind w:left="780"/>
              <w:spacing w:after="0" w:line="202" w:lineRule="exact"/>
              <w:rPr>
                <w:sz w:val="20"/>
                <w:szCs w:val="20"/>
                <w:color w:val="auto"/>
              </w:rPr>
            </w:pPr>
            <w:r>
              <w:rPr>
                <w:rFonts w:ascii="Arial" w:cs="Arial" w:eastAsia="Arial" w:hAnsi="Arial"/>
                <w:sz w:val="18"/>
                <w:szCs w:val="18"/>
                <w:color w:val="auto"/>
              </w:rPr>
              <w:t>Celldex Therapeutics, Inc.</w:t>
            </w:r>
          </w:p>
        </w:tc>
        <w:tc>
          <w:tcPr>
            <w:tcW w:w="3520" w:type="dxa"/>
            <w:vAlign w:val="bottom"/>
          </w:tcPr>
          <w:p>
            <w:pPr>
              <w:ind w:left="860"/>
              <w:spacing w:after="0" w:line="202" w:lineRule="exact"/>
              <w:rPr>
                <w:sz w:val="20"/>
                <w:szCs w:val="20"/>
                <w:color w:val="auto"/>
              </w:rPr>
            </w:pPr>
            <w:r>
              <w:rPr>
                <w:rFonts w:ascii="Arial" w:cs="Arial" w:eastAsia="Arial" w:hAnsi="Arial"/>
                <w:sz w:val="18"/>
                <w:szCs w:val="18"/>
                <w:color w:val="auto"/>
              </w:rPr>
              <w:t>Epizyme, Inc.</w:t>
            </w: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Flexion Therapeutics, Inc.</w:t>
            </w:r>
          </w:p>
        </w:tc>
        <w:tc>
          <w:tcPr>
            <w:tcW w:w="3900" w:type="dxa"/>
            <w:vAlign w:val="bottom"/>
          </w:tcPr>
          <w:p>
            <w:pPr>
              <w:ind w:left="780"/>
              <w:spacing w:after="0" w:line="202" w:lineRule="exact"/>
              <w:rPr>
                <w:sz w:val="20"/>
                <w:szCs w:val="20"/>
                <w:color w:val="auto"/>
              </w:rPr>
            </w:pPr>
            <w:r>
              <w:rPr>
                <w:rFonts w:ascii="Arial" w:cs="Arial" w:eastAsia="Arial" w:hAnsi="Arial"/>
                <w:sz w:val="18"/>
                <w:szCs w:val="18"/>
                <w:color w:val="auto"/>
              </w:rPr>
              <w:t>Inovio Pharmaceuticals, Inc.</w:t>
            </w:r>
          </w:p>
        </w:tc>
        <w:tc>
          <w:tcPr>
            <w:tcW w:w="3520" w:type="dxa"/>
            <w:vAlign w:val="bottom"/>
          </w:tcPr>
          <w:p>
            <w:pPr>
              <w:ind w:left="860"/>
              <w:spacing w:after="0" w:line="202" w:lineRule="exact"/>
              <w:rPr>
                <w:sz w:val="20"/>
                <w:szCs w:val="20"/>
                <w:color w:val="auto"/>
              </w:rPr>
            </w:pPr>
            <w:r>
              <w:rPr>
                <w:rFonts w:ascii="Arial" w:cs="Arial" w:eastAsia="Arial" w:hAnsi="Arial"/>
                <w:sz w:val="18"/>
                <w:szCs w:val="18"/>
                <w:color w:val="auto"/>
              </w:rPr>
              <w:t>Intra-Cellular Therapies, Inc.</w:t>
            </w: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Karyopharm Therapeutics Inc.</w:t>
            </w:r>
          </w:p>
        </w:tc>
        <w:tc>
          <w:tcPr>
            <w:tcW w:w="3900" w:type="dxa"/>
            <w:vAlign w:val="bottom"/>
          </w:tcPr>
          <w:p>
            <w:pPr>
              <w:ind w:left="780"/>
              <w:spacing w:after="0" w:line="202" w:lineRule="exact"/>
              <w:rPr>
                <w:sz w:val="20"/>
                <w:szCs w:val="20"/>
                <w:color w:val="auto"/>
              </w:rPr>
            </w:pPr>
            <w:r>
              <w:rPr>
                <w:rFonts w:ascii="Arial" w:cs="Arial" w:eastAsia="Arial" w:hAnsi="Arial"/>
                <w:sz w:val="18"/>
                <w:szCs w:val="18"/>
                <w:color w:val="auto"/>
              </w:rPr>
              <w:t>MacroGenics, Inc.</w:t>
            </w:r>
          </w:p>
        </w:tc>
        <w:tc>
          <w:tcPr>
            <w:tcW w:w="3520" w:type="dxa"/>
            <w:vAlign w:val="bottom"/>
          </w:tcPr>
          <w:p>
            <w:pPr>
              <w:ind w:left="860"/>
              <w:spacing w:after="0" w:line="202" w:lineRule="exact"/>
              <w:rPr>
                <w:sz w:val="20"/>
                <w:szCs w:val="20"/>
                <w:color w:val="auto"/>
              </w:rPr>
            </w:pPr>
            <w:r>
              <w:rPr>
                <w:rFonts w:ascii="Arial" w:cs="Arial" w:eastAsia="Arial" w:hAnsi="Arial"/>
                <w:sz w:val="18"/>
                <w:szCs w:val="18"/>
                <w:color w:val="auto"/>
              </w:rPr>
              <w:t>Novavax, Inc.</w:t>
            </w: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Paratek Pharmaceuticals, Inc.</w:t>
            </w:r>
          </w:p>
        </w:tc>
        <w:tc>
          <w:tcPr>
            <w:tcW w:w="3900" w:type="dxa"/>
            <w:vAlign w:val="bottom"/>
          </w:tcPr>
          <w:p>
            <w:pPr>
              <w:ind w:left="780"/>
              <w:spacing w:after="0" w:line="202" w:lineRule="exact"/>
              <w:rPr>
                <w:sz w:val="20"/>
                <w:szCs w:val="20"/>
                <w:color w:val="auto"/>
              </w:rPr>
            </w:pPr>
            <w:r>
              <w:rPr>
                <w:rFonts w:ascii="Arial" w:cs="Arial" w:eastAsia="Arial" w:hAnsi="Arial"/>
                <w:sz w:val="18"/>
                <w:szCs w:val="18"/>
                <w:color w:val="auto"/>
              </w:rPr>
              <w:t>Revance Therapeutics, Inc.</w:t>
            </w:r>
          </w:p>
        </w:tc>
        <w:tc>
          <w:tcPr>
            <w:tcW w:w="3520" w:type="dxa"/>
            <w:vAlign w:val="bottom"/>
          </w:tcPr>
          <w:p>
            <w:pPr>
              <w:ind w:left="860"/>
              <w:spacing w:after="0" w:line="202" w:lineRule="exact"/>
              <w:rPr>
                <w:sz w:val="20"/>
                <w:szCs w:val="20"/>
                <w:color w:val="auto"/>
              </w:rPr>
            </w:pPr>
            <w:r>
              <w:rPr>
                <w:rFonts w:ascii="Arial" w:cs="Arial" w:eastAsia="Arial" w:hAnsi="Arial"/>
                <w:sz w:val="18"/>
                <w:szCs w:val="18"/>
                <w:color w:val="auto"/>
                <w:w w:val="98"/>
              </w:rPr>
              <w:t>Tetraphase Pharmaceuticals, Inc.</w:t>
            </w:r>
          </w:p>
        </w:tc>
      </w:tr>
      <w:tr>
        <w:trPr>
          <w:trHeight w:val="217"/>
        </w:trPr>
        <w:tc>
          <w:tcPr>
            <w:tcW w:w="3180" w:type="dxa"/>
            <w:vAlign w:val="bottom"/>
          </w:tcPr>
          <w:p>
            <w:pPr>
              <w:spacing w:after="0"/>
              <w:rPr>
                <w:sz w:val="20"/>
                <w:szCs w:val="20"/>
                <w:color w:val="auto"/>
              </w:rPr>
            </w:pPr>
            <w:r>
              <w:rPr>
                <w:rFonts w:ascii="Arial" w:cs="Arial" w:eastAsia="Arial" w:hAnsi="Arial"/>
                <w:sz w:val="18"/>
                <w:szCs w:val="18"/>
                <w:color w:val="auto"/>
              </w:rPr>
              <w:t>XBiotech Inc.</w:t>
            </w:r>
          </w:p>
        </w:tc>
        <w:tc>
          <w:tcPr>
            <w:tcW w:w="3900" w:type="dxa"/>
            <w:vAlign w:val="bottom"/>
          </w:tcPr>
          <w:p>
            <w:pPr>
              <w:ind w:left="780"/>
              <w:spacing w:after="0"/>
              <w:rPr>
                <w:sz w:val="20"/>
                <w:szCs w:val="20"/>
                <w:color w:val="auto"/>
              </w:rPr>
            </w:pPr>
            <w:r>
              <w:rPr>
                <w:rFonts w:ascii="Arial" w:cs="Arial" w:eastAsia="Arial" w:hAnsi="Arial"/>
                <w:sz w:val="18"/>
                <w:szCs w:val="18"/>
                <w:color w:val="auto"/>
              </w:rPr>
              <w:t>Xencor, Inc.</w:t>
            </w:r>
          </w:p>
        </w:tc>
        <w:tc>
          <w:tcPr>
            <w:tcW w:w="3520" w:type="dxa"/>
            <w:vAlign w:val="bottom"/>
          </w:tcPr>
          <w:p>
            <w:pPr>
              <w:spacing w:after="0"/>
              <w:rPr>
                <w:sz w:val="18"/>
                <w:szCs w:val="18"/>
                <w:color w:val="auto"/>
              </w:rPr>
            </w:pPr>
          </w:p>
        </w:tc>
      </w:tr>
    </w:tbl>
    <w:p>
      <w:pPr>
        <w:spacing w:after="0" w:line="53" w:lineRule="exact"/>
        <w:rPr>
          <w:sz w:val="20"/>
          <w:szCs w:val="20"/>
          <w:color w:val="auto"/>
        </w:rPr>
      </w:pPr>
    </w:p>
    <w:p>
      <w:pPr>
        <w:ind w:left="200" w:right="140"/>
        <w:spacing w:after="0" w:line="253" w:lineRule="auto"/>
        <w:rPr>
          <w:sz w:val="20"/>
          <w:szCs w:val="20"/>
          <w:color w:val="auto"/>
        </w:rPr>
      </w:pPr>
      <w:r>
        <w:rPr>
          <w:rFonts w:ascii="Arial" w:cs="Arial" w:eastAsia="Arial" w:hAnsi="Arial"/>
          <w:sz w:val="17"/>
          <w:szCs w:val="17"/>
          <w:color w:val="auto"/>
        </w:rPr>
        <w:t>The Compensation Committee believes the constituent companies in the peer group are similar to us based on development stage, revenue, industry, executive role considerations and market capitalization and are representative of our competitors for talent and capital. Radford provides the Compensation Committee with a competitive assessment of our compensation program for executive officers against the peer group with respect to pay philosophies, pay mix, cash and equity-linked compensation. The Compensation Committee utilizes the peer group in making compensation decisions to help ensure our compensation program for executive officers adheres to our compensation philosophy of maintaining executive pay that rewards performance while remaining competitive, commensurate with the executive officers’ responsibilities and consistent with market trends in executive compensation practices for comparable companies.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2017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020" w:type="dxa"/>
            <w:vAlign w:val="bottom"/>
            <w:shd w:val="clear" w:color="auto" w:fill="D8D8D8"/>
          </w:tcPr>
          <w:p>
            <w:pPr>
              <w:spacing w:after="0"/>
              <w:rPr>
                <w:sz w:val="14"/>
                <w:szCs w:val="14"/>
                <w:color w:val="auto"/>
              </w:rPr>
            </w:pPr>
          </w:p>
        </w:tc>
        <w:tc>
          <w:tcPr>
            <w:tcW w:w="66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860" w:type="dxa"/>
            <w:vAlign w:val="bottom"/>
            <w:shd w:val="clear" w:color="auto" w:fill="D8D8D8"/>
          </w:tcPr>
          <w:p>
            <w:pPr>
              <w:spacing w:after="0"/>
              <w:rPr>
                <w:sz w:val="14"/>
                <w:szCs w:val="14"/>
                <w:color w:val="auto"/>
              </w:rPr>
            </w:pPr>
          </w:p>
        </w:tc>
        <w:tc>
          <w:tcPr>
            <w:tcW w:w="1120" w:type="dxa"/>
            <w:vAlign w:val="bottom"/>
            <w:shd w:val="clear" w:color="auto" w:fill="D8D8D8"/>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30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r>
      <w:tr>
        <w:trPr>
          <w:trHeight w:val="149"/>
        </w:trPr>
        <w:tc>
          <w:tcPr>
            <w:tcW w:w="402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860" w:type="dxa"/>
            <w:vAlign w:val="bottom"/>
            <w:shd w:val="clear" w:color="auto" w:fill="D8D8D8"/>
          </w:tcPr>
          <w:p>
            <w:pPr>
              <w:spacing w:after="0"/>
              <w:rPr>
                <w:sz w:val="12"/>
                <w:szCs w:val="12"/>
                <w:color w:val="auto"/>
              </w:rPr>
            </w:pPr>
          </w:p>
        </w:tc>
        <w:tc>
          <w:tcPr>
            <w:tcW w:w="11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3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r>
      <w:tr>
        <w:trPr>
          <w:trHeight w:val="149"/>
        </w:trPr>
        <w:tc>
          <w:tcPr>
            <w:tcW w:w="402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78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86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1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300" w:type="dxa"/>
            <w:vAlign w:val="bottom"/>
            <w:shd w:val="clear" w:color="auto" w:fill="D8D8D8"/>
          </w:tcPr>
          <w:p>
            <w:pPr>
              <w:jc w:val="center"/>
              <w:ind w:right="152"/>
              <w:spacing w:after="0" w:line="149" w:lineRule="exact"/>
              <w:rPr>
                <w:sz w:val="20"/>
                <w:szCs w:val="20"/>
                <w:color w:val="auto"/>
              </w:rPr>
            </w:pPr>
            <w:r>
              <w:rPr>
                <w:rFonts w:ascii="Arial" w:cs="Arial" w:eastAsia="Arial" w:hAnsi="Arial"/>
                <w:sz w:val="14"/>
                <w:szCs w:val="14"/>
                <w:b w:val="1"/>
                <w:bCs w:val="1"/>
                <w:color w:val="auto"/>
                <w:w w:val="94"/>
              </w:rPr>
              <w:t>All Other</w:t>
            </w:r>
          </w:p>
        </w:tc>
        <w:tc>
          <w:tcPr>
            <w:tcW w:w="800" w:type="dxa"/>
            <w:vAlign w:val="bottom"/>
            <w:shd w:val="clear" w:color="auto" w:fill="D8D8D8"/>
          </w:tcPr>
          <w:p>
            <w:pPr>
              <w:spacing w:after="0"/>
              <w:rPr>
                <w:sz w:val="12"/>
                <w:szCs w:val="12"/>
                <w:color w:val="auto"/>
              </w:rPr>
            </w:pPr>
          </w:p>
        </w:tc>
      </w:tr>
      <w:tr>
        <w:trPr>
          <w:trHeight w:val="149"/>
        </w:trPr>
        <w:tc>
          <w:tcPr>
            <w:tcW w:w="402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700" w:type="dxa"/>
            <w:vAlign w:val="bottom"/>
            <w:shd w:val="clear" w:color="auto" w:fill="D8D8D8"/>
          </w:tcPr>
          <w:p>
            <w:pPr>
              <w:ind w:left="160"/>
              <w:spacing w:after="0" w:line="149" w:lineRule="exact"/>
              <w:rPr>
                <w:sz w:val="20"/>
                <w:szCs w:val="20"/>
                <w:color w:val="auto"/>
              </w:rPr>
            </w:pPr>
            <w:r>
              <w:rPr>
                <w:rFonts w:ascii="Arial" w:cs="Arial" w:eastAsia="Arial" w:hAnsi="Arial"/>
                <w:sz w:val="14"/>
                <w:szCs w:val="14"/>
                <w:b w:val="1"/>
                <w:bCs w:val="1"/>
                <w:color w:val="auto"/>
              </w:rPr>
              <w:t>Salary</w:t>
            </w:r>
          </w:p>
        </w:tc>
        <w:tc>
          <w:tcPr>
            <w:tcW w:w="780" w:type="dxa"/>
            <w:vAlign w:val="bottom"/>
            <w:shd w:val="clear" w:color="auto" w:fill="D8D8D8"/>
          </w:tcPr>
          <w:p>
            <w:pPr>
              <w:jc w:val="right"/>
              <w:ind w:right="212"/>
              <w:spacing w:after="0" w:line="149" w:lineRule="exact"/>
              <w:rPr>
                <w:sz w:val="20"/>
                <w:szCs w:val="20"/>
                <w:color w:val="auto"/>
              </w:rPr>
            </w:pPr>
            <w:r>
              <w:rPr>
                <w:rFonts w:ascii="Arial" w:cs="Arial" w:eastAsia="Arial" w:hAnsi="Arial"/>
                <w:sz w:val="14"/>
                <w:szCs w:val="14"/>
                <w:b w:val="1"/>
                <w:bCs w:val="1"/>
                <w:color w:val="auto"/>
              </w:rPr>
              <w:t>Bonus</w:t>
            </w:r>
          </w:p>
        </w:tc>
        <w:tc>
          <w:tcPr>
            <w:tcW w:w="78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b w:val="1"/>
                <w:bCs w:val="1"/>
                <w:color w:val="auto"/>
              </w:rPr>
              <w:t>Compensation</w:t>
            </w:r>
          </w:p>
        </w:tc>
        <w:tc>
          <w:tcPr>
            <w:tcW w:w="1300" w:type="dxa"/>
            <w:vAlign w:val="bottom"/>
            <w:shd w:val="clear" w:color="auto" w:fill="D8D8D8"/>
          </w:tcPr>
          <w:p>
            <w:pPr>
              <w:jc w:val="center"/>
              <w:ind w:right="132"/>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800" w:type="dxa"/>
            <w:vAlign w:val="bottom"/>
            <w:shd w:val="clear" w:color="auto" w:fill="D8D8D8"/>
          </w:tcPr>
          <w:p>
            <w:pPr>
              <w:spacing w:after="0"/>
              <w:rPr>
                <w:sz w:val="12"/>
                <w:szCs w:val="12"/>
                <w:color w:val="auto"/>
              </w:rPr>
            </w:pPr>
          </w:p>
        </w:tc>
      </w:tr>
      <w:tr>
        <w:trPr>
          <w:trHeight w:val="165"/>
        </w:trPr>
        <w:tc>
          <w:tcPr>
            <w:tcW w:w="402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b w:val="1"/>
                <w:bCs w:val="1"/>
                <w:color w:val="auto"/>
              </w:rPr>
              <w:t>Name and Principal Position</w:t>
            </w:r>
          </w:p>
        </w:tc>
        <w:tc>
          <w:tcPr>
            <w:tcW w:w="660" w:type="dxa"/>
            <w:vAlign w:val="bottom"/>
            <w:tcBorders>
              <w:bottom w:val="single" w:sz="8" w:color="auto"/>
            </w:tcBorders>
            <w:shd w:val="clear" w:color="auto" w:fill="D8D8D8"/>
          </w:tcPr>
          <w:p>
            <w:pPr>
              <w:ind w:left="220"/>
              <w:spacing w:after="0"/>
              <w:rPr>
                <w:sz w:val="20"/>
                <w:szCs w:val="20"/>
                <w:color w:val="auto"/>
              </w:rPr>
            </w:pPr>
            <w:r>
              <w:rPr>
                <w:rFonts w:ascii="Arial" w:cs="Arial" w:eastAsia="Arial" w:hAnsi="Arial"/>
                <w:sz w:val="14"/>
                <w:szCs w:val="14"/>
                <w:b w:val="1"/>
                <w:bCs w:val="1"/>
                <w:color w:val="auto"/>
              </w:rPr>
              <w:t>Year</w:t>
            </w:r>
          </w:p>
        </w:tc>
        <w:tc>
          <w:tcPr>
            <w:tcW w:w="700" w:type="dxa"/>
            <w:vAlign w:val="bottom"/>
            <w:tcBorders>
              <w:bottom w:val="single" w:sz="8" w:color="auto"/>
            </w:tcBorders>
            <w:shd w:val="clear" w:color="auto" w:fill="D8D8D8"/>
          </w:tcPr>
          <w:p>
            <w:pPr>
              <w:ind w:left="28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D8D8D8"/>
          </w:tcPr>
          <w:p>
            <w:pPr>
              <w:jc w:val="right"/>
              <w:ind w:right="332"/>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(3)</w:t>
            </w:r>
          </w:p>
        </w:tc>
        <w:tc>
          <w:tcPr>
            <w:tcW w:w="8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1"/>
                <w:szCs w:val="11"/>
                <w:b w:val="1"/>
                <w:bCs w:val="1"/>
                <w:color w:val="auto"/>
              </w:rPr>
              <w:t>(3)</w:t>
            </w:r>
          </w:p>
        </w:tc>
        <w:tc>
          <w:tcPr>
            <w:tcW w:w="11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(4)</w:t>
            </w:r>
          </w:p>
        </w:tc>
        <w:tc>
          <w:tcPr>
            <w:tcW w:w="1300" w:type="dxa"/>
            <w:vAlign w:val="bottom"/>
            <w:tcBorders>
              <w:bottom w:val="single" w:sz="8" w:color="auto"/>
            </w:tcBorders>
            <w:shd w:val="clear" w:color="auto" w:fill="D8D8D8"/>
          </w:tcPr>
          <w:p>
            <w:pPr>
              <w:jc w:val="center"/>
              <w:ind w:right="152"/>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tcBorders>
            <w:shd w:val="clear" w:color="auto" w:fill="D8D8D8"/>
          </w:tcPr>
          <w:p>
            <w:pPr>
              <w:ind w:left="160"/>
              <w:spacing w:after="0"/>
              <w:rPr>
                <w:sz w:val="20"/>
                <w:szCs w:val="20"/>
                <w:color w:val="auto"/>
              </w:rPr>
            </w:pPr>
            <w:r>
              <w:rPr>
                <w:rFonts w:ascii="Arial" w:cs="Arial" w:eastAsia="Arial" w:hAnsi="Arial"/>
                <w:sz w:val="14"/>
                <w:szCs w:val="14"/>
                <w:b w:val="1"/>
                <w:bCs w:val="1"/>
                <w:color w:val="auto"/>
              </w:rPr>
              <w:t>Total ($)</w:t>
            </w:r>
          </w:p>
        </w:tc>
      </w:tr>
      <w:tr>
        <w:trPr>
          <w:trHeight w:val="127"/>
        </w:trPr>
        <w:tc>
          <w:tcPr>
            <w:tcW w:w="4020" w:type="dxa"/>
            <w:vAlign w:val="bottom"/>
          </w:tcPr>
          <w:p>
            <w:pPr>
              <w:ind w:left="60"/>
              <w:spacing w:after="0" w:line="127" w:lineRule="exact"/>
              <w:rPr>
                <w:sz w:val="20"/>
                <w:szCs w:val="20"/>
                <w:color w:val="auto"/>
              </w:rPr>
            </w:pPr>
            <w:r>
              <w:rPr>
                <w:rFonts w:ascii="Arial" w:cs="Arial" w:eastAsia="Arial" w:hAnsi="Arial"/>
                <w:sz w:val="14"/>
                <w:szCs w:val="14"/>
                <w:color w:val="auto"/>
              </w:rPr>
              <w:t>Roger J. Pomerantz, M.D.</w:t>
            </w:r>
            <w:r>
              <w:rPr>
                <w:rFonts w:ascii="Arial" w:cs="Arial" w:eastAsia="Arial" w:hAnsi="Arial"/>
                <w:sz w:val="11"/>
                <w:szCs w:val="11"/>
                <w:color w:val="auto"/>
              </w:rPr>
              <w:t>(1)</w:t>
            </w:r>
          </w:p>
        </w:tc>
        <w:tc>
          <w:tcPr>
            <w:tcW w:w="660" w:type="dxa"/>
            <w:vAlign w:val="bottom"/>
          </w:tcPr>
          <w:p>
            <w:pPr>
              <w:ind w:left="220"/>
              <w:spacing w:after="0" w:line="127" w:lineRule="exact"/>
              <w:rPr>
                <w:sz w:val="20"/>
                <w:szCs w:val="20"/>
                <w:color w:val="auto"/>
              </w:rPr>
            </w:pPr>
            <w:r>
              <w:rPr>
                <w:rFonts w:ascii="Arial" w:cs="Arial" w:eastAsia="Arial" w:hAnsi="Arial"/>
                <w:sz w:val="14"/>
                <w:szCs w:val="14"/>
                <w:color w:val="auto"/>
              </w:rPr>
              <w:t>2017</w:t>
            </w:r>
          </w:p>
        </w:tc>
        <w:tc>
          <w:tcPr>
            <w:tcW w:w="700" w:type="dxa"/>
            <w:vAlign w:val="bottom"/>
          </w:tcPr>
          <w:p>
            <w:pPr>
              <w:ind w:left="160"/>
              <w:spacing w:after="0" w:line="127" w:lineRule="exact"/>
              <w:rPr>
                <w:sz w:val="20"/>
                <w:szCs w:val="20"/>
                <w:color w:val="auto"/>
              </w:rPr>
            </w:pPr>
            <w:r>
              <w:rPr>
                <w:rFonts w:ascii="Arial" w:cs="Arial" w:eastAsia="Arial" w:hAnsi="Arial"/>
                <w:sz w:val="14"/>
                <w:szCs w:val="14"/>
                <w:color w:val="auto"/>
              </w:rPr>
              <w:t>581,400</w:t>
            </w:r>
          </w:p>
        </w:tc>
        <w:tc>
          <w:tcPr>
            <w:tcW w:w="780" w:type="dxa"/>
            <w:vAlign w:val="bottom"/>
          </w:tcPr>
          <w:p>
            <w:pPr>
              <w:jc w:val="right"/>
              <w:ind w:right="212"/>
              <w:spacing w:after="0" w:line="127"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line="12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line="127" w:lineRule="exact"/>
              <w:rPr>
                <w:sz w:val="20"/>
                <w:szCs w:val="20"/>
                <w:color w:val="auto"/>
              </w:rPr>
            </w:pPr>
            <w:r>
              <w:rPr>
                <w:rFonts w:ascii="Arial" w:cs="Arial" w:eastAsia="Arial" w:hAnsi="Arial"/>
                <w:sz w:val="14"/>
                <w:szCs w:val="14"/>
                <w:color w:val="auto"/>
              </w:rPr>
              <w:t>1,809,800</w:t>
            </w:r>
          </w:p>
        </w:tc>
        <w:tc>
          <w:tcPr>
            <w:tcW w:w="1120" w:type="dxa"/>
            <w:vAlign w:val="bottom"/>
          </w:tcPr>
          <w:p>
            <w:pPr>
              <w:jc w:val="right"/>
              <w:spacing w:after="0" w:line="127" w:lineRule="exact"/>
              <w:rPr>
                <w:sz w:val="20"/>
                <w:szCs w:val="20"/>
                <w:color w:val="auto"/>
              </w:rPr>
            </w:pPr>
            <w:r>
              <w:rPr>
                <w:rFonts w:ascii="Arial" w:cs="Arial" w:eastAsia="Arial" w:hAnsi="Arial"/>
                <w:sz w:val="14"/>
                <w:szCs w:val="14"/>
                <w:color w:val="auto"/>
              </w:rPr>
              <w:t>348,861</w:t>
            </w:r>
          </w:p>
        </w:tc>
        <w:tc>
          <w:tcPr>
            <w:tcW w:w="1300" w:type="dxa"/>
            <w:vAlign w:val="bottom"/>
          </w:tcPr>
          <w:p>
            <w:pPr>
              <w:jc w:val="right"/>
              <w:ind w:right="72"/>
              <w:spacing w:after="0" w:line="127" w:lineRule="exact"/>
              <w:rPr>
                <w:sz w:val="20"/>
                <w:szCs w:val="20"/>
                <w:color w:val="auto"/>
              </w:rPr>
            </w:pPr>
            <w:r>
              <w:rPr>
                <w:rFonts w:ascii="Arial" w:cs="Arial" w:eastAsia="Arial" w:hAnsi="Arial"/>
                <w:sz w:val="14"/>
                <w:szCs w:val="14"/>
                <w:color w:val="auto"/>
              </w:rPr>
              <w:t>168,675</w:t>
            </w:r>
            <w:r>
              <w:rPr>
                <w:rFonts w:ascii="Arial" w:cs="Arial" w:eastAsia="Arial" w:hAnsi="Arial"/>
                <w:sz w:val="11"/>
                <w:szCs w:val="11"/>
                <w:color w:val="auto"/>
              </w:rPr>
              <w:t>(5)</w:t>
            </w:r>
          </w:p>
        </w:tc>
        <w:tc>
          <w:tcPr>
            <w:tcW w:w="800" w:type="dxa"/>
            <w:vAlign w:val="bottom"/>
          </w:tcPr>
          <w:p>
            <w:pPr>
              <w:ind w:left="140"/>
              <w:spacing w:after="0" w:line="127" w:lineRule="exact"/>
              <w:rPr>
                <w:sz w:val="20"/>
                <w:szCs w:val="20"/>
                <w:color w:val="auto"/>
              </w:rPr>
            </w:pPr>
            <w:r>
              <w:rPr>
                <w:rFonts w:ascii="Arial" w:cs="Arial" w:eastAsia="Arial" w:hAnsi="Arial"/>
                <w:sz w:val="14"/>
                <w:szCs w:val="14"/>
                <w:color w:val="auto"/>
              </w:rPr>
              <w:t>2,908,736</w:t>
            </w:r>
          </w:p>
        </w:tc>
      </w:tr>
      <w:tr>
        <w:trPr>
          <w:trHeight w:val="163"/>
        </w:trPr>
        <w:tc>
          <w:tcPr>
            <w:tcW w:w="4020" w:type="dxa"/>
            <w:vAlign w:val="bottom"/>
          </w:tcPr>
          <w:p>
            <w:pPr>
              <w:ind w:left="60"/>
              <w:spacing w:after="0"/>
              <w:rPr>
                <w:sz w:val="20"/>
                <w:szCs w:val="20"/>
                <w:color w:val="auto"/>
              </w:rPr>
            </w:pPr>
            <w:r>
              <w:rPr>
                <w:rFonts w:ascii="Arial" w:cs="Arial" w:eastAsia="Arial" w:hAnsi="Arial"/>
                <w:sz w:val="14"/>
                <w:szCs w:val="14"/>
                <w:i w:val="1"/>
                <w:iCs w:val="1"/>
                <w:color w:val="auto"/>
              </w:rPr>
              <w:t>President and Chief Executive Officer</w:t>
            </w:r>
          </w:p>
        </w:tc>
        <w:tc>
          <w:tcPr>
            <w:tcW w:w="660" w:type="dxa"/>
            <w:vAlign w:val="bottom"/>
          </w:tcPr>
          <w:p>
            <w:pPr>
              <w:ind w:left="220"/>
              <w:spacing w:after="0"/>
              <w:rPr>
                <w:sz w:val="20"/>
                <w:szCs w:val="20"/>
                <w:color w:val="auto"/>
              </w:rPr>
            </w:pPr>
            <w:r>
              <w:rPr>
                <w:rFonts w:ascii="Arial" w:cs="Arial" w:eastAsia="Arial" w:hAnsi="Arial"/>
                <w:sz w:val="14"/>
                <w:szCs w:val="14"/>
                <w:color w:val="auto"/>
              </w:rPr>
              <w:t>2016</w:t>
            </w:r>
          </w:p>
        </w:tc>
        <w:tc>
          <w:tcPr>
            <w:tcW w:w="700" w:type="dxa"/>
            <w:vAlign w:val="bottom"/>
          </w:tcPr>
          <w:p>
            <w:pPr>
              <w:ind w:left="160"/>
              <w:spacing w:after="0"/>
              <w:rPr>
                <w:sz w:val="20"/>
                <w:szCs w:val="20"/>
                <w:color w:val="auto"/>
              </w:rPr>
            </w:pPr>
            <w:r>
              <w:rPr>
                <w:rFonts w:ascii="Arial" w:cs="Arial" w:eastAsia="Arial" w:hAnsi="Arial"/>
                <w:sz w:val="14"/>
                <w:szCs w:val="14"/>
                <w:color w:val="auto"/>
              </w:rPr>
              <w:t>564,500</w:t>
            </w:r>
          </w:p>
        </w:tc>
        <w:tc>
          <w:tcPr>
            <w:tcW w:w="7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3,289,572</w:t>
            </w:r>
          </w:p>
        </w:tc>
        <w:tc>
          <w:tcPr>
            <w:tcW w:w="1120" w:type="dxa"/>
            <w:vAlign w:val="bottom"/>
          </w:tcPr>
          <w:p>
            <w:pPr>
              <w:jc w:val="right"/>
              <w:spacing w:after="0"/>
              <w:rPr>
                <w:sz w:val="20"/>
                <w:szCs w:val="20"/>
                <w:color w:val="auto"/>
              </w:rPr>
            </w:pPr>
            <w:r>
              <w:rPr>
                <w:rFonts w:ascii="Arial" w:cs="Arial" w:eastAsia="Arial" w:hAnsi="Arial"/>
                <w:sz w:val="14"/>
                <w:szCs w:val="14"/>
                <w:color w:val="auto"/>
              </w:rPr>
              <w:t>225,800</w:t>
            </w:r>
          </w:p>
        </w:tc>
        <w:tc>
          <w:tcPr>
            <w:tcW w:w="1300" w:type="dxa"/>
            <w:vAlign w:val="bottom"/>
          </w:tcPr>
          <w:p>
            <w:pPr>
              <w:jc w:val="right"/>
              <w:ind w:right="212"/>
              <w:spacing w:after="0"/>
              <w:rPr>
                <w:sz w:val="20"/>
                <w:szCs w:val="20"/>
                <w:color w:val="auto"/>
              </w:rPr>
            </w:pPr>
            <w:r>
              <w:rPr>
                <w:rFonts w:ascii="Arial" w:cs="Arial" w:eastAsia="Arial" w:hAnsi="Arial"/>
                <w:sz w:val="14"/>
                <w:szCs w:val="14"/>
                <w:color w:val="auto"/>
              </w:rPr>
              <w:t>175,785</w:t>
            </w:r>
          </w:p>
        </w:tc>
        <w:tc>
          <w:tcPr>
            <w:tcW w:w="800" w:type="dxa"/>
            <w:vAlign w:val="bottom"/>
          </w:tcPr>
          <w:p>
            <w:pPr>
              <w:ind w:left="140"/>
              <w:spacing w:after="0"/>
              <w:rPr>
                <w:sz w:val="20"/>
                <w:szCs w:val="20"/>
                <w:color w:val="auto"/>
              </w:rPr>
            </w:pPr>
            <w:r>
              <w:rPr>
                <w:rFonts w:ascii="Arial" w:cs="Arial" w:eastAsia="Arial" w:hAnsi="Arial"/>
                <w:sz w:val="14"/>
                <w:szCs w:val="14"/>
                <w:color w:val="auto"/>
              </w:rPr>
              <w:t>4,255,657</w:t>
            </w:r>
          </w:p>
        </w:tc>
      </w:tr>
      <w:tr>
        <w:trPr>
          <w:trHeight w:val="201"/>
        </w:trPr>
        <w:tc>
          <w:tcPr>
            <w:tcW w:w="4020" w:type="dxa"/>
            <w:vAlign w:val="bottom"/>
            <w:shd w:val="clear" w:color="auto" w:fill="D8D8D8"/>
          </w:tcPr>
          <w:p>
            <w:pPr>
              <w:ind w:left="60"/>
              <w:spacing w:after="0"/>
              <w:rPr>
                <w:sz w:val="20"/>
                <w:szCs w:val="20"/>
                <w:color w:val="auto"/>
              </w:rPr>
            </w:pPr>
            <w:r>
              <w:rPr>
                <w:rFonts w:ascii="Arial" w:cs="Arial" w:eastAsia="Arial" w:hAnsi="Arial"/>
                <w:sz w:val="14"/>
                <w:szCs w:val="14"/>
                <w:color w:val="auto"/>
              </w:rPr>
              <w:t>Michele Trucksis, Ph.D. M.D.</w:t>
            </w:r>
            <w:r>
              <w:rPr>
                <w:rFonts w:ascii="Arial" w:cs="Arial" w:eastAsia="Arial" w:hAnsi="Arial"/>
                <w:sz w:val="11"/>
                <w:szCs w:val="11"/>
                <w:color w:val="auto"/>
              </w:rPr>
              <w:t>(2)</w:t>
            </w:r>
          </w:p>
        </w:tc>
        <w:tc>
          <w:tcPr>
            <w:tcW w:w="660" w:type="dxa"/>
            <w:vAlign w:val="bottom"/>
            <w:shd w:val="clear" w:color="auto" w:fill="D8D8D8"/>
          </w:tcPr>
          <w:p>
            <w:pPr>
              <w:ind w:left="220"/>
              <w:spacing w:after="0"/>
              <w:rPr>
                <w:sz w:val="20"/>
                <w:szCs w:val="20"/>
                <w:color w:val="auto"/>
              </w:rPr>
            </w:pPr>
            <w:r>
              <w:rPr>
                <w:rFonts w:ascii="Arial" w:cs="Arial" w:eastAsia="Arial" w:hAnsi="Arial"/>
                <w:sz w:val="14"/>
                <w:szCs w:val="14"/>
                <w:color w:val="auto"/>
              </w:rPr>
              <w:t>2017</w:t>
            </w:r>
          </w:p>
        </w:tc>
        <w:tc>
          <w:tcPr>
            <w:tcW w:w="7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427,347</w:t>
            </w:r>
          </w:p>
        </w:tc>
        <w:tc>
          <w:tcPr>
            <w:tcW w:w="780" w:type="dxa"/>
            <w:vAlign w:val="bottom"/>
            <w:shd w:val="clear" w:color="auto" w:fill="D8D8D8"/>
          </w:tcPr>
          <w:p>
            <w:pPr>
              <w:jc w:val="right"/>
              <w:ind w:right="212"/>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72"/>
              <w:spacing w:after="0"/>
              <w:rPr>
                <w:sz w:val="20"/>
                <w:szCs w:val="20"/>
                <w:color w:val="auto"/>
              </w:rPr>
            </w:pPr>
            <w:r>
              <w:rPr>
                <w:rFonts w:ascii="Arial" w:cs="Arial" w:eastAsia="Arial" w:hAnsi="Arial"/>
                <w:sz w:val="14"/>
                <w:szCs w:val="14"/>
                <w:color w:val="auto"/>
              </w:rPr>
              <w:t>370,875</w:t>
            </w:r>
          </w:p>
        </w:tc>
        <w:tc>
          <w:tcPr>
            <w:tcW w:w="860" w:type="dxa"/>
            <w:vAlign w:val="bottom"/>
            <w:shd w:val="clear" w:color="auto" w:fill="D8D8D8"/>
          </w:tcPr>
          <w:p>
            <w:pPr>
              <w:jc w:val="right"/>
              <w:ind w:right="52"/>
              <w:spacing w:after="0"/>
              <w:rPr>
                <w:sz w:val="20"/>
                <w:szCs w:val="20"/>
                <w:color w:val="auto"/>
              </w:rPr>
            </w:pPr>
            <w:r>
              <w:rPr>
                <w:rFonts w:ascii="Arial" w:cs="Arial" w:eastAsia="Arial" w:hAnsi="Arial"/>
                <w:sz w:val="14"/>
                <w:szCs w:val="14"/>
                <w:color w:val="auto"/>
              </w:rPr>
              <w:t>693,410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198,300</w:t>
            </w:r>
          </w:p>
        </w:tc>
        <w:tc>
          <w:tcPr>
            <w:tcW w:w="1300" w:type="dxa"/>
            <w:vAlign w:val="bottom"/>
            <w:shd w:val="clear" w:color="auto" w:fill="D8D8D8"/>
          </w:tcPr>
          <w:p>
            <w:pPr>
              <w:jc w:val="right"/>
              <w:ind w:right="72"/>
              <w:spacing w:after="0"/>
              <w:rPr>
                <w:sz w:val="20"/>
                <w:szCs w:val="20"/>
                <w:color w:val="auto"/>
              </w:rPr>
            </w:pPr>
            <w:r>
              <w:rPr>
                <w:rFonts w:ascii="Arial" w:cs="Arial" w:eastAsia="Arial" w:hAnsi="Arial"/>
                <w:sz w:val="14"/>
                <w:szCs w:val="14"/>
                <w:color w:val="auto"/>
              </w:rPr>
              <w:t>6,148</w:t>
            </w:r>
            <w:r>
              <w:rPr>
                <w:rFonts w:ascii="Arial" w:cs="Arial" w:eastAsia="Arial" w:hAnsi="Arial"/>
                <w:sz w:val="11"/>
                <w:szCs w:val="11"/>
                <w:color w:val="auto"/>
              </w:rPr>
              <w:t>(6)</w:t>
            </w:r>
          </w:p>
        </w:tc>
        <w:tc>
          <w:tcPr>
            <w:tcW w:w="800" w:type="dxa"/>
            <w:vAlign w:val="bottom"/>
            <w:shd w:val="clear" w:color="auto" w:fill="D8D8D8"/>
          </w:tcPr>
          <w:p>
            <w:pPr>
              <w:ind w:left="140"/>
              <w:spacing w:after="0"/>
              <w:rPr>
                <w:sz w:val="20"/>
                <w:szCs w:val="20"/>
                <w:color w:val="auto"/>
              </w:rPr>
            </w:pPr>
            <w:r>
              <w:rPr>
                <w:rFonts w:ascii="Arial" w:cs="Arial" w:eastAsia="Arial" w:hAnsi="Arial"/>
                <w:sz w:val="14"/>
                <w:szCs w:val="14"/>
                <w:color w:val="auto"/>
              </w:rPr>
              <w:t>1,695,180</w:t>
            </w:r>
          </w:p>
        </w:tc>
      </w:tr>
      <w:tr>
        <w:trPr>
          <w:trHeight w:val="163"/>
        </w:trPr>
        <w:tc>
          <w:tcPr>
            <w:tcW w:w="4020" w:type="dxa"/>
            <w:vAlign w:val="bottom"/>
            <w:shd w:val="clear" w:color="auto" w:fill="D8D8D8"/>
          </w:tcPr>
          <w:p>
            <w:pPr>
              <w:ind w:left="60"/>
              <w:spacing w:after="0"/>
              <w:rPr>
                <w:sz w:val="20"/>
                <w:szCs w:val="20"/>
                <w:color w:val="auto"/>
              </w:rPr>
            </w:pPr>
            <w:r>
              <w:rPr>
                <w:rFonts w:ascii="Arial" w:cs="Arial" w:eastAsia="Arial" w:hAnsi="Arial"/>
                <w:sz w:val="14"/>
                <w:szCs w:val="14"/>
                <w:i w:val="1"/>
                <w:iCs w:val="1"/>
                <w:color w:val="auto"/>
              </w:rPr>
              <w:t>Executive Vice President and Chief  Medical Officer</w:t>
            </w:r>
          </w:p>
        </w:tc>
        <w:tc>
          <w:tcPr>
            <w:tcW w:w="66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860" w:type="dxa"/>
            <w:vAlign w:val="bottom"/>
            <w:shd w:val="clear" w:color="auto" w:fill="D8D8D8"/>
          </w:tcPr>
          <w:p>
            <w:pPr>
              <w:spacing w:after="0"/>
              <w:rPr>
                <w:sz w:val="14"/>
                <w:szCs w:val="14"/>
                <w:color w:val="auto"/>
              </w:rPr>
            </w:pPr>
          </w:p>
        </w:tc>
        <w:tc>
          <w:tcPr>
            <w:tcW w:w="1120" w:type="dxa"/>
            <w:vAlign w:val="bottom"/>
            <w:shd w:val="clear" w:color="auto" w:fill="D8D8D8"/>
          </w:tcPr>
          <w:p>
            <w:pPr>
              <w:spacing w:after="0"/>
              <w:rPr>
                <w:sz w:val="14"/>
                <w:szCs w:val="14"/>
                <w:color w:val="auto"/>
              </w:rPr>
            </w:pPr>
          </w:p>
        </w:tc>
        <w:tc>
          <w:tcPr>
            <w:tcW w:w="130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r>
      <w:tr>
        <w:trPr>
          <w:trHeight w:val="201"/>
        </w:trPr>
        <w:tc>
          <w:tcPr>
            <w:tcW w:w="4020" w:type="dxa"/>
            <w:vAlign w:val="bottom"/>
          </w:tcPr>
          <w:p>
            <w:pPr>
              <w:ind w:left="60"/>
              <w:spacing w:after="0"/>
              <w:rPr>
                <w:sz w:val="20"/>
                <w:szCs w:val="20"/>
                <w:color w:val="auto"/>
              </w:rPr>
            </w:pPr>
            <w:r>
              <w:rPr>
                <w:rFonts w:ascii="Arial" w:cs="Arial" w:eastAsia="Arial" w:hAnsi="Arial"/>
                <w:sz w:val="14"/>
                <w:szCs w:val="14"/>
                <w:color w:val="auto"/>
              </w:rPr>
              <w:t>Eric Shaff</w:t>
            </w:r>
            <w:r>
              <w:rPr>
                <w:rFonts w:ascii="Arial" w:cs="Arial" w:eastAsia="Arial" w:hAnsi="Arial"/>
                <w:sz w:val="11"/>
                <w:szCs w:val="11"/>
                <w:color w:val="auto"/>
              </w:rPr>
              <w:t>(3)</w:t>
            </w:r>
          </w:p>
        </w:tc>
        <w:tc>
          <w:tcPr>
            <w:tcW w:w="660" w:type="dxa"/>
            <w:vAlign w:val="bottom"/>
          </w:tcPr>
          <w:p>
            <w:pPr>
              <w:ind w:left="220"/>
              <w:spacing w:after="0"/>
              <w:rPr>
                <w:sz w:val="20"/>
                <w:szCs w:val="20"/>
                <w:color w:val="auto"/>
              </w:rPr>
            </w:pPr>
            <w:r>
              <w:rPr>
                <w:rFonts w:ascii="Arial" w:cs="Arial" w:eastAsia="Arial" w:hAnsi="Arial"/>
                <w:sz w:val="14"/>
                <w:szCs w:val="14"/>
                <w:color w:val="auto"/>
              </w:rPr>
              <w:t>2017</w:t>
            </w:r>
          </w:p>
        </w:tc>
        <w:tc>
          <w:tcPr>
            <w:tcW w:w="700" w:type="dxa"/>
            <w:vAlign w:val="bottom"/>
          </w:tcPr>
          <w:p>
            <w:pPr>
              <w:ind w:left="160"/>
              <w:spacing w:after="0"/>
              <w:rPr>
                <w:sz w:val="20"/>
                <w:szCs w:val="20"/>
                <w:color w:val="auto"/>
              </w:rPr>
            </w:pPr>
            <w:r>
              <w:rPr>
                <w:rFonts w:ascii="Arial" w:cs="Arial" w:eastAsia="Arial" w:hAnsi="Arial"/>
                <w:sz w:val="14"/>
                <w:szCs w:val="14"/>
                <w:color w:val="auto"/>
              </w:rPr>
              <w:t>377,083</w:t>
            </w: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3,026</w:t>
            </w:r>
            <w:r>
              <w:rPr>
                <w:rFonts w:ascii="Arial" w:cs="Arial" w:eastAsia="Arial" w:hAnsi="Arial"/>
                <w:sz w:val="11"/>
                <w:szCs w:val="11"/>
                <w:color w:val="auto"/>
              </w:rPr>
              <w:t>(2)</w:t>
            </w: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395,600</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728,081</w:t>
            </w:r>
          </w:p>
        </w:tc>
        <w:tc>
          <w:tcPr>
            <w:tcW w:w="1120" w:type="dxa"/>
            <w:vAlign w:val="bottom"/>
          </w:tcPr>
          <w:p>
            <w:pPr>
              <w:jc w:val="right"/>
              <w:spacing w:after="0"/>
              <w:rPr>
                <w:sz w:val="20"/>
                <w:szCs w:val="20"/>
                <w:color w:val="auto"/>
              </w:rPr>
            </w:pPr>
            <w:r>
              <w:rPr>
                <w:rFonts w:ascii="Arial" w:cs="Arial" w:eastAsia="Arial" w:hAnsi="Arial"/>
                <w:sz w:val="14"/>
                <w:szCs w:val="14"/>
                <w:color w:val="auto"/>
              </w:rPr>
              <w:t>174,974</w:t>
            </w:r>
          </w:p>
        </w:tc>
        <w:tc>
          <w:tcPr>
            <w:tcW w:w="1300" w:type="dxa"/>
            <w:vAlign w:val="bottom"/>
          </w:tcPr>
          <w:p>
            <w:pPr>
              <w:jc w:val="right"/>
              <w:ind w:right="72"/>
              <w:spacing w:after="0"/>
              <w:rPr>
                <w:sz w:val="20"/>
                <w:szCs w:val="20"/>
                <w:color w:val="auto"/>
              </w:rPr>
            </w:pPr>
            <w:r>
              <w:rPr>
                <w:rFonts w:ascii="Arial" w:cs="Arial" w:eastAsia="Arial" w:hAnsi="Arial"/>
                <w:sz w:val="14"/>
                <w:szCs w:val="14"/>
                <w:color w:val="auto"/>
              </w:rPr>
              <w:t>6,836</w:t>
            </w:r>
            <w:r>
              <w:rPr>
                <w:rFonts w:ascii="Arial" w:cs="Arial" w:eastAsia="Arial" w:hAnsi="Arial"/>
                <w:sz w:val="11"/>
                <w:szCs w:val="11"/>
                <w:color w:val="auto"/>
              </w:rPr>
              <w:t>(7)</w:t>
            </w:r>
          </w:p>
        </w:tc>
        <w:tc>
          <w:tcPr>
            <w:tcW w:w="800" w:type="dxa"/>
            <w:vAlign w:val="bottom"/>
          </w:tcPr>
          <w:p>
            <w:pPr>
              <w:ind w:left="140"/>
              <w:spacing w:after="0"/>
              <w:rPr>
                <w:sz w:val="20"/>
                <w:szCs w:val="20"/>
                <w:color w:val="auto"/>
              </w:rPr>
            </w:pPr>
            <w:r>
              <w:rPr>
                <w:rFonts w:ascii="Arial" w:cs="Arial" w:eastAsia="Arial" w:hAnsi="Arial"/>
                <w:sz w:val="14"/>
                <w:szCs w:val="14"/>
                <w:color w:val="auto"/>
              </w:rPr>
              <w:t>1,685,600</w:t>
            </w:r>
          </w:p>
        </w:tc>
      </w:tr>
      <w:tr>
        <w:trPr>
          <w:trHeight w:val="163"/>
        </w:trPr>
        <w:tc>
          <w:tcPr>
            <w:tcW w:w="4020" w:type="dxa"/>
            <w:vAlign w:val="bottom"/>
          </w:tcPr>
          <w:p>
            <w:pPr>
              <w:ind w:left="60"/>
              <w:spacing w:after="0"/>
              <w:rPr>
                <w:sz w:val="20"/>
                <w:szCs w:val="20"/>
                <w:color w:val="auto"/>
              </w:rPr>
            </w:pPr>
            <w:r>
              <w:rPr>
                <w:rFonts w:ascii="Arial" w:cs="Arial" w:eastAsia="Arial" w:hAnsi="Arial"/>
                <w:sz w:val="14"/>
                <w:szCs w:val="14"/>
                <w:i w:val="1"/>
                <w:iCs w:val="1"/>
                <w:color w:val="auto"/>
                <w:w w:val="98"/>
              </w:rPr>
              <w:t>Executive Vice President, Chief  Operating and Financial Officer,</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ind w:left="200"/>
        <w:spacing w:after="0"/>
        <w:tabs>
          <w:tab w:leader="none" w:pos="520" w:val="left"/>
        </w:tabs>
        <w:rPr>
          <w:sz w:val="20"/>
          <w:szCs w:val="20"/>
          <w:color w:val="auto"/>
        </w:rPr>
      </w:pPr>
      <w:r>
        <w:rPr>
          <w:rFonts w:ascii="Arial" w:cs="Arial" w:eastAsia="Arial" w:hAnsi="Arial"/>
          <w:sz w:val="14"/>
          <w:szCs w:val="14"/>
          <w:i w:val="1"/>
          <w:iCs w:val="1"/>
          <w:color w:val="auto"/>
        </w:rPr>
        <w:t>and</w:t>
      </w:r>
      <w:r>
        <w:rPr>
          <w:sz w:val="20"/>
          <w:szCs w:val="20"/>
          <w:color w:val="auto"/>
        </w:rPr>
        <w:tab/>
      </w:r>
      <w:r>
        <w:rPr>
          <w:rFonts w:ascii="Arial" w:cs="Arial" w:eastAsia="Arial" w:hAnsi="Arial"/>
          <w:sz w:val="12"/>
          <w:szCs w:val="12"/>
          <w:i w:val="1"/>
          <w:iCs w:val="1"/>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180975</wp:posOffset>
            </wp:positionV>
            <wp:extent cx="6997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9" w:lineRule="exact"/>
        <w:rPr>
          <w:sz w:val="20"/>
          <w:szCs w:val="20"/>
          <w:color w:val="auto"/>
        </w:rPr>
      </w:pPr>
    </w:p>
    <w:p>
      <w:pPr>
        <w:ind w:left="520" w:hanging="316"/>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Dr. Pomerantz also serves as Chairman of our board of directors but receives no additional compensation for this service.</w:t>
      </w:r>
    </w:p>
    <w:p>
      <w:pPr>
        <w:spacing w:after="0" w:line="28" w:lineRule="exact"/>
        <w:rPr>
          <w:rFonts w:ascii="Arial" w:cs="Arial" w:eastAsia="Arial" w:hAnsi="Arial"/>
          <w:sz w:val="14"/>
          <w:szCs w:val="14"/>
          <w:color w:val="auto"/>
        </w:rPr>
      </w:pPr>
    </w:p>
    <w:p>
      <w:pPr>
        <w:ind w:left="520" w:right="200" w:hanging="316"/>
        <w:spacing w:after="0" w:line="23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discretionary adjustments of the annual cash bonus under our annual cash bonus program in excess of the amount payable solely based on performance during 2017. For additional information regarding this amount, refer to “—Narrative Disclosure to Summary Compensation Table—Annual Cash Bonuses.”</w:t>
      </w:r>
    </w:p>
    <w:p>
      <w:pPr>
        <w:spacing w:after="0" w:line="27" w:lineRule="exact"/>
        <w:rPr>
          <w:rFonts w:ascii="Arial" w:cs="Arial" w:eastAsia="Arial" w:hAnsi="Arial"/>
          <w:sz w:val="14"/>
          <w:szCs w:val="14"/>
          <w:color w:val="auto"/>
        </w:rPr>
      </w:pPr>
    </w:p>
    <w:p>
      <w:pPr>
        <w:ind w:left="520" w:right="180" w:hanging="316"/>
        <w:spacing w:after="0" w:line="23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restricted stock unit awards and option awards computed in accordance with FASB ASC Topic 718. For a description of the assumptions used in valuing these awards, see Notes 2 and 8 to our audited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EXECUTIVE AND DIRECTOR COMPENSATION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consolidated financial statements included in the Company’s Annual Report on Form 10-K for the fiscal year ended December 31, 2017.</w:t>
      </w:r>
    </w:p>
    <w:p>
      <w:pPr>
        <w:spacing w:after="0" w:line="28" w:lineRule="exact"/>
        <w:rPr>
          <w:sz w:val="20"/>
          <w:szCs w:val="20"/>
          <w:color w:val="auto"/>
        </w:rPr>
      </w:pPr>
    </w:p>
    <w:p>
      <w:pPr>
        <w:ind w:left="520" w:right="100" w:hanging="316"/>
        <w:spacing w:after="0" w:line="23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amounts paid under our annual cash bonus program. For additional information regarding these amounts, refer to “—Narrative Disclosure to Summary Compensation Table—Annual Cash Bonuses.”</w:t>
      </w:r>
    </w:p>
    <w:p>
      <w:pPr>
        <w:spacing w:after="0" w:line="27" w:lineRule="exact"/>
        <w:rPr>
          <w:rFonts w:ascii="Arial" w:cs="Arial" w:eastAsia="Arial" w:hAnsi="Arial"/>
          <w:sz w:val="14"/>
          <w:szCs w:val="14"/>
          <w:color w:val="auto"/>
        </w:rPr>
      </w:pPr>
    </w:p>
    <w:p>
      <w:pPr>
        <w:ind w:left="520" w:right="480" w:hanging="316"/>
        <w:spacing w:after="0" w:line="228"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$5,970 in company matching contributions under our 401(k) plan, $97,623 in reimbursements of travel and lodging expenses associated with working in the Cambridge, Massachusetts area and $65,082 in reimbursements of taxes relating to the travel and lodging expense reimbursements. For additional information, refer to “— Retirement, Health, Welfare and Additional Benefits” below</w:t>
      </w:r>
    </w:p>
    <w:p>
      <w:pPr>
        <w:spacing w:after="0" w:line="27" w:lineRule="exact"/>
        <w:rPr>
          <w:rFonts w:ascii="Arial" w:cs="Arial" w:eastAsia="Arial" w:hAnsi="Arial"/>
          <w:sz w:val="14"/>
          <w:szCs w:val="14"/>
          <w:color w:val="auto"/>
        </w:rPr>
      </w:pPr>
    </w:p>
    <w:p>
      <w:pPr>
        <w:ind w:left="520" w:hanging="316"/>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$6,148 in company matching contributions under our 401(k) plan.</w:t>
      </w:r>
    </w:p>
    <w:p>
      <w:pPr>
        <w:spacing w:after="0" w:line="28" w:lineRule="exact"/>
        <w:rPr>
          <w:rFonts w:ascii="Arial" w:cs="Arial" w:eastAsia="Arial" w:hAnsi="Arial"/>
          <w:sz w:val="14"/>
          <w:szCs w:val="14"/>
          <w:color w:val="auto"/>
        </w:rPr>
      </w:pPr>
    </w:p>
    <w:p>
      <w:pPr>
        <w:ind w:left="520" w:hanging="316"/>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$6,836 in company matching contributions under our 401(k) plan.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jc w:val="both"/>
        <w:ind w:left="200" w:right="300"/>
        <w:spacing w:after="0"/>
        <w:rPr>
          <w:sz w:val="20"/>
          <w:szCs w:val="20"/>
          <w:color w:val="auto"/>
        </w:rPr>
      </w:pPr>
      <w:r>
        <w:rPr>
          <w:rFonts w:ascii="Arial" w:cs="Arial" w:eastAsia="Arial" w:hAnsi="Arial"/>
          <w:sz w:val="18"/>
          <w:szCs w:val="18"/>
          <w:color w:val="auto"/>
        </w:rPr>
        <w:t>The primary elements of compensation for our NEOs are base salary, annual cash bonuses and long-term, equity-based compensation awards. Our NEOs also participate in employee benefit plans and programs that we offer to our other full-time employees on the same basis and have from time to time received relocation or other expense reimbursements from 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Base Salary</w:t>
      </w:r>
    </w:p>
    <w:p>
      <w:pPr>
        <w:spacing w:after="0" w:line="85"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Our NEOs receive base salary to compensate them for the satisfactory performance of duties to our company. The base salary payable to each NEO is intended to provide a fixed component of compensation reflecting the executive’s skill set, experience, role and responsibilities.</w:t>
      </w:r>
    </w:p>
    <w:p>
      <w:pPr>
        <w:spacing w:after="0" w:line="68"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Our Compensation Committee periodically reviews NEO base salaries in consultation with management and Radford, the Compensation Committee’s independent compensation consultant, to determine whether any adjustments are necessary or appropriate. The following table shows the annual base salaries of our NEOs for 2017 and 2018. All annual base salary increases were effective January 1 of the given year.</w:t>
      </w:r>
    </w:p>
    <w:p>
      <w:pPr>
        <w:spacing w:after="0" w:line="12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0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Name</w:t>
            </w:r>
          </w:p>
        </w:tc>
        <w:tc>
          <w:tcPr>
            <w:tcW w:w="4420" w:type="dxa"/>
            <w:vAlign w:val="bottom"/>
            <w:tcBorders>
              <w:bottom w:val="single" w:sz="8" w:color="auto"/>
            </w:tcBorders>
            <w:shd w:val="clear" w:color="auto" w:fill="D8D8D8"/>
          </w:tcPr>
          <w:p>
            <w:pPr>
              <w:jc w:val="right"/>
              <w:ind w:right="292"/>
              <w:spacing w:after="0"/>
              <w:rPr>
                <w:sz w:val="20"/>
                <w:szCs w:val="20"/>
                <w:color w:val="auto"/>
              </w:rPr>
            </w:pPr>
            <w:r>
              <w:rPr>
                <w:rFonts w:ascii="Arial" w:cs="Arial" w:eastAsia="Arial" w:hAnsi="Arial"/>
                <w:sz w:val="14"/>
                <w:szCs w:val="14"/>
                <w:b w:val="1"/>
                <w:bCs w:val="1"/>
                <w:color w:val="auto"/>
              </w:rPr>
              <w:t>2017 Annual Base Salary ($)</w:t>
            </w:r>
          </w:p>
        </w:tc>
        <w:tc>
          <w:tcPr>
            <w:tcW w:w="2520" w:type="dxa"/>
            <w:vAlign w:val="bottom"/>
            <w:tcBorders>
              <w:bottom w:val="single" w:sz="8" w:color="auto"/>
            </w:tcBorders>
            <w:shd w:val="clear" w:color="auto" w:fill="D8D8D8"/>
          </w:tcPr>
          <w:p>
            <w:pPr>
              <w:jc w:val="right"/>
              <w:ind w:right="472"/>
              <w:spacing w:after="0"/>
              <w:rPr>
                <w:sz w:val="20"/>
                <w:szCs w:val="20"/>
                <w:color w:val="auto"/>
              </w:rPr>
            </w:pPr>
            <w:r>
              <w:rPr>
                <w:rFonts w:ascii="Arial" w:cs="Arial" w:eastAsia="Arial" w:hAnsi="Arial"/>
                <w:sz w:val="14"/>
                <w:szCs w:val="14"/>
                <w:b w:val="1"/>
                <w:bCs w:val="1"/>
                <w:color w:val="auto"/>
              </w:rPr>
              <w:t>2018 Annual Base Salary ($)</w:t>
            </w:r>
          </w:p>
        </w:tc>
      </w:tr>
      <w:tr>
        <w:trPr>
          <w:trHeight w:val="196"/>
        </w:trPr>
        <w:tc>
          <w:tcPr>
            <w:tcW w:w="4080" w:type="dxa"/>
            <w:vAlign w:val="bottom"/>
          </w:tcPr>
          <w:p>
            <w:pPr>
              <w:ind w:left="20"/>
              <w:spacing w:after="0"/>
              <w:rPr>
                <w:sz w:val="20"/>
                <w:szCs w:val="20"/>
                <w:color w:val="auto"/>
              </w:rPr>
            </w:pPr>
            <w:r>
              <w:rPr>
                <w:rFonts w:ascii="Arial" w:cs="Arial" w:eastAsia="Arial" w:hAnsi="Arial"/>
                <w:sz w:val="14"/>
                <w:szCs w:val="14"/>
                <w:color w:val="auto"/>
              </w:rPr>
              <w:t>Roger J. Pomerantz, M.D.</w:t>
            </w:r>
          </w:p>
        </w:tc>
        <w:tc>
          <w:tcPr>
            <w:tcW w:w="4420" w:type="dxa"/>
            <w:vAlign w:val="bottom"/>
          </w:tcPr>
          <w:p>
            <w:pPr>
              <w:jc w:val="right"/>
              <w:ind w:right="132"/>
              <w:spacing w:after="0"/>
              <w:rPr>
                <w:sz w:val="20"/>
                <w:szCs w:val="20"/>
                <w:color w:val="auto"/>
              </w:rPr>
            </w:pPr>
            <w:r>
              <w:rPr>
                <w:rFonts w:ascii="Arial" w:cs="Arial" w:eastAsia="Arial" w:hAnsi="Arial"/>
                <w:sz w:val="14"/>
                <w:szCs w:val="14"/>
                <w:color w:val="auto"/>
              </w:rPr>
              <w:t>581,400</w:t>
            </w:r>
          </w:p>
        </w:tc>
        <w:tc>
          <w:tcPr>
            <w:tcW w:w="2520" w:type="dxa"/>
            <w:vAlign w:val="bottom"/>
          </w:tcPr>
          <w:p>
            <w:pPr>
              <w:jc w:val="right"/>
              <w:ind w:right="192"/>
              <w:spacing w:after="0"/>
              <w:rPr>
                <w:sz w:val="20"/>
                <w:szCs w:val="20"/>
                <w:color w:val="auto"/>
              </w:rPr>
            </w:pPr>
            <w:r>
              <w:rPr>
                <w:rFonts w:ascii="Arial" w:cs="Arial" w:eastAsia="Arial" w:hAnsi="Arial"/>
                <w:sz w:val="14"/>
                <w:szCs w:val="14"/>
                <w:color w:val="auto"/>
              </w:rPr>
              <w:t>595,000</w:t>
            </w:r>
          </w:p>
        </w:tc>
      </w:tr>
      <w:tr>
        <w:trPr>
          <w:trHeight w:val="41"/>
        </w:trPr>
        <w:tc>
          <w:tcPr>
            <w:tcW w:w="4080" w:type="dxa"/>
            <w:vAlign w:val="bottom"/>
          </w:tcPr>
          <w:p>
            <w:pPr>
              <w:spacing w:after="0"/>
              <w:rPr>
                <w:sz w:val="3"/>
                <w:szCs w:val="3"/>
                <w:color w:val="auto"/>
              </w:rPr>
            </w:pPr>
          </w:p>
        </w:tc>
        <w:tc>
          <w:tcPr>
            <w:tcW w:w="442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23"/>
        </w:trPr>
        <w:tc>
          <w:tcPr>
            <w:tcW w:w="408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4"/>
                <w:szCs w:val="14"/>
                <w:color w:val="auto"/>
              </w:rPr>
              <w:t>Michele Trucksis, Ph.D., M.D.</w:t>
            </w:r>
          </w:p>
        </w:tc>
        <w:tc>
          <w:tcPr>
            <w:tcW w:w="4420" w:type="dxa"/>
            <w:vAlign w:val="bottom"/>
            <w:tcBorders>
              <w:bottom w:val="single" w:sz="8" w:color="D8D8D8"/>
            </w:tcBorders>
            <w:shd w:val="clear" w:color="auto" w:fill="D8D8D8"/>
          </w:tcPr>
          <w:p>
            <w:pPr>
              <w:jc w:val="right"/>
              <w:ind w:right="132"/>
              <w:spacing w:after="0"/>
              <w:rPr>
                <w:sz w:val="20"/>
                <w:szCs w:val="20"/>
                <w:color w:val="auto"/>
              </w:rPr>
            </w:pPr>
            <w:r>
              <w:rPr>
                <w:rFonts w:ascii="Arial" w:cs="Arial" w:eastAsia="Arial" w:hAnsi="Arial"/>
                <w:sz w:val="14"/>
                <w:szCs w:val="14"/>
                <w:color w:val="auto"/>
              </w:rPr>
              <w:t>427,300</w:t>
            </w:r>
          </w:p>
        </w:tc>
        <w:tc>
          <w:tcPr>
            <w:tcW w:w="2520" w:type="dxa"/>
            <w:vAlign w:val="bottom"/>
            <w:tcBorders>
              <w:bottom w:val="single" w:sz="8" w:color="D8D8D8"/>
            </w:tcBorders>
            <w:shd w:val="clear" w:color="auto" w:fill="D8D8D8"/>
          </w:tcPr>
          <w:p>
            <w:pPr>
              <w:jc w:val="right"/>
              <w:ind w:right="192"/>
              <w:spacing w:after="0"/>
              <w:rPr>
                <w:sz w:val="20"/>
                <w:szCs w:val="20"/>
                <w:color w:val="auto"/>
              </w:rPr>
            </w:pPr>
            <w:r>
              <w:rPr>
                <w:rFonts w:ascii="Arial" w:cs="Arial" w:eastAsia="Arial" w:hAnsi="Arial"/>
                <w:sz w:val="14"/>
                <w:szCs w:val="14"/>
                <w:color w:val="auto"/>
              </w:rPr>
              <w:t>435,900</w:t>
            </w:r>
          </w:p>
        </w:tc>
      </w:tr>
      <w:tr>
        <w:trPr>
          <w:trHeight w:val="202"/>
        </w:trPr>
        <w:tc>
          <w:tcPr>
            <w:tcW w:w="4080" w:type="dxa"/>
            <w:vAlign w:val="bottom"/>
          </w:tcPr>
          <w:p>
            <w:pPr>
              <w:ind w:left="20"/>
              <w:spacing w:after="0"/>
              <w:rPr>
                <w:sz w:val="20"/>
                <w:szCs w:val="20"/>
                <w:color w:val="auto"/>
              </w:rPr>
            </w:pPr>
            <w:r>
              <w:rPr>
                <w:rFonts w:ascii="Arial" w:cs="Arial" w:eastAsia="Arial" w:hAnsi="Arial"/>
                <w:sz w:val="14"/>
                <w:szCs w:val="14"/>
                <w:color w:val="auto"/>
              </w:rPr>
              <w:t>Eric Shaff</w:t>
            </w:r>
          </w:p>
        </w:tc>
        <w:tc>
          <w:tcPr>
            <w:tcW w:w="4420" w:type="dxa"/>
            <w:vAlign w:val="bottom"/>
          </w:tcPr>
          <w:p>
            <w:pPr>
              <w:jc w:val="right"/>
              <w:ind w:right="132"/>
              <w:spacing w:after="0"/>
              <w:rPr>
                <w:sz w:val="20"/>
                <w:szCs w:val="20"/>
                <w:color w:val="auto"/>
              </w:rPr>
            </w:pPr>
            <w:r>
              <w:rPr>
                <w:rFonts w:ascii="Arial" w:cs="Arial" w:eastAsia="Arial" w:hAnsi="Arial"/>
                <w:sz w:val="14"/>
                <w:szCs w:val="14"/>
                <w:color w:val="auto"/>
              </w:rPr>
              <w:t>377,100</w:t>
            </w:r>
          </w:p>
        </w:tc>
        <w:tc>
          <w:tcPr>
            <w:tcW w:w="2520" w:type="dxa"/>
            <w:vAlign w:val="bottom"/>
          </w:tcPr>
          <w:p>
            <w:pPr>
              <w:jc w:val="right"/>
              <w:ind w:right="32"/>
              <w:spacing w:after="0"/>
              <w:rPr>
                <w:sz w:val="20"/>
                <w:szCs w:val="20"/>
                <w:color w:val="auto"/>
              </w:rPr>
            </w:pPr>
            <w:r>
              <w:rPr>
                <w:rFonts w:ascii="Arial" w:cs="Arial" w:eastAsia="Arial" w:hAnsi="Arial"/>
                <w:sz w:val="14"/>
                <w:szCs w:val="14"/>
                <w:color w:val="auto"/>
              </w:rPr>
              <w:t>435,000</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69215</wp:posOffset>
            </wp:positionV>
            <wp:extent cx="6997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ind w:left="520" w:hanging="316"/>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Shaff’s 2018 Annual Base Salary reflects, in part, his promotion to Chief Operating and Financial Officer in February 2018.</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99"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Our NEOs have the opportunity to earn annual performance bonuses based on the achievement of short-term performance goals. The NEOs’ employment agreements establish their 2017 target annual cash bonuses, expressed as a percentage of base salary, as described in the section titled “Employment Agreements.”</w:t>
      </w:r>
    </w:p>
    <w:p>
      <w:pPr>
        <w:spacing w:after="0" w:line="54"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Our Compensation Committee generally determines annual bonuses for our NEOs by multiplying (a) base salary, by (b) target cash bonus percentage, by (c) the level of achievement of corporate and/or individual performance objectives. In addition, the Compensation Committee retains discretion to adjust annual bonuses as it determines to be appropriate to reflect company performance, individual performance or other factors that the committee believes to be appropriate. For Dr. Trucksis and Mr. Shaff, the achievement of 2017 corporate objectives was weighted 80% and the achievement of individual objectives was weighted 20%. Dr. Pomerantz’s 2017 bonus was weighted 100% on corporate objectives.</w:t>
      </w:r>
    </w:p>
    <w:p>
      <w:pPr>
        <w:spacing w:after="0" w:line="57" w:lineRule="exact"/>
        <w:rPr>
          <w:sz w:val="20"/>
          <w:szCs w:val="20"/>
          <w:color w:val="auto"/>
        </w:rPr>
      </w:pPr>
    </w:p>
    <w:p>
      <w:pPr>
        <w:ind w:left="200" w:right="620"/>
        <w:spacing w:after="0" w:line="246" w:lineRule="auto"/>
        <w:rPr>
          <w:sz w:val="20"/>
          <w:szCs w:val="20"/>
          <w:color w:val="auto"/>
        </w:rPr>
      </w:pPr>
      <w:r>
        <w:rPr>
          <w:rFonts w:ascii="Arial" w:cs="Arial" w:eastAsia="Arial" w:hAnsi="Arial"/>
          <w:sz w:val="18"/>
          <w:szCs w:val="18"/>
          <w:color w:val="auto"/>
        </w:rPr>
        <w:t>For 2017, our corporate bonus objectives were based on operational and developmental milestones related to clinical development programs, discovery and research initiatives, bioprocess and</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EXECUTIVE AND DIRECTOR COMPENSATION</w:t>
      </w:r>
    </w:p>
    <w:p>
      <w:pPr>
        <w:spacing w:after="0" w:line="136"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manufacturing processes, business development and corporate infrastructure objectives. For Dr. Trucksis and Mr. Shaff, the 2017 individual performance considerations focused on their respective areas of responsibility within our company. In January 2018, our Compensation Committee reviewed our performance against our 2017 objectives, elected to adjust Mr. Shaff’s individual objective portion to 110% based on discretionary factors and, in consultation with management and based on guidance from Radford, determined to award all of our NEOs 2017 performance bonuses of approximately 120% of the corporate objective portion of their target bonus levels. The actual amounts paid to our NEOs under our 2017 annual cash bonus program are set forth in the Summary Compensation Table above.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99"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have historically offered stock options and, beginning in 2017, restricted stock units to our employees, including our NEOs, as the long-term incentive component of our compensation program. We typically grant options to employees when they commence employment with us and may thereafter grant additional options in the discretion of our board of directors or Compensation Committee. Our stock options allow employees to purchase shares of our common stock at a price equal to the fair market value of our common stock on the grant date and may be intended to qualify as “incentive stock options” under the Internal Revenue Code of 1986, as amended, or the Internal Revenue Code. Each restricted stock unit represents the right to receive one share of our common stock or its cash value equivalent upon vesting. For 2017, Dr. Pomerantz requested that the long-term incentive component of his compensation consist solely of stock options.</w:t>
      </w:r>
    </w:p>
    <w:p>
      <w:pPr>
        <w:spacing w:after="0" w:line="60"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Our stock options typically vest as to 25% of the shares subject to the option on the first anniversary of the grant date (or service commencement date for initial grants) and in 12 quarterly installments during the three-year period thereafter, subject to the holder’s continued service with us. The restricted stock units typically vest as to 20% of the award on the first anniversary of the date of grant, 30% on the second anniversary of the date of grant and 50% on the third anniversary of the date of grant. From time to time, our board of directors or Compensation Committee may also construct alternate vesting schedules as it determines are appropriate to motivate particular employees. Stock options and restricted stock units granted to our employees may be subject to accelerated vesting in certain circumstances, as described in the section titled “Employment Agreements.”</w:t>
      </w:r>
    </w:p>
    <w:p>
      <w:pPr>
        <w:spacing w:after="0" w:line="55" w:lineRule="exact"/>
        <w:rPr>
          <w:sz w:val="20"/>
          <w:szCs w:val="20"/>
          <w:color w:val="auto"/>
        </w:rPr>
      </w:pPr>
    </w:p>
    <w:p>
      <w:pPr>
        <w:ind w:left="200" w:right="880"/>
        <w:spacing w:after="0" w:line="246" w:lineRule="auto"/>
        <w:rPr>
          <w:sz w:val="20"/>
          <w:szCs w:val="20"/>
          <w:color w:val="auto"/>
        </w:rPr>
      </w:pPr>
      <w:r>
        <w:rPr>
          <w:rFonts w:ascii="Arial" w:cs="Arial" w:eastAsia="Arial" w:hAnsi="Arial"/>
          <w:sz w:val="18"/>
          <w:szCs w:val="18"/>
          <w:color w:val="auto"/>
        </w:rPr>
        <w:t>We awarded stock options and restricted stock units to our NEOs during 2017 in the following amounts and subject to vesting in accordance with our standard time-based vesting schedules described above:</w:t>
      </w:r>
    </w:p>
    <w:p>
      <w:pPr>
        <w:spacing w:after="0" w:line="1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240" w:type="dxa"/>
            <w:vAlign w:val="bottom"/>
            <w:gridSpan w:val="2"/>
            <w:shd w:val="clear" w:color="auto" w:fill="D8D8D8"/>
          </w:tcPr>
          <w:p>
            <w:pPr>
              <w:ind w:left="60"/>
              <w:spacing w:after="0"/>
              <w:rPr>
                <w:sz w:val="20"/>
                <w:szCs w:val="20"/>
                <w:color w:val="auto"/>
              </w:rPr>
            </w:pPr>
            <w:r>
              <w:rPr>
                <w:rFonts w:ascii="Arial" w:cs="Arial" w:eastAsia="Arial" w:hAnsi="Arial"/>
                <w:sz w:val="14"/>
                <w:szCs w:val="14"/>
                <w:b w:val="1"/>
                <w:bCs w:val="1"/>
                <w:color w:val="auto"/>
              </w:rPr>
              <w:t>Named Executive Officer</w:t>
            </w:r>
          </w:p>
        </w:tc>
        <w:tc>
          <w:tcPr>
            <w:tcW w:w="4480" w:type="dxa"/>
            <w:vAlign w:val="bottom"/>
            <w:shd w:val="clear" w:color="auto" w:fill="D8D8D8"/>
          </w:tcPr>
          <w:p>
            <w:pPr>
              <w:jc w:val="right"/>
              <w:ind w:right="932"/>
              <w:spacing w:after="0"/>
              <w:rPr>
                <w:sz w:val="20"/>
                <w:szCs w:val="20"/>
                <w:color w:val="auto"/>
              </w:rPr>
            </w:pPr>
            <w:r>
              <w:rPr>
                <w:rFonts w:ascii="Arial" w:cs="Arial" w:eastAsia="Arial" w:hAnsi="Arial"/>
                <w:sz w:val="14"/>
                <w:szCs w:val="14"/>
                <w:b w:val="1"/>
                <w:bCs w:val="1"/>
                <w:color w:val="auto"/>
              </w:rPr>
              <w:t>Restricted Stock Units Granted (#)</w:t>
            </w:r>
          </w:p>
        </w:tc>
        <w:tc>
          <w:tcPr>
            <w:tcW w:w="2300" w:type="dxa"/>
            <w:vAlign w:val="bottom"/>
            <w:shd w:val="clear" w:color="auto" w:fill="D8D8D8"/>
          </w:tcPr>
          <w:p>
            <w:pPr>
              <w:jc w:val="right"/>
              <w:ind w:right="292"/>
              <w:spacing w:after="0"/>
              <w:rPr>
                <w:sz w:val="20"/>
                <w:szCs w:val="20"/>
                <w:color w:val="auto"/>
              </w:rPr>
            </w:pPr>
            <w:r>
              <w:rPr>
                <w:rFonts w:ascii="Arial" w:cs="Arial" w:eastAsia="Arial" w:hAnsi="Arial"/>
                <w:sz w:val="14"/>
                <w:szCs w:val="14"/>
                <w:b w:val="1"/>
                <w:bCs w:val="1"/>
                <w:color w:val="auto"/>
              </w:rPr>
              <w:t>Options Granted (#)</w:t>
            </w:r>
          </w:p>
        </w:tc>
      </w:tr>
      <w:tr>
        <w:trPr>
          <w:trHeight w:val="156"/>
        </w:trPr>
        <w:tc>
          <w:tcPr>
            <w:tcW w:w="3180" w:type="dxa"/>
            <w:vAlign w:val="bottom"/>
            <w:tcBorders>
              <w:top w:val="single" w:sz="8" w:color="auto"/>
            </w:tcBorders>
          </w:tcPr>
          <w:p>
            <w:pPr>
              <w:ind w:left="60"/>
              <w:spacing w:after="0" w:line="156" w:lineRule="exact"/>
              <w:rPr>
                <w:sz w:val="20"/>
                <w:szCs w:val="20"/>
                <w:color w:val="auto"/>
              </w:rPr>
            </w:pPr>
            <w:r>
              <w:rPr>
                <w:rFonts w:ascii="Arial" w:cs="Arial" w:eastAsia="Arial" w:hAnsi="Arial"/>
                <w:sz w:val="14"/>
                <w:szCs w:val="14"/>
                <w:color w:val="auto"/>
              </w:rPr>
              <w:t>Roger J. Pomerantz, M.D.</w:t>
            </w:r>
          </w:p>
        </w:tc>
        <w:tc>
          <w:tcPr>
            <w:tcW w:w="1060" w:type="dxa"/>
            <w:vAlign w:val="bottom"/>
          </w:tcPr>
          <w:p>
            <w:pPr>
              <w:spacing w:after="0"/>
              <w:rPr>
                <w:sz w:val="13"/>
                <w:szCs w:val="13"/>
                <w:color w:val="auto"/>
              </w:rPr>
            </w:pPr>
          </w:p>
        </w:tc>
        <w:tc>
          <w:tcPr>
            <w:tcW w:w="4480" w:type="dxa"/>
            <w:vAlign w:val="bottom"/>
            <w:tcBorders>
              <w:top w:val="single" w:sz="8" w:color="auto"/>
            </w:tcBorders>
          </w:tcPr>
          <w:p>
            <w:pPr>
              <w:jc w:val="right"/>
              <w:ind w:right="612"/>
              <w:spacing w:after="0" w:line="156" w:lineRule="exact"/>
              <w:rPr>
                <w:sz w:val="20"/>
                <w:szCs w:val="20"/>
                <w:color w:val="auto"/>
              </w:rPr>
            </w:pPr>
            <w:r>
              <w:rPr>
                <w:rFonts w:ascii="Arial" w:cs="Arial" w:eastAsia="Arial" w:hAnsi="Arial"/>
                <w:sz w:val="14"/>
                <w:szCs w:val="14"/>
                <w:color w:val="auto"/>
              </w:rPr>
              <w:t>0</w:t>
            </w:r>
          </w:p>
        </w:tc>
        <w:tc>
          <w:tcPr>
            <w:tcW w:w="2300" w:type="dxa"/>
            <w:vAlign w:val="bottom"/>
            <w:tcBorders>
              <w:top w:val="single" w:sz="8" w:color="auto"/>
            </w:tcBorders>
          </w:tcPr>
          <w:p>
            <w:pPr>
              <w:jc w:val="right"/>
              <w:ind w:right="32"/>
              <w:spacing w:after="0" w:line="156" w:lineRule="exact"/>
              <w:rPr>
                <w:sz w:val="20"/>
                <w:szCs w:val="20"/>
                <w:color w:val="auto"/>
              </w:rPr>
            </w:pPr>
            <w:r>
              <w:rPr>
                <w:rFonts w:ascii="Arial" w:cs="Arial" w:eastAsia="Arial" w:hAnsi="Arial"/>
                <w:sz w:val="14"/>
                <w:szCs w:val="14"/>
                <w:color w:val="auto"/>
              </w:rPr>
              <w:t>261,000</w:t>
            </w:r>
          </w:p>
        </w:tc>
      </w:tr>
      <w:tr>
        <w:trPr>
          <w:trHeight w:val="40"/>
        </w:trPr>
        <w:tc>
          <w:tcPr>
            <w:tcW w:w="3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80" w:type="dxa"/>
            <w:vAlign w:val="bottom"/>
          </w:tcPr>
          <w:p>
            <w:pPr>
              <w:spacing w:after="0"/>
              <w:rPr>
                <w:sz w:val="3"/>
                <w:szCs w:val="3"/>
                <w:color w:val="auto"/>
              </w:rPr>
            </w:pPr>
          </w:p>
        </w:tc>
        <w:tc>
          <w:tcPr>
            <w:tcW w:w="2300" w:type="dxa"/>
            <w:vAlign w:val="bottom"/>
          </w:tcPr>
          <w:p>
            <w:pPr>
              <w:spacing w:after="0"/>
              <w:rPr>
                <w:sz w:val="3"/>
                <w:szCs w:val="3"/>
                <w:color w:val="auto"/>
              </w:rPr>
            </w:pPr>
          </w:p>
        </w:tc>
      </w:tr>
      <w:tr>
        <w:trPr>
          <w:trHeight w:val="183"/>
        </w:trPr>
        <w:tc>
          <w:tcPr>
            <w:tcW w:w="4240" w:type="dxa"/>
            <w:vAlign w:val="bottom"/>
            <w:tcBorders>
              <w:bottom w:val="single" w:sz="8" w:color="D8D8D8"/>
            </w:tcBorders>
            <w:gridSpan w:val="2"/>
            <w:shd w:val="clear" w:color="auto" w:fill="D8D8D8"/>
          </w:tcPr>
          <w:p>
            <w:pPr>
              <w:ind w:left="60"/>
              <w:spacing w:after="0"/>
              <w:rPr>
                <w:sz w:val="20"/>
                <w:szCs w:val="20"/>
                <w:color w:val="auto"/>
              </w:rPr>
            </w:pPr>
            <w:r>
              <w:rPr>
                <w:rFonts w:ascii="Arial" w:cs="Arial" w:eastAsia="Arial" w:hAnsi="Arial"/>
                <w:sz w:val="14"/>
                <w:szCs w:val="14"/>
                <w:color w:val="auto"/>
              </w:rPr>
              <w:t>Michele Trucksis, Ph.D., M.D.</w:t>
            </w:r>
          </w:p>
        </w:tc>
        <w:tc>
          <w:tcPr>
            <w:tcW w:w="4480" w:type="dxa"/>
            <w:vAlign w:val="bottom"/>
            <w:tcBorders>
              <w:bottom w:val="single" w:sz="8" w:color="D8D8D8"/>
            </w:tcBorders>
            <w:shd w:val="clear" w:color="auto" w:fill="D8D8D8"/>
          </w:tcPr>
          <w:p>
            <w:pPr>
              <w:jc w:val="right"/>
              <w:ind w:right="612"/>
              <w:spacing w:after="0"/>
              <w:rPr>
                <w:sz w:val="20"/>
                <w:szCs w:val="20"/>
                <w:color w:val="auto"/>
              </w:rPr>
            </w:pPr>
            <w:r>
              <w:rPr>
                <w:rFonts w:ascii="Arial" w:cs="Arial" w:eastAsia="Arial" w:hAnsi="Arial"/>
                <w:sz w:val="14"/>
                <w:szCs w:val="14"/>
                <w:color w:val="auto"/>
              </w:rPr>
              <w:t>37,500</w:t>
            </w:r>
          </w:p>
        </w:tc>
        <w:tc>
          <w:tcPr>
            <w:tcW w:w="2300" w:type="dxa"/>
            <w:vAlign w:val="bottom"/>
            <w:tcBorders>
              <w:bottom w:val="single" w:sz="8" w:color="D8D8D8"/>
            </w:tcBorders>
            <w:shd w:val="clear" w:color="auto" w:fill="D8D8D8"/>
          </w:tcPr>
          <w:p>
            <w:pPr>
              <w:jc w:val="right"/>
              <w:ind w:right="32"/>
              <w:spacing w:after="0"/>
              <w:rPr>
                <w:sz w:val="20"/>
                <w:szCs w:val="20"/>
                <w:color w:val="auto"/>
              </w:rPr>
            </w:pPr>
            <w:r>
              <w:rPr>
                <w:rFonts w:ascii="Arial" w:cs="Arial" w:eastAsia="Arial" w:hAnsi="Arial"/>
                <w:sz w:val="14"/>
                <w:szCs w:val="14"/>
                <w:color w:val="auto"/>
              </w:rPr>
              <w:t>100,000</w:t>
            </w:r>
          </w:p>
        </w:tc>
      </w:tr>
      <w:tr>
        <w:trPr>
          <w:trHeight w:val="162"/>
        </w:trPr>
        <w:tc>
          <w:tcPr>
            <w:tcW w:w="4240" w:type="dxa"/>
            <w:vAlign w:val="bottom"/>
            <w:gridSpan w:val="2"/>
          </w:tcPr>
          <w:p>
            <w:pPr>
              <w:ind w:left="60"/>
              <w:spacing w:after="0"/>
              <w:rPr>
                <w:sz w:val="20"/>
                <w:szCs w:val="20"/>
                <w:color w:val="auto"/>
              </w:rPr>
            </w:pPr>
            <w:r>
              <w:rPr>
                <w:rFonts w:ascii="Arial" w:cs="Arial" w:eastAsia="Arial" w:hAnsi="Arial"/>
                <w:sz w:val="14"/>
                <w:szCs w:val="14"/>
                <w:color w:val="auto"/>
              </w:rPr>
              <w:t>Eric Shaff</w:t>
            </w:r>
          </w:p>
        </w:tc>
        <w:tc>
          <w:tcPr>
            <w:tcW w:w="4480" w:type="dxa"/>
            <w:vAlign w:val="bottom"/>
          </w:tcPr>
          <w:p>
            <w:pPr>
              <w:jc w:val="right"/>
              <w:ind w:right="612"/>
              <w:spacing w:after="0"/>
              <w:rPr>
                <w:sz w:val="20"/>
                <w:szCs w:val="20"/>
                <w:color w:val="auto"/>
              </w:rPr>
            </w:pPr>
            <w:r>
              <w:rPr>
                <w:rFonts w:ascii="Arial" w:cs="Arial" w:eastAsia="Arial" w:hAnsi="Arial"/>
                <w:sz w:val="14"/>
                <w:szCs w:val="14"/>
                <w:color w:val="auto"/>
              </w:rPr>
              <w:t>40,000</w:t>
            </w:r>
          </w:p>
        </w:tc>
        <w:tc>
          <w:tcPr>
            <w:tcW w:w="2300" w:type="dxa"/>
            <w:vAlign w:val="bottom"/>
          </w:tcPr>
          <w:p>
            <w:pPr>
              <w:jc w:val="right"/>
              <w:ind w:right="32"/>
              <w:spacing w:after="0"/>
              <w:rPr>
                <w:sz w:val="20"/>
                <w:szCs w:val="20"/>
                <w:color w:val="auto"/>
              </w:rPr>
            </w:pPr>
            <w:r>
              <w:rPr>
                <w:rFonts w:ascii="Arial" w:cs="Arial" w:eastAsia="Arial" w:hAnsi="Arial"/>
                <w:sz w:val="14"/>
                <w:szCs w:val="14"/>
                <w:color w:val="auto"/>
              </w:rPr>
              <w:t>105,000</w:t>
            </w:r>
          </w:p>
        </w:tc>
      </w:tr>
      <w:tr>
        <w:trPr>
          <w:trHeight w:val="40"/>
        </w:trPr>
        <w:tc>
          <w:tcPr>
            <w:tcW w:w="3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bl>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99"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Our NEOs are eligible to participate in our employee benefit plans and programs, including medical and dental benefits and life insurance, to the same extent as our other full-time employees, subject to the terms and eligibility requirements of those plans. We also sponsor a 401(k) defined contribution plan in which our NEOs may participate, subject to limits imposed by the Internal Revenue Code, to the same extent as all of our other full -time employees. During 2017, we made discretionary employer matching contributions equal to 50% of elective contributions made by participants in the 401(k) plan, up to 6% of a participant’s eligible compensation. These matching contributions are fully vested as of the date on which the contribution is made. We believe that providing a vehicle for tax-deferred retirement savings through our 401(k) plan adds to the overall desirability of our executive compensation package and further incentivizes our employees, including our NEOs, in accordance with our compensation policies.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EXECUTIVE AND DIRECTOR COMPENSATION</w:t>
      </w:r>
    </w:p>
    <w:p>
      <w:pPr>
        <w:spacing w:after="0" w:line="136"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In 2017, we reimbursed Dr. Pomerantz’s expenses incurred for travel between his current residence and our headquarters in Cambridge, Massachusetts and lodging near Cambridge, Massachusetts when performing services for us, as well as for taxes related to the reimbursements. We did not otherwise provide any perquisites or special personal benefits to our NEOs.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OUTSTANDING EQUITY AWARDS AT 2017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20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104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c>
          <w:tcPr>
            <w:tcW w:w="300" w:type="dxa"/>
            <w:vAlign w:val="bottom"/>
            <w:shd w:val="clear" w:color="auto" w:fill="D8D8D8"/>
          </w:tcPr>
          <w:p>
            <w:pPr>
              <w:spacing w:after="0"/>
              <w:rPr>
                <w:sz w:val="14"/>
                <w:szCs w:val="14"/>
                <w:color w:val="auto"/>
              </w:rPr>
            </w:pPr>
          </w:p>
        </w:tc>
        <w:tc>
          <w:tcPr>
            <w:tcW w:w="1360" w:type="dxa"/>
            <w:vAlign w:val="bottom"/>
            <w:gridSpan w:val="3"/>
            <w:shd w:val="clear" w:color="auto" w:fill="D8D8D8"/>
          </w:tcPr>
          <w:p>
            <w:pPr>
              <w:jc w:val="right"/>
              <w:spacing w:after="0"/>
              <w:rPr>
                <w:sz w:val="20"/>
                <w:szCs w:val="20"/>
                <w:color w:val="auto"/>
              </w:rPr>
            </w:pPr>
            <w:r>
              <w:rPr>
                <w:rFonts w:ascii="Arial" w:cs="Arial" w:eastAsia="Arial" w:hAnsi="Arial"/>
                <w:sz w:val="14"/>
                <w:szCs w:val="14"/>
                <w:b w:val="1"/>
                <w:bCs w:val="1"/>
                <w:color w:val="auto"/>
              </w:rPr>
              <w:t>Option Awards</w:t>
            </w:r>
          </w:p>
        </w:tc>
        <w:tc>
          <w:tcPr>
            <w:tcW w:w="42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1840" w:type="dxa"/>
            <w:vAlign w:val="bottom"/>
            <w:gridSpan w:val="4"/>
            <w:shd w:val="clear" w:color="auto" w:fill="D8D8D8"/>
          </w:tcPr>
          <w:p>
            <w:pPr>
              <w:ind w:left="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200" w:type="dxa"/>
            <w:vAlign w:val="bottom"/>
            <w:tcBorders>
              <w:top w:val="single" w:sz="8" w:color="D8D8D8"/>
            </w:tcBorders>
            <w:shd w:val="clear" w:color="auto" w:fill="D8D8D8"/>
          </w:tcPr>
          <w:p>
            <w:pPr>
              <w:spacing w:after="0"/>
              <w:rPr>
                <w:sz w:val="10"/>
                <w:szCs w:val="10"/>
                <w:color w:val="auto"/>
              </w:rPr>
            </w:pPr>
          </w:p>
        </w:tc>
        <w:tc>
          <w:tcPr>
            <w:tcW w:w="280" w:type="dxa"/>
            <w:vAlign w:val="bottom"/>
            <w:tcBorders>
              <w:top w:val="single" w:sz="8" w:color="D8D8D8"/>
            </w:tcBorders>
            <w:shd w:val="clear" w:color="auto" w:fill="D8D8D8"/>
          </w:tcPr>
          <w:p>
            <w:pPr>
              <w:spacing w:after="0"/>
              <w:rPr>
                <w:sz w:val="10"/>
                <w:szCs w:val="10"/>
                <w:color w:val="auto"/>
              </w:rPr>
            </w:pPr>
          </w:p>
        </w:tc>
        <w:tc>
          <w:tcPr>
            <w:tcW w:w="1040" w:type="dxa"/>
            <w:vAlign w:val="bottom"/>
            <w:tcBorders>
              <w:top w:val="single" w:sz="8" w:color="D8D8D8"/>
            </w:tcBorders>
            <w:shd w:val="clear" w:color="auto" w:fill="D8D8D8"/>
          </w:tcPr>
          <w:p>
            <w:pPr>
              <w:spacing w:after="0"/>
              <w:rPr>
                <w:sz w:val="10"/>
                <w:szCs w:val="10"/>
                <w:color w:val="auto"/>
              </w:rPr>
            </w:pPr>
          </w:p>
        </w:tc>
        <w:tc>
          <w:tcPr>
            <w:tcW w:w="320" w:type="dxa"/>
            <w:vAlign w:val="bottom"/>
            <w:tcBorders>
              <w:top w:val="single" w:sz="8" w:color="D8D8D8"/>
            </w:tcBorders>
            <w:shd w:val="clear" w:color="auto" w:fill="D8D8D8"/>
          </w:tcPr>
          <w:p>
            <w:pPr>
              <w:spacing w:after="0"/>
              <w:rPr>
                <w:sz w:val="10"/>
                <w:szCs w:val="10"/>
                <w:color w:val="auto"/>
              </w:rPr>
            </w:pPr>
          </w:p>
        </w:tc>
        <w:tc>
          <w:tcPr>
            <w:tcW w:w="180" w:type="dxa"/>
            <w:vAlign w:val="bottom"/>
            <w:tcBorders>
              <w:top w:val="single" w:sz="8" w:color="D8D8D8"/>
            </w:tcBorders>
            <w:shd w:val="clear" w:color="auto" w:fill="D8D8D8"/>
          </w:tcPr>
          <w:p>
            <w:pPr>
              <w:spacing w:after="0"/>
              <w:rPr>
                <w:sz w:val="10"/>
                <w:szCs w:val="10"/>
                <w:color w:val="auto"/>
              </w:rPr>
            </w:pPr>
          </w:p>
        </w:tc>
        <w:tc>
          <w:tcPr>
            <w:tcW w:w="800" w:type="dxa"/>
            <w:vAlign w:val="bottom"/>
            <w:tcBorders>
              <w:top w:val="single" w:sz="8" w:color="auto"/>
            </w:tcBorders>
            <w:shd w:val="clear" w:color="auto" w:fill="D8D8D8"/>
          </w:tcPr>
          <w:p>
            <w:pPr>
              <w:spacing w:after="0"/>
              <w:rPr>
                <w:sz w:val="10"/>
                <w:szCs w:val="10"/>
                <w:color w:val="auto"/>
              </w:rPr>
            </w:pPr>
          </w:p>
        </w:tc>
        <w:tc>
          <w:tcPr>
            <w:tcW w:w="300" w:type="dxa"/>
            <w:vAlign w:val="bottom"/>
            <w:tcBorders>
              <w:top w:val="single" w:sz="8" w:color="auto"/>
            </w:tcBorders>
            <w:shd w:val="clear" w:color="auto" w:fill="D8D8D8"/>
          </w:tcPr>
          <w:p>
            <w:pPr>
              <w:spacing w:after="0"/>
              <w:rPr>
                <w:sz w:val="10"/>
                <w:szCs w:val="10"/>
                <w:color w:val="auto"/>
              </w:rPr>
            </w:pPr>
          </w:p>
        </w:tc>
        <w:tc>
          <w:tcPr>
            <w:tcW w:w="920" w:type="dxa"/>
            <w:vAlign w:val="bottom"/>
            <w:tcBorders>
              <w:top w:val="single" w:sz="8" w:color="auto"/>
            </w:tcBorders>
            <w:shd w:val="clear" w:color="auto" w:fill="D8D8D8"/>
          </w:tcPr>
          <w:p>
            <w:pPr>
              <w:spacing w:after="0"/>
              <w:rPr>
                <w:sz w:val="10"/>
                <w:szCs w:val="10"/>
                <w:color w:val="auto"/>
              </w:rPr>
            </w:pPr>
          </w:p>
        </w:tc>
        <w:tc>
          <w:tcPr>
            <w:tcW w:w="320" w:type="dxa"/>
            <w:vAlign w:val="bottom"/>
            <w:tcBorders>
              <w:top w:val="single" w:sz="8" w:color="auto"/>
            </w:tcBorders>
            <w:shd w:val="clear" w:color="auto" w:fill="D8D8D8"/>
          </w:tcPr>
          <w:p>
            <w:pPr>
              <w:spacing w:after="0"/>
              <w:rPr>
                <w:sz w:val="10"/>
                <w:szCs w:val="10"/>
                <w:color w:val="auto"/>
              </w:rPr>
            </w:pPr>
          </w:p>
        </w:tc>
        <w:tc>
          <w:tcPr>
            <w:tcW w:w="120" w:type="dxa"/>
            <w:vAlign w:val="bottom"/>
            <w:tcBorders>
              <w:top w:val="single" w:sz="8" w:color="auto"/>
            </w:tcBorders>
            <w:shd w:val="clear" w:color="auto" w:fill="D8D8D8"/>
          </w:tcPr>
          <w:p>
            <w:pPr>
              <w:spacing w:after="0"/>
              <w:rPr>
                <w:sz w:val="10"/>
                <w:szCs w:val="10"/>
                <w:color w:val="auto"/>
              </w:rPr>
            </w:pPr>
          </w:p>
        </w:tc>
        <w:tc>
          <w:tcPr>
            <w:tcW w:w="420" w:type="dxa"/>
            <w:vAlign w:val="bottom"/>
            <w:tcBorders>
              <w:top w:val="single" w:sz="8" w:color="auto"/>
            </w:tcBorders>
            <w:shd w:val="clear" w:color="auto" w:fill="D8D8D8"/>
          </w:tcPr>
          <w:p>
            <w:pPr>
              <w:spacing w:after="0"/>
              <w:rPr>
                <w:sz w:val="10"/>
                <w:szCs w:val="10"/>
                <w:color w:val="auto"/>
              </w:rPr>
            </w:pPr>
          </w:p>
        </w:tc>
        <w:tc>
          <w:tcPr>
            <w:tcW w:w="320" w:type="dxa"/>
            <w:vAlign w:val="bottom"/>
            <w:tcBorders>
              <w:top w:val="single" w:sz="8" w:color="auto"/>
            </w:tcBorders>
            <w:shd w:val="clear" w:color="auto" w:fill="D8D8D8"/>
          </w:tcPr>
          <w:p>
            <w:pPr>
              <w:spacing w:after="0"/>
              <w:rPr>
                <w:sz w:val="10"/>
                <w:szCs w:val="10"/>
                <w:color w:val="auto"/>
              </w:rPr>
            </w:pPr>
          </w:p>
        </w:tc>
        <w:tc>
          <w:tcPr>
            <w:tcW w:w="640" w:type="dxa"/>
            <w:vAlign w:val="bottom"/>
            <w:tcBorders>
              <w:top w:val="single" w:sz="8" w:color="auto"/>
            </w:tcBorders>
            <w:shd w:val="clear" w:color="auto" w:fill="D8D8D8"/>
          </w:tcPr>
          <w:p>
            <w:pPr>
              <w:spacing w:after="0"/>
              <w:rPr>
                <w:sz w:val="10"/>
                <w:szCs w:val="10"/>
                <w:color w:val="auto"/>
              </w:rPr>
            </w:pPr>
          </w:p>
        </w:tc>
        <w:tc>
          <w:tcPr>
            <w:tcW w:w="320" w:type="dxa"/>
            <w:vAlign w:val="bottom"/>
            <w:tcBorders>
              <w:top w:val="single" w:sz="8" w:color="D8D8D8"/>
            </w:tcBorders>
            <w:shd w:val="clear" w:color="auto" w:fill="D8D8D8"/>
          </w:tcPr>
          <w:p>
            <w:pPr>
              <w:spacing w:after="0"/>
              <w:rPr>
                <w:sz w:val="10"/>
                <w:szCs w:val="10"/>
                <w:color w:val="auto"/>
              </w:rPr>
            </w:pPr>
          </w:p>
        </w:tc>
        <w:tc>
          <w:tcPr>
            <w:tcW w:w="680" w:type="dxa"/>
            <w:vAlign w:val="bottom"/>
            <w:tcBorders>
              <w:top w:val="single" w:sz="8" w:color="auto"/>
            </w:tcBorders>
            <w:shd w:val="clear" w:color="auto" w:fill="D8D8D8"/>
          </w:tcPr>
          <w:p>
            <w:pPr>
              <w:jc w:val="center"/>
              <w:spacing w:after="0" w:line="125" w:lineRule="exact"/>
              <w:rPr>
                <w:sz w:val="20"/>
                <w:szCs w:val="20"/>
                <w:color w:val="auto"/>
              </w:rPr>
            </w:pPr>
            <w:r>
              <w:rPr>
                <w:rFonts w:ascii="Arial" w:cs="Arial" w:eastAsia="Arial" w:hAnsi="Arial"/>
                <w:sz w:val="14"/>
                <w:szCs w:val="14"/>
                <w:b w:val="1"/>
                <w:bCs w:val="1"/>
                <w:color w:val="auto"/>
                <w:w w:val="94"/>
              </w:rPr>
              <w:t>Number</w:t>
            </w:r>
          </w:p>
        </w:tc>
        <w:tc>
          <w:tcPr>
            <w:tcW w:w="960" w:type="dxa"/>
            <w:vAlign w:val="bottom"/>
            <w:tcBorders>
              <w:top w:val="single" w:sz="8" w:color="auto"/>
            </w:tcBorders>
            <w:gridSpan w:val="2"/>
            <w:shd w:val="clear" w:color="auto" w:fill="D8D8D8"/>
          </w:tcPr>
          <w:p>
            <w:pPr>
              <w:jc w:val="center"/>
              <w:ind w:left="72"/>
              <w:spacing w:after="0" w:line="125" w:lineRule="exact"/>
              <w:rPr>
                <w:sz w:val="20"/>
                <w:szCs w:val="20"/>
                <w:color w:val="auto"/>
              </w:rPr>
            </w:pPr>
            <w:r>
              <w:rPr>
                <w:rFonts w:ascii="Arial" w:cs="Arial" w:eastAsia="Arial" w:hAnsi="Arial"/>
                <w:sz w:val="14"/>
                <w:szCs w:val="14"/>
                <w:b w:val="1"/>
                <w:bCs w:val="1"/>
                <w:color w:val="auto"/>
                <w:w w:val="96"/>
              </w:rPr>
              <w:t>Market value</w:t>
            </w:r>
          </w:p>
        </w:tc>
        <w:tc>
          <w:tcPr>
            <w:tcW w:w="200" w:type="dxa"/>
            <w:vAlign w:val="bottom"/>
            <w:tcBorders>
              <w:top w:val="single" w:sz="8" w:color="D8D8D8"/>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104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80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00" w:type="dxa"/>
            <w:vAlign w:val="bottom"/>
            <w:shd w:val="clear" w:color="auto" w:fill="D8D8D8"/>
          </w:tcPr>
          <w:p>
            <w:pPr>
              <w:spacing w:after="0"/>
              <w:rPr>
                <w:sz w:val="12"/>
                <w:szCs w:val="12"/>
                <w:color w:val="auto"/>
              </w:rPr>
            </w:pPr>
          </w:p>
        </w:tc>
        <w:tc>
          <w:tcPr>
            <w:tcW w:w="9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2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4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68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6"/>
              </w:rPr>
              <w:t>of shares</w:t>
            </w:r>
          </w:p>
        </w:tc>
        <w:tc>
          <w:tcPr>
            <w:tcW w:w="14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of shares</w:t>
            </w:r>
          </w:p>
        </w:tc>
        <w:tc>
          <w:tcPr>
            <w:tcW w:w="0" w:type="dxa"/>
            <w:vAlign w:val="bottom"/>
          </w:tcPr>
          <w:p>
            <w:pPr>
              <w:spacing w:after="0"/>
              <w:rPr>
                <w:sz w:val="1"/>
                <w:szCs w:val="1"/>
                <w:color w:val="auto"/>
              </w:rPr>
            </w:pPr>
          </w:p>
        </w:tc>
      </w:tr>
      <w:tr>
        <w:trPr>
          <w:trHeight w:val="149"/>
        </w:trPr>
        <w:tc>
          <w:tcPr>
            <w:tcW w:w="320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104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80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securities</w:t>
            </w:r>
          </w:p>
        </w:tc>
        <w:tc>
          <w:tcPr>
            <w:tcW w:w="300" w:type="dxa"/>
            <w:vAlign w:val="bottom"/>
            <w:shd w:val="clear" w:color="auto" w:fill="D8D8D8"/>
          </w:tcPr>
          <w:p>
            <w:pPr>
              <w:spacing w:after="0"/>
              <w:rPr>
                <w:sz w:val="12"/>
                <w:szCs w:val="12"/>
                <w:color w:val="auto"/>
              </w:rPr>
            </w:pPr>
          </w:p>
        </w:tc>
        <w:tc>
          <w:tcPr>
            <w:tcW w:w="9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securities</w:t>
            </w:r>
          </w:p>
        </w:tc>
        <w:tc>
          <w:tcPr>
            <w:tcW w:w="32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4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68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or units</w:t>
            </w:r>
          </w:p>
        </w:tc>
        <w:tc>
          <w:tcPr>
            <w:tcW w:w="14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or units of</w:t>
            </w:r>
          </w:p>
        </w:tc>
        <w:tc>
          <w:tcPr>
            <w:tcW w:w="0" w:type="dxa"/>
            <w:vAlign w:val="bottom"/>
          </w:tcPr>
          <w:p>
            <w:pPr>
              <w:spacing w:after="0"/>
              <w:rPr>
                <w:sz w:val="1"/>
                <w:szCs w:val="1"/>
                <w:color w:val="auto"/>
              </w:rPr>
            </w:pPr>
          </w:p>
        </w:tc>
      </w:tr>
      <w:tr>
        <w:trPr>
          <w:trHeight w:val="149"/>
        </w:trPr>
        <w:tc>
          <w:tcPr>
            <w:tcW w:w="320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104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80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underlying</w:t>
            </w:r>
          </w:p>
        </w:tc>
        <w:tc>
          <w:tcPr>
            <w:tcW w:w="300" w:type="dxa"/>
            <w:vAlign w:val="bottom"/>
            <w:shd w:val="clear" w:color="auto" w:fill="D8D8D8"/>
          </w:tcPr>
          <w:p>
            <w:pPr>
              <w:spacing w:after="0"/>
              <w:rPr>
                <w:sz w:val="12"/>
                <w:szCs w:val="12"/>
                <w:color w:val="auto"/>
              </w:rPr>
            </w:pPr>
          </w:p>
        </w:tc>
        <w:tc>
          <w:tcPr>
            <w:tcW w:w="9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underlying</w:t>
            </w:r>
          </w:p>
        </w:tc>
        <w:tc>
          <w:tcPr>
            <w:tcW w:w="32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4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68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6"/>
              </w:rPr>
              <w:t>of stock</w:t>
            </w:r>
          </w:p>
        </w:tc>
        <w:tc>
          <w:tcPr>
            <w:tcW w:w="14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stock that</w:t>
            </w:r>
          </w:p>
        </w:tc>
        <w:tc>
          <w:tcPr>
            <w:tcW w:w="0" w:type="dxa"/>
            <w:vAlign w:val="bottom"/>
          </w:tcPr>
          <w:p>
            <w:pPr>
              <w:spacing w:after="0"/>
              <w:rPr>
                <w:sz w:val="1"/>
                <w:szCs w:val="1"/>
                <w:color w:val="auto"/>
              </w:rPr>
            </w:pPr>
          </w:p>
        </w:tc>
      </w:tr>
      <w:tr>
        <w:trPr>
          <w:trHeight w:val="149"/>
        </w:trPr>
        <w:tc>
          <w:tcPr>
            <w:tcW w:w="320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1360" w:type="dxa"/>
            <w:vAlign w:val="bottom"/>
            <w:gridSpan w:val="2"/>
            <w:shd w:val="clear" w:color="auto" w:fill="D8D8D8"/>
          </w:tcPr>
          <w:p>
            <w:pPr>
              <w:jc w:val="center"/>
              <w:ind w:right="263"/>
              <w:spacing w:after="0" w:line="149" w:lineRule="exact"/>
              <w:rPr>
                <w:sz w:val="20"/>
                <w:szCs w:val="20"/>
                <w:color w:val="auto"/>
              </w:rPr>
            </w:pPr>
            <w:r>
              <w:rPr>
                <w:rFonts w:ascii="Arial" w:cs="Arial" w:eastAsia="Arial" w:hAnsi="Arial"/>
                <w:sz w:val="14"/>
                <w:szCs w:val="14"/>
                <w:b w:val="1"/>
                <w:bCs w:val="1"/>
                <w:color w:val="auto"/>
                <w:w w:val="94"/>
              </w:rPr>
              <w:t>Vesting</w:t>
            </w:r>
          </w:p>
        </w:tc>
        <w:tc>
          <w:tcPr>
            <w:tcW w:w="980" w:type="dxa"/>
            <w:vAlign w:val="bottom"/>
            <w:gridSpan w:val="2"/>
            <w:shd w:val="clear" w:color="auto" w:fill="D8D8D8"/>
          </w:tcPr>
          <w:p>
            <w:pPr>
              <w:jc w:val="center"/>
              <w:ind w:left="92"/>
              <w:spacing w:after="0" w:line="149" w:lineRule="exact"/>
              <w:rPr>
                <w:sz w:val="20"/>
                <w:szCs w:val="20"/>
                <w:color w:val="auto"/>
              </w:rPr>
            </w:pPr>
            <w:r>
              <w:rPr>
                <w:rFonts w:ascii="Arial" w:cs="Arial" w:eastAsia="Arial" w:hAnsi="Arial"/>
                <w:sz w:val="14"/>
                <w:szCs w:val="14"/>
                <w:b w:val="1"/>
                <w:bCs w:val="1"/>
                <w:color w:val="auto"/>
                <w:w w:val="95"/>
              </w:rPr>
              <w:t>unexercised</w:t>
            </w:r>
          </w:p>
        </w:tc>
        <w:tc>
          <w:tcPr>
            <w:tcW w:w="300" w:type="dxa"/>
            <w:vAlign w:val="bottom"/>
            <w:shd w:val="clear" w:color="auto" w:fill="D8D8D8"/>
          </w:tcPr>
          <w:p>
            <w:pPr>
              <w:spacing w:after="0"/>
              <w:rPr>
                <w:sz w:val="12"/>
                <w:szCs w:val="12"/>
                <w:color w:val="auto"/>
              </w:rPr>
            </w:pPr>
          </w:p>
        </w:tc>
        <w:tc>
          <w:tcPr>
            <w:tcW w:w="9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5"/>
              </w:rPr>
              <w:t>unexercised</w:t>
            </w:r>
          </w:p>
        </w:tc>
        <w:tc>
          <w:tcPr>
            <w:tcW w:w="320" w:type="dxa"/>
            <w:vAlign w:val="bottom"/>
            <w:shd w:val="clear" w:color="auto" w:fill="D8D8D8"/>
          </w:tcPr>
          <w:p>
            <w:pPr>
              <w:spacing w:after="0"/>
              <w:rPr>
                <w:sz w:val="12"/>
                <w:szCs w:val="12"/>
                <w:color w:val="auto"/>
              </w:rPr>
            </w:pPr>
          </w:p>
        </w:tc>
        <w:tc>
          <w:tcPr>
            <w:tcW w:w="540" w:type="dxa"/>
            <w:vAlign w:val="bottom"/>
            <w:gridSpan w:val="2"/>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320" w:type="dxa"/>
            <w:vAlign w:val="bottom"/>
            <w:shd w:val="clear" w:color="auto" w:fill="D8D8D8"/>
          </w:tcPr>
          <w:p>
            <w:pPr>
              <w:spacing w:after="0"/>
              <w:rPr>
                <w:sz w:val="12"/>
                <w:szCs w:val="12"/>
                <w:color w:val="auto"/>
              </w:rPr>
            </w:pPr>
          </w:p>
        </w:tc>
        <w:tc>
          <w:tcPr>
            <w:tcW w:w="960" w:type="dxa"/>
            <w:vAlign w:val="bottom"/>
            <w:gridSpan w:val="2"/>
            <w:shd w:val="clear" w:color="auto" w:fill="D8D8D8"/>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Option</w:t>
            </w:r>
          </w:p>
        </w:tc>
        <w:tc>
          <w:tcPr>
            <w:tcW w:w="68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that have</w:t>
            </w:r>
          </w:p>
        </w:tc>
        <w:tc>
          <w:tcPr>
            <w:tcW w:w="14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have not</w:t>
            </w:r>
          </w:p>
        </w:tc>
        <w:tc>
          <w:tcPr>
            <w:tcW w:w="0" w:type="dxa"/>
            <w:vAlign w:val="bottom"/>
          </w:tcPr>
          <w:p>
            <w:pPr>
              <w:spacing w:after="0"/>
              <w:rPr>
                <w:sz w:val="1"/>
                <w:szCs w:val="1"/>
                <w:color w:val="auto"/>
              </w:rPr>
            </w:pPr>
          </w:p>
        </w:tc>
      </w:tr>
      <w:tr>
        <w:trPr>
          <w:trHeight w:val="149"/>
        </w:trPr>
        <w:tc>
          <w:tcPr>
            <w:tcW w:w="3200" w:type="dxa"/>
            <w:vAlign w:val="bottom"/>
            <w:vMerge w:val="restart"/>
            <w:shd w:val="clear" w:color="auto" w:fill="D8D8D8"/>
          </w:tcPr>
          <w:p>
            <w:pPr>
              <w:ind w:left="60"/>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3"/>
            <w:shd w:val="clear" w:color="auto" w:fill="D8D8D8"/>
          </w:tcPr>
          <w:p>
            <w:pPr>
              <w:jc w:val="center"/>
              <w:ind w:right="3"/>
              <w:spacing w:after="0" w:line="149" w:lineRule="exact"/>
              <w:rPr>
                <w:sz w:val="20"/>
                <w:szCs w:val="20"/>
                <w:color w:val="auto"/>
              </w:rPr>
            </w:pPr>
            <w:r>
              <w:rPr>
                <w:rFonts w:ascii="Arial" w:cs="Arial" w:eastAsia="Arial" w:hAnsi="Arial"/>
                <w:sz w:val="14"/>
                <w:szCs w:val="14"/>
                <w:b w:val="1"/>
                <w:bCs w:val="1"/>
                <w:color w:val="auto"/>
                <w:w w:val="97"/>
              </w:rPr>
              <w:t>Commencement</w:t>
            </w:r>
          </w:p>
        </w:tc>
        <w:tc>
          <w:tcPr>
            <w:tcW w:w="180" w:type="dxa"/>
            <w:vAlign w:val="bottom"/>
            <w:shd w:val="clear" w:color="auto" w:fill="D8D8D8"/>
          </w:tcPr>
          <w:p>
            <w:pPr>
              <w:spacing w:after="0"/>
              <w:rPr>
                <w:sz w:val="12"/>
                <w:szCs w:val="12"/>
                <w:color w:val="auto"/>
              </w:rPr>
            </w:pPr>
          </w:p>
        </w:tc>
        <w:tc>
          <w:tcPr>
            <w:tcW w:w="80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options (#):</w:t>
            </w:r>
          </w:p>
        </w:tc>
        <w:tc>
          <w:tcPr>
            <w:tcW w:w="300" w:type="dxa"/>
            <w:vAlign w:val="bottom"/>
            <w:shd w:val="clear" w:color="auto" w:fill="D8D8D8"/>
          </w:tcPr>
          <w:p>
            <w:pPr>
              <w:spacing w:after="0"/>
              <w:rPr>
                <w:sz w:val="12"/>
                <w:szCs w:val="12"/>
                <w:color w:val="auto"/>
              </w:rPr>
            </w:pPr>
          </w:p>
        </w:tc>
        <w:tc>
          <w:tcPr>
            <w:tcW w:w="9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7"/>
              </w:rPr>
              <w:t>options (#):</w:t>
            </w:r>
          </w:p>
        </w:tc>
        <w:tc>
          <w:tcPr>
            <w:tcW w:w="860" w:type="dxa"/>
            <w:vAlign w:val="bottom"/>
            <w:gridSpan w:val="3"/>
            <w:shd w:val="clear" w:color="auto" w:fill="D8D8D8"/>
          </w:tcPr>
          <w:p>
            <w:pPr>
              <w:jc w:val="center"/>
              <w:ind w:left="252"/>
              <w:spacing w:after="0" w:line="149" w:lineRule="exact"/>
              <w:rPr>
                <w:sz w:val="20"/>
                <w:szCs w:val="20"/>
                <w:color w:val="auto"/>
              </w:rPr>
            </w:pPr>
            <w:r>
              <w:rPr>
                <w:rFonts w:ascii="Arial" w:cs="Arial" w:eastAsia="Arial" w:hAnsi="Arial"/>
                <w:sz w:val="14"/>
                <w:szCs w:val="14"/>
                <w:b w:val="1"/>
                <w:bCs w:val="1"/>
                <w:color w:val="auto"/>
                <w:w w:val="96"/>
              </w:rPr>
              <w:t>exercise</w:t>
            </w:r>
          </w:p>
        </w:tc>
        <w:tc>
          <w:tcPr>
            <w:tcW w:w="1280" w:type="dxa"/>
            <w:vAlign w:val="bottom"/>
            <w:gridSpan w:val="3"/>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5"/>
              </w:rPr>
              <w:t>expiration</w:t>
            </w:r>
          </w:p>
        </w:tc>
        <w:tc>
          <w:tcPr>
            <w:tcW w:w="68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not vested</w:t>
            </w:r>
          </w:p>
        </w:tc>
        <w:tc>
          <w:tcPr>
            <w:tcW w:w="140" w:type="dxa"/>
            <w:vAlign w:val="bottom"/>
            <w:shd w:val="clear" w:color="auto" w:fill="D8D8D8"/>
          </w:tcPr>
          <w:p>
            <w:pPr>
              <w:spacing w:after="0"/>
              <w:rPr>
                <w:sz w:val="12"/>
                <w:szCs w:val="12"/>
                <w:color w:val="auto"/>
              </w:rPr>
            </w:pPr>
          </w:p>
        </w:tc>
        <w:tc>
          <w:tcPr>
            <w:tcW w:w="1020" w:type="dxa"/>
            <w:vAlign w:val="bottom"/>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vested</w:t>
            </w:r>
          </w:p>
        </w:tc>
        <w:tc>
          <w:tcPr>
            <w:tcW w:w="0" w:type="dxa"/>
            <w:vAlign w:val="bottom"/>
          </w:tcPr>
          <w:p>
            <w:pPr>
              <w:spacing w:after="0"/>
              <w:rPr>
                <w:sz w:val="1"/>
                <w:szCs w:val="1"/>
                <w:color w:val="auto"/>
              </w:rPr>
            </w:pPr>
          </w:p>
        </w:tc>
      </w:tr>
      <w:tr>
        <w:trPr>
          <w:trHeight w:val="165"/>
        </w:trPr>
        <w:tc>
          <w:tcPr>
            <w:tcW w:w="3200" w:type="dxa"/>
            <w:vAlign w:val="bottom"/>
            <w:vMerge w:val="continue"/>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1360" w:type="dxa"/>
            <w:vAlign w:val="bottom"/>
            <w:gridSpan w:val="2"/>
            <w:shd w:val="clear" w:color="auto" w:fill="D8D8D8"/>
          </w:tcPr>
          <w:p>
            <w:pPr>
              <w:jc w:val="center"/>
              <w:ind w:right="283"/>
              <w:spacing w:after="0"/>
              <w:rPr>
                <w:sz w:val="20"/>
                <w:szCs w:val="20"/>
                <w:color w:val="auto"/>
              </w:rPr>
            </w:pPr>
            <w:r>
              <w:rPr>
                <w:rFonts w:ascii="Arial" w:cs="Arial" w:eastAsia="Arial" w:hAnsi="Arial"/>
                <w:sz w:val="14"/>
                <w:szCs w:val="14"/>
                <w:b w:val="1"/>
                <w:bCs w:val="1"/>
                <w:color w:val="auto"/>
                <w:w w:val="98"/>
              </w:rPr>
              <w:t>Date</w:t>
            </w:r>
          </w:p>
        </w:tc>
        <w:tc>
          <w:tcPr>
            <w:tcW w:w="180" w:type="dxa"/>
            <w:vAlign w:val="bottom"/>
            <w:shd w:val="clear" w:color="auto" w:fill="D8D8D8"/>
          </w:tcPr>
          <w:p>
            <w:pPr>
              <w:spacing w:after="0"/>
              <w:rPr>
                <w:sz w:val="14"/>
                <w:szCs w:val="14"/>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4"/>
                <w:szCs w:val="14"/>
                <w:b w:val="1"/>
                <w:bCs w:val="1"/>
                <w:color w:val="auto"/>
                <w:w w:val="96"/>
              </w:rPr>
              <w:t>exercisable</w:t>
            </w:r>
          </w:p>
        </w:tc>
        <w:tc>
          <w:tcPr>
            <w:tcW w:w="1220" w:type="dxa"/>
            <w:vAlign w:val="bottom"/>
            <w:gridSpan w:val="2"/>
            <w:shd w:val="clear" w:color="auto" w:fill="D8D8D8"/>
          </w:tcPr>
          <w:p>
            <w:pPr>
              <w:jc w:val="center"/>
              <w:ind w:left="232"/>
              <w:spacing w:after="0"/>
              <w:rPr>
                <w:sz w:val="20"/>
                <w:szCs w:val="20"/>
                <w:color w:val="auto"/>
              </w:rPr>
            </w:pPr>
            <w:r>
              <w:rPr>
                <w:rFonts w:ascii="Arial" w:cs="Arial" w:eastAsia="Arial" w:hAnsi="Arial"/>
                <w:sz w:val="14"/>
                <w:szCs w:val="14"/>
                <w:b w:val="1"/>
                <w:bCs w:val="1"/>
                <w:color w:val="auto"/>
                <w:w w:val="96"/>
              </w:rPr>
              <w:t>Unexercisable</w:t>
            </w:r>
          </w:p>
        </w:tc>
        <w:tc>
          <w:tcPr>
            <w:tcW w:w="320" w:type="dxa"/>
            <w:vAlign w:val="bottom"/>
            <w:shd w:val="clear" w:color="auto" w:fill="D8D8D8"/>
          </w:tcPr>
          <w:p>
            <w:pPr>
              <w:spacing w:after="0"/>
              <w:rPr>
                <w:sz w:val="14"/>
                <w:szCs w:val="14"/>
                <w:color w:val="auto"/>
              </w:rPr>
            </w:pPr>
          </w:p>
        </w:tc>
        <w:tc>
          <w:tcPr>
            <w:tcW w:w="540" w:type="dxa"/>
            <w:vAlign w:val="bottom"/>
            <w:gridSpan w:val="2"/>
            <w:shd w:val="clear" w:color="auto" w:fill="D8D8D8"/>
          </w:tcPr>
          <w:p>
            <w:pPr>
              <w:jc w:val="center"/>
              <w:spacing w:after="0"/>
              <w:rPr>
                <w:sz w:val="20"/>
                <w:szCs w:val="20"/>
                <w:color w:val="auto"/>
              </w:rPr>
            </w:pPr>
            <w:r>
              <w:rPr>
                <w:rFonts w:ascii="Arial" w:cs="Arial" w:eastAsia="Arial" w:hAnsi="Arial"/>
                <w:sz w:val="14"/>
                <w:szCs w:val="14"/>
                <w:b w:val="1"/>
                <w:bCs w:val="1"/>
                <w:color w:val="auto"/>
                <w:w w:val="95"/>
              </w:rPr>
              <w:t xml:space="preserve">price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320" w:type="dxa"/>
            <w:vAlign w:val="bottom"/>
            <w:shd w:val="clear" w:color="auto" w:fill="D8D8D8"/>
          </w:tcPr>
          <w:p>
            <w:pPr>
              <w:spacing w:after="0"/>
              <w:rPr>
                <w:sz w:val="14"/>
                <w:szCs w:val="14"/>
                <w:color w:val="auto"/>
              </w:rPr>
            </w:pPr>
          </w:p>
        </w:tc>
        <w:tc>
          <w:tcPr>
            <w:tcW w:w="960" w:type="dxa"/>
            <w:vAlign w:val="bottom"/>
            <w:gridSpan w:val="2"/>
            <w:shd w:val="clear" w:color="auto" w:fill="D8D8D8"/>
          </w:tcPr>
          <w:p>
            <w:pPr>
              <w:jc w:val="center"/>
              <w:ind w:right="320"/>
              <w:spacing w:after="0"/>
              <w:rPr>
                <w:sz w:val="20"/>
                <w:szCs w:val="20"/>
                <w:color w:val="auto"/>
              </w:rPr>
            </w:pPr>
            <w:r>
              <w:rPr>
                <w:rFonts w:ascii="Arial" w:cs="Arial" w:eastAsia="Arial" w:hAnsi="Arial"/>
                <w:sz w:val="14"/>
                <w:szCs w:val="14"/>
                <w:b w:val="1"/>
                <w:bCs w:val="1"/>
                <w:color w:val="auto"/>
                <w:w w:val="97"/>
              </w:rPr>
              <w:t>date</w:t>
            </w:r>
          </w:p>
        </w:tc>
        <w:tc>
          <w:tcPr>
            <w:tcW w:w="680" w:type="dxa"/>
            <w:vAlign w:val="bottom"/>
            <w:shd w:val="clear" w:color="auto" w:fill="D8D8D8"/>
          </w:tcPr>
          <w:p>
            <w:pPr>
              <w:jc w:val="center"/>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D8D8D8"/>
          </w:tcPr>
          <w:p>
            <w:pPr>
              <w:ind w:left="4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200" w:type="dxa"/>
            <w:vAlign w:val="bottom"/>
            <w:tcBorders>
              <w:top w:val="single" w:sz="8" w:color="auto"/>
            </w:tcBorders>
          </w:tcPr>
          <w:p>
            <w:pPr>
              <w:ind w:left="60"/>
              <w:spacing w:after="0" w:line="141" w:lineRule="exact"/>
              <w:rPr>
                <w:sz w:val="20"/>
                <w:szCs w:val="20"/>
                <w:color w:val="auto"/>
              </w:rPr>
            </w:pPr>
            <w:r>
              <w:rPr>
                <w:rFonts w:ascii="Arial" w:cs="Arial" w:eastAsia="Arial" w:hAnsi="Arial"/>
                <w:sz w:val="14"/>
                <w:szCs w:val="14"/>
                <w:color w:val="auto"/>
              </w:rPr>
              <w:t>Roger J. Pomerantz, M.D.</w:t>
            </w:r>
          </w:p>
        </w:tc>
        <w:tc>
          <w:tcPr>
            <w:tcW w:w="280" w:type="dxa"/>
            <w:vAlign w:val="bottom"/>
          </w:tcPr>
          <w:p>
            <w:pPr>
              <w:spacing w:after="0"/>
              <w:rPr>
                <w:sz w:val="12"/>
                <w:szCs w:val="12"/>
                <w:color w:val="auto"/>
              </w:rPr>
            </w:pPr>
          </w:p>
        </w:tc>
        <w:tc>
          <w:tcPr>
            <w:tcW w:w="10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1/26/2017</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w w:val="88"/>
              </w:rPr>
              <w:t>(1)</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9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261,000</w:t>
            </w:r>
          </w:p>
        </w:tc>
        <w:tc>
          <w:tcPr>
            <w:tcW w:w="32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9.89</w:t>
            </w:r>
          </w:p>
        </w:tc>
        <w:tc>
          <w:tcPr>
            <w:tcW w:w="320" w:type="dxa"/>
            <w:vAlign w:val="bottom"/>
          </w:tcPr>
          <w:p>
            <w:pPr>
              <w:spacing w:after="0"/>
              <w:rPr>
                <w:sz w:val="12"/>
                <w:szCs w:val="12"/>
                <w:color w:val="auto"/>
              </w:rPr>
            </w:pPr>
          </w:p>
        </w:tc>
        <w:tc>
          <w:tcPr>
            <w:tcW w:w="6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99"/>
              </w:rPr>
              <w:t>1/25/2017</w:t>
            </w: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640" w:type="dxa"/>
            <w:vAlign w:val="bottom"/>
            <w:gridSpan w:val="3"/>
          </w:tcPr>
          <w:p>
            <w:pPr>
              <w:jc w:val="right"/>
              <w:ind w:right="123"/>
              <w:spacing w:after="0" w:line="149" w:lineRule="exact"/>
              <w:rPr>
                <w:sz w:val="20"/>
                <w:szCs w:val="20"/>
                <w:color w:val="auto"/>
              </w:rPr>
            </w:pPr>
            <w:r>
              <w:rPr>
                <w:rFonts w:ascii="Arial" w:cs="Arial" w:eastAsia="Arial" w:hAnsi="Arial"/>
                <w:sz w:val="14"/>
                <w:szCs w:val="14"/>
                <w:color w:val="auto"/>
              </w:rPr>
              <w:t>2/1/2016</w:t>
            </w:r>
            <w:r>
              <w:rPr>
                <w:rFonts w:ascii="Arial" w:cs="Arial" w:eastAsia="Arial" w:hAnsi="Arial"/>
                <w:sz w:val="11"/>
                <w:szCs w:val="11"/>
                <w:color w:val="auto"/>
              </w:rPr>
              <w:t>(1)</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77,218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99,282</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26.20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1/31/2026</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640" w:type="dxa"/>
            <w:vAlign w:val="bottom"/>
            <w:gridSpan w:val="3"/>
          </w:tcPr>
          <w:p>
            <w:pPr>
              <w:jc w:val="right"/>
              <w:ind w:right="123"/>
              <w:spacing w:after="0" w:line="149" w:lineRule="exact"/>
              <w:rPr>
                <w:sz w:val="20"/>
                <w:szCs w:val="20"/>
                <w:color w:val="auto"/>
              </w:rPr>
            </w:pPr>
            <w:r>
              <w:rPr>
                <w:rFonts w:ascii="Arial" w:cs="Arial" w:eastAsia="Arial" w:hAnsi="Arial"/>
                <w:sz w:val="14"/>
                <w:szCs w:val="14"/>
                <w:color w:val="auto"/>
              </w:rPr>
              <w:t>6/1/2014</w:t>
            </w:r>
            <w:r>
              <w:rPr>
                <w:rFonts w:ascii="Arial" w:cs="Arial" w:eastAsia="Arial" w:hAnsi="Arial"/>
                <w:sz w:val="11"/>
                <w:szCs w:val="11"/>
                <w:color w:val="auto"/>
              </w:rPr>
              <w:t>(2)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849,947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104,735</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0.71</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8/6/2024</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40" w:type="dxa"/>
            <w:vAlign w:val="bottom"/>
            <w:gridSpan w:val="3"/>
          </w:tcPr>
          <w:p>
            <w:pPr>
              <w:jc w:val="right"/>
              <w:ind w:right="123"/>
              <w:spacing w:after="0"/>
              <w:rPr>
                <w:sz w:val="20"/>
                <w:szCs w:val="20"/>
                <w:color w:val="auto"/>
              </w:rPr>
            </w:pPr>
            <w:r>
              <w:rPr>
                <w:rFonts w:ascii="Arial" w:cs="Arial" w:eastAsia="Arial" w:hAnsi="Arial"/>
                <w:sz w:val="14"/>
                <w:szCs w:val="14"/>
                <w:color w:val="auto"/>
              </w:rPr>
              <w:t>9/9/2013</w:t>
            </w:r>
            <w:r>
              <w:rPr>
                <w:rFonts w:ascii="Arial" w:cs="Arial" w:eastAsia="Arial" w:hAnsi="Arial"/>
                <w:sz w:val="11"/>
                <w:szCs w:val="11"/>
                <w:color w:val="auto"/>
              </w:rPr>
              <w:t>(2)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82,500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0.48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11/5/2023</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D8D8D8"/>
          </w:tcPr>
          <w:p>
            <w:pPr>
              <w:ind w:left="60"/>
              <w:spacing w:after="0" w:line="148" w:lineRule="exact"/>
              <w:rPr>
                <w:sz w:val="20"/>
                <w:szCs w:val="20"/>
                <w:color w:val="auto"/>
              </w:rPr>
            </w:pPr>
            <w:r>
              <w:rPr>
                <w:rFonts w:ascii="Arial" w:cs="Arial" w:eastAsia="Arial" w:hAnsi="Arial"/>
                <w:sz w:val="14"/>
                <w:szCs w:val="14"/>
                <w:color w:val="auto"/>
              </w:rPr>
              <w:t>Michele Trucksis, Ph.D. M.D.</w:t>
            </w:r>
          </w:p>
        </w:tc>
        <w:tc>
          <w:tcPr>
            <w:tcW w:w="1640" w:type="dxa"/>
            <w:vAlign w:val="bottom"/>
            <w:gridSpan w:val="3"/>
            <w:shd w:val="clear" w:color="auto" w:fill="D8D8D8"/>
          </w:tcPr>
          <w:p>
            <w:pPr>
              <w:jc w:val="right"/>
              <w:ind w:right="123"/>
              <w:spacing w:after="0" w:line="148" w:lineRule="exact"/>
              <w:rPr>
                <w:sz w:val="20"/>
                <w:szCs w:val="20"/>
                <w:color w:val="auto"/>
              </w:rPr>
            </w:pPr>
            <w:r>
              <w:rPr>
                <w:rFonts w:ascii="Arial" w:cs="Arial" w:eastAsia="Arial" w:hAnsi="Arial"/>
                <w:sz w:val="14"/>
                <w:szCs w:val="14"/>
                <w:color w:val="auto"/>
              </w:rPr>
              <w:t>1/26/2017</w:t>
            </w:r>
            <w:r>
              <w:rPr>
                <w:rFonts w:ascii="Arial" w:cs="Arial" w:eastAsia="Arial" w:hAnsi="Arial"/>
                <w:sz w:val="11"/>
                <w:szCs w:val="11"/>
                <w:color w:val="auto"/>
              </w:rPr>
              <w:t>(1)</w:t>
            </w:r>
          </w:p>
        </w:tc>
        <w:tc>
          <w:tcPr>
            <w:tcW w:w="980" w:type="dxa"/>
            <w:vAlign w:val="bottom"/>
            <w:gridSpan w:val="2"/>
            <w:shd w:val="clear" w:color="auto" w:fill="D8D8D8"/>
          </w:tcPr>
          <w:p>
            <w:pPr>
              <w:jc w:val="right"/>
              <w:spacing w:after="0" w:line="148" w:lineRule="exact"/>
              <w:rPr>
                <w:sz w:val="20"/>
                <w:szCs w:val="20"/>
                <w:color w:val="auto"/>
              </w:rPr>
            </w:pPr>
            <w:r>
              <w:rPr>
                <w:rFonts w:ascii="Arial" w:cs="Arial" w:eastAsia="Arial" w:hAnsi="Arial"/>
                <w:sz w:val="14"/>
                <w:szCs w:val="14"/>
                <w:color w:val="auto"/>
              </w:rPr>
              <w:t>0</w:t>
            </w:r>
          </w:p>
        </w:tc>
        <w:tc>
          <w:tcPr>
            <w:tcW w:w="1220" w:type="dxa"/>
            <w:vAlign w:val="bottom"/>
            <w:gridSpan w:val="2"/>
            <w:shd w:val="clear" w:color="auto" w:fill="D8D8D8"/>
          </w:tcPr>
          <w:p>
            <w:pPr>
              <w:jc w:val="right"/>
              <w:spacing w:after="0" w:line="148" w:lineRule="exact"/>
              <w:rPr>
                <w:sz w:val="20"/>
                <w:szCs w:val="20"/>
                <w:color w:val="auto"/>
              </w:rPr>
            </w:pPr>
            <w:r>
              <w:rPr>
                <w:rFonts w:ascii="Arial" w:cs="Arial" w:eastAsia="Arial" w:hAnsi="Arial"/>
                <w:sz w:val="14"/>
                <w:szCs w:val="14"/>
                <w:color w:val="auto"/>
              </w:rPr>
              <w:t>100,000</w:t>
            </w:r>
          </w:p>
        </w:tc>
        <w:tc>
          <w:tcPr>
            <w:tcW w:w="440" w:type="dxa"/>
            <w:vAlign w:val="bottom"/>
            <w:gridSpan w:val="2"/>
            <w:shd w:val="clear" w:color="auto" w:fill="D8D8D8"/>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D8D8D8"/>
          </w:tcPr>
          <w:p>
            <w:pPr>
              <w:jc w:val="right"/>
              <w:spacing w:after="0" w:line="148" w:lineRule="exact"/>
              <w:rPr>
                <w:sz w:val="20"/>
                <w:szCs w:val="20"/>
                <w:color w:val="auto"/>
              </w:rPr>
            </w:pPr>
            <w:r>
              <w:rPr>
                <w:rFonts w:ascii="Arial" w:cs="Arial" w:eastAsia="Arial" w:hAnsi="Arial"/>
                <w:sz w:val="14"/>
                <w:szCs w:val="14"/>
                <w:color w:val="auto"/>
              </w:rPr>
              <w:t>9.89</w:t>
            </w:r>
          </w:p>
        </w:tc>
        <w:tc>
          <w:tcPr>
            <w:tcW w:w="960" w:type="dxa"/>
            <w:vAlign w:val="bottom"/>
            <w:gridSpan w:val="2"/>
            <w:shd w:val="clear" w:color="auto" w:fill="D8D8D8"/>
          </w:tcPr>
          <w:p>
            <w:pPr>
              <w:jc w:val="right"/>
              <w:spacing w:after="0" w:line="148" w:lineRule="exact"/>
              <w:rPr>
                <w:sz w:val="20"/>
                <w:szCs w:val="20"/>
                <w:color w:val="auto"/>
              </w:rPr>
            </w:pPr>
            <w:r>
              <w:rPr>
                <w:rFonts w:ascii="Arial" w:cs="Arial" w:eastAsia="Arial" w:hAnsi="Arial"/>
                <w:sz w:val="14"/>
                <w:szCs w:val="14"/>
                <w:color w:val="auto"/>
              </w:rPr>
              <w:t>1/25/2027</w:t>
            </w:r>
          </w:p>
        </w:tc>
        <w:tc>
          <w:tcPr>
            <w:tcW w:w="32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8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1360" w:type="dxa"/>
            <w:vAlign w:val="bottom"/>
            <w:gridSpan w:val="2"/>
            <w:shd w:val="clear" w:color="auto" w:fill="D8D8D8"/>
          </w:tcPr>
          <w:p>
            <w:pPr>
              <w:jc w:val="right"/>
              <w:ind w:right="123"/>
              <w:spacing w:after="0" w:line="149" w:lineRule="exact"/>
              <w:rPr>
                <w:sz w:val="20"/>
                <w:szCs w:val="20"/>
                <w:color w:val="auto"/>
              </w:rPr>
            </w:pPr>
            <w:r>
              <w:rPr>
                <w:rFonts w:ascii="Arial" w:cs="Arial" w:eastAsia="Arial" w:hAnsi="Arial"/>
                <w:sz w:val="14"/>
                <w:szCs w:val="14"/>
                <w:color w:val="auto"/>
              </w:rPr>
              <w:t>1/26/2017</w:t>
            </w:r>
            <w:r>
              <w:rPr>
                <w:rFonts w:ascii="Arial" w:cs="Arial" w:eastAsia="Arial" w:hAnsi="Arial"/>
                <w:sz w:val="11"/>
                <w:szCs w:val="11"/>
                <w:color w:val="auto"/>
              </w:rPr>
              <w:t>(3)</w:t>
            </w:r>
          </w:p>
        </w:tc>
        <w:tc>
          <w:tcPr>
            <w:tcW w:w="18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9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4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68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37,500</w:t>
            </w:r>
          </w:p>
        </w:tc>
        <w:tc>
          <w:tcPr>
            <w:tcW w:w="960" w:type="dxa"/>
            <w:vAlign w:val="bottom"/>
            <w:gridSpan w:val="2"/>
            <w:shd w:val="clear" w:color="auto" w:fill="D8D8D8"/>
          </w:tcPr>
          <w:p>
            <w:pPr>
              <w:ind w:left="460"/>
              <w:spacing w:after="0" w:line="149" w:lineRule="exact"/>
              <w:rPr>
                <w:sz w:val="20"/>
                <w:szCs w:val="20"/>
                <w:color w:val="auto"/>
              </w:rPr>
            </w:pPr>
            <w:r>
              <w:rPr>
                <w:rFonts w:ascii="Arial" w:cs="Arial" w:eastAsia="Arial" w:hAnsi="Arial"/>
                <w:sz w:val="14"/>
                <w:szCs w:val="14"/>
                <w:color w:val="auto"/>
                <w:w w:val="94"/>
              </w:rPr>
              <w:t>380,250</w:t>
            </w:r>
          </w:p>
        </w:tc>
        <w:tc>
          <w:tcPr>
            <w:tcW w:w="2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1360" w:type="dxa"/>
            <w:vAlign w:val="bottom"/>
            <w:gridSpan w:val="2"/>
            <w:shd w:val="clear" w:color="auto" w:fill="D8D8D8"/>
          </w:tcPr>
          <w:p>
            <w:pPr>
              <w:jc w:val="right"/>
              <w:ind w:right="123"/>
              <w:spacing w:after="0" w:line="149" w:lineRule="exact"/>
              <w:rPr>
                <w:sz w:val="20"/>
                <w:szCs w:val="20"/>
                <w:color w:val="auto"/>
              </w:rPr>
            </w:pPr>
            <w:r>
              <w:rPr>
                <w:rFonts w:ascii="Arial" w:cs="Arial" w:eastAsia="Arial" w:hAnsi="Arial"/>
                <w:sz w:val="14"/>
                <w:szCs w:val="14"/>
                <w:color w:val="auto"/>
              </w:rPr>
              <w:t>2/1/2016</w:t>
            </w:r>
            <w:r>
              <w:rPr>
                <w:rFonts w:ascii="Arial" w:cs="Arial" w:eastAsia="Arial" w:hAnsi="Arial"/>
                <w:sz w:val="11"/>
                <w:szCs w:val="11"/>
                <w:color w:val="auto"/>
              </w:rPr>
              <w:t>(1)</w:t>
            </w:r>
          </w:p>
        </w:tc>
        <w:tc>
          <w:tcPr>
            <w:tcW w:w="98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27,343</w:t>
            </w:r>
          </w:p>
        </w:tc>
        <w:tc>
          <w:tcPr>
            <w:tcW w:w="122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35,157</w:t>
            </w:r>
          </w:p>
        </w:tc>
        <w:tc>
          <w:tcPr>
            <w:tcW w:w="44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26.20</w:t>
            </w:r>
          </w:p>
        </w:tc>
        <w:tc>
          <w:tcPr>
            <w:tcW w:w="96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1/31/2026</w:t>
            </w:r>
          </w:p>
        </w:tc>
        <w:tc>
          <w:tcPr>
            <w:tcW w:w="32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8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200" w:type="dxa"/>
            <w:vAlign w:val="bottom"/>
            <w:tcBorders>
              <w:bottom w:val="single" w:sz="8" w:color="D8D8D8"/>
            </w:tcBorders>
            <w:shd w:val="clear" w:color="auto" w:fill="D8D8D8"/>
          </w:tcPr>
          <w:p>
            <w:pPr>
              <w:spacing w:after="0"/>
              <w:rPr>
                <w:sz w:val="15"/>
                <w:szCs w:val="15"/>
                <w:color w:val="auto"/>
              </w:rPr>
            </w:pPr>
          </w:p>
        </w:tc>
        <w:tc>
          <w:tcPr>
            <w:tcW w:w="280" w:type="dxa"/>
            <w:vAlign w:val="bottom"/>
            <w:tcBorders>
              <w:bottom w:val="single" w:sz="8" w:color="D8D8D8"/>
            </w:tcBorders>
            <w:shd w:val="clear" w:color="auto" w:fill="D8D8D8"/>
          </w:tcPr>
          <w:p>
            <w:pPr>
              <w:spacing w:after="0"/>
              <w:rPr>
                <w:sz w:val="15"/>
                <w:szCs w:val="15"/>
                <w:color w:val="auto"/>
              </w:rPr>
            </w:pPr>
          </w:p>
        </w:tc>
        <w:tc>
          <w:tcPr>
            <w:tcW w:w="1360" w:type="dxa"/>
            <w:vAlign w:val="bottom"/>
            <w:tcBorders>
              <w:bottom w:val="single" w:sz="8" w:color="D8D8D8"/>
            </w:tcBorders>
            <w:gridSpan w:val="2"/>
            <w:shd w:val="clear" w:color="auto" w:fill="D8D8D8"/>
          </w:tcPr>
          <w:p>
            <w:pPr>
              <w:jc w:val="right"/>
              <w:ind w:right="123"/>
              <w:spacing w:after="0"/>
              <w:rPr>
                <w:sz w:val="20"/>
                <w:szCs w:val="20"/>
                <w:color w:val="auto"/>
              </w:rPr>
            </w:pPr>
            <w:r>
              <w:rPr>
                <w:rFonts w:ascii="Arial" w:cs="Arial" w:eastAsia="Arial" w:hAnsi="Arial"/>
                <w:sz w:val="14"/>
                <w:szCs w:val="14"/>
                <w:color w:val="auto"/>
              </w:rPr>
              <w:t>1/15/2015</w:t>
            </w:r>
            <w:r>
              <w:rPr>
                <w:rFonts w:ascii="Arial" w:cs="Arial" w:eastAsia="Arial" w:hAnsi="Arial"/>
                <w:sz w:val="11"/>
                <w:szCs w:val="11"/>
                <w:color w:val="auto"/>
              </w:rPr>
              <w:t>(2)</w:t>
            </w:r>
          </w:p>
        </w:tc>
        <w:tc>
          <w:tcPr>
            <w:tcW w:w="980" w:type="dxa"/>
            <w:vAlign w:val="bottom"/>
            <w:tcBorders>
              <w:bottom w:val="single" w:sz="8" w:color="D8D8D8"/>
            </w:tcBorders>
            <w:gridSpan w:val="2"/>
            <w:shd w:val="clear" w:color="auto" w:fill="D8D8D8"/>
          </w:tcPr>
          <w:p>
            <w:pPr>
              <w:jc w:val="right"/>
              <w:spacing w:after="0"/>
              <w:rPr>
                <w:sz w:val="20"/>
                <w:szCs w:val="20"/>
                <w:color w:val="auto"/>
              </w:rPr>
            </w:pPr>
            <w:r>
              <w:rPr>
                <w:rFonts w:ascii="Arial" w:cs="Arial" w:eastAsia="Arial" w:hAnsi="Arial"/>
                <w:sz w:val="14"/>
                <w:szCs w:val="14"/>
                <w:color w:val="auto"/>
              </w:rPr>
              <w:t>212,122</w:t>
            </w:r>
          </w:p>
        </w:tc>
        <w:tc>
          <w:tcPr>
            <w:tcW w:w="1220" w:type="dxa"/>
            <w:vAlign w:val="bottom"/>
            <w:tcBorders>
              <w:bottom w:val="single" w:sz="8" w:color="D8D8D8"/>
            </w:tcBorders>
            <w:gridSpan w:val="2"/>
            <w:shd w:val="clear" w:color="auto" w:fill="D8D8D8"/>
          </w:tcPr>
          <w:p>
            <w:pPr>
              <w:jc w:val="right"/>
              <w:spacing w:after="0"/>
              <w:rPr>
                <w:sz w:val="20"/>
                <w:szCs w:val="20"/>
                <w:color w:val="auto"/>
              </w:rPr>
            </w:pPr>
            <w:r>
              <w:rPr>
                <w:rFonts w:ascii="Arial" w:cs="Arial" w:eastAsia="Arial" w:hAnsi="Arial"/>
                <w:sz w:val="14"/>
                <w:szCs w:val="14"/>
                <w:color w:val="auto"/>
              </w:rPr>
              <w:t>84,782</w:t>
            </w:r>
          </w:p>
        </w:tc>
        <w:tc>
          <w:tcPr>
            <w:tcW w:w="440" w:type="dxa"/>
            <w:vAlign w:val="bottom"/>
            <w:tcBorders>
              <w:bottom w:val="single" w:sz="8" w:color="D8D8D8"/>
            </w:tcBorders>
            <w:gridSpan w:val="2"/>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15.77</w:t>
            </w:r>
          </w:p>
        </w:tc>
        <w:tc>
          <w:tcPr>
            <w:tcW w:w="960" w:type="dxa"/>
            <w:vAlign w:val="bottom"/>
            <w:tcBorders>
              <w:bottom w:val="single" w:sz="8" w:color="D8D8D8"/>
            </w:tcBorders>
            <w:gridSpan w:val="2"/>
            <w:shd w:val="clear" w:color="auto" w:fill="D8D8D8"/>
          </w:tcPr>
          <w:p>
            <w:pPr>
              <w:jc w:val="right"/>
              <w:spacing w:after="0"/>
              <w:rPr>
                <w:sz w:val="20"/>
                <w:szCs w:val="20"/>
                <w:color w:val="auto"/>
              </w:rPr>
            </w:pPr>
            <w:r>
              <w:rPr>
                <w:rFonts w:ascii="Arial" w:cs="Arial" w:eastAsia="Arial" w:hAnsi="Arial"/>
                <w:sz w:val="14"/>
                <w:szCs w:val="14"/>
                <w:color w:val="auto"/>
              </w:rPr>
              <w:t>3/24/2025</w:t>
            </w:r>
          </w:p>
        </w:tc>
        <w:tc>
          <w:tcPr>
            <w:tcW w:w="320" w:type="dxa"/>
            <w:vAlign w:val="bottom"/>
            <w:tcBorders>
              <w:bottom w:val="single" w:sz="8" w:color="D8D8D8"/>
            </w:tcBorders>
            <w:shd w:val="clear" w:color="auto" w:fill="D8D8D8"/>
          </w:tcPr>
          <w:p>
            <w:pPr>
              <w:spacing w:after="0"/>
              <w:rPr>
                <w:sz w:val="15"/>
                <w:szCs w:val="15"/>
                <w:color w:val="auto"/>
              </w:rPr>
            </w:pPr>
          </w:p>
        </w:tc>
        <w:tc>
          <w:tcPr>
            <w:tcW w:w="680" w:type="dxa"/>
            <w:vAlign w:val="bottom"/>
            <w:tcBorders>
              <w:bottom w:val="single" w:sz="8" w:color="D8D8D8"/>
            </w:tcBorders>
            <w:shd w:val="clear" w:color="auto" w:fill="D8D8D8"/>
          </w:tcPr>
          <w:p>
            <w:pPr>
              <w:spacing w:after="0"/>
              <w:rPr>
                <w:sz w:val="15"/>
                <w:szCs w:val="15"/>
                <w:color w:val="auto"/>
              </w:rPr>
            </w:pPr>
          </w:p>
        </w:tc>
        <w:tc>
          <w:tcPr>
            <w:tcW w:w="140" w:type="dxa"/>
            <w:vAlign w:val="bottom"/>
            <w:tcBorders>
              <w:bottom w:val="single" w:sz="8" w:color="D8D8D8"/>
            </w:tcBorders>
            <w:shd w:val="clear" w:color="auto" w:fill="D8D8D8"/>
          </w:tcPr>
          <w:p>
            <w:pPr>
              <w:spacing w:after="0"/>
              <w:rPr>
                <w:sz w:val="15"/>
                <w:szCs w:val="15"/>
                <w:color w:val="auto"/>
              </w:rPr>
            </w:pPr>
          </w:p>
        </w:tc>
        <w:tc>
          <w:tcPr>
            <w:tcW w:w="820" w:type="dxa"/>
            <w:vAlign w:val="bottom"/>
            <w:tcBorders>
              <w:bottom w:val="single" w:sz="8" w:color="D8D8D8"/>
            </w:tcBorders>
            <w:shd w:val="clear" w:color="auto" w:fill="D8D8D8"/>
          </w:tcPr>
          <w:p>
            <w:pPr>
              <w:spacing w:after="0"/>
              <w:rPr>
                <w:sz w:val="15"/>
                <w:szCs w:val="15"/>
                <w:color w:val="auto"/>
              </w:rPr>
            </w:pPr>
          </w:p>
        </w:tc>
        <w:tc>
          <w:tcPr>
            <w:tcW w:w="200" w:type="dxa"/>
            <w:vAlign w:val="bottom"/>
            <w:tcBorders>
              <w:bottom w:val="single" w:sz="8" w:color="D8D8D8"/>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60"/>
              <w:spacing w:after="0" w:line="148" w:lineRule="exact"/>
              <w:rPr>
                <w:sz w:val="20"/>
                <w:szCs w:val="20"/>
                <w:color w:val="auto"/>
              </w:rPr>
            </w:pPr>
            <w:r>
              <w:rPr>
                <w:rFonts w:ascii="Arial" w:cs="Arial" w:eastAsia="Arial" w:hAnsi="Arial"/>
                <w:sz w:val="14"/>
                <w:szCs w:val="14"/>
                <w:color w:val="auto"/>
              </w:rPr>
              <w:t>Eric Shaff</w:t>
            </w:r>
          </w:p>
        </w:tc>
        <w:tc>
          <w:tcPr>
            <w:tcW w:w="280" w:type="dxa"/>
            <w:vAlign w:val="bottom"/>
          </w:tcPr>
          <w:p>
            <w:pPr>
              <w:spacing w:after="0"/>
              <w:rPr>
                <w:sz w:val="12"/>
                <w:szCs w:val="12"/>
                <w:color w:val="auto"/>
              </w:rPr>
            </w:pPr>
          </w:p>
        </w:tc>
        <w:tc>
          <w:tcPr>
            <w:tcW w:w="1360" w:type="dxa"/>
            <w:vAlign w:val="bottom"/>
            <w:gridSpan w:val="2"/>
          </w:tcPr>
          <w:p>
            <w:pPr>
              <w:jc w:val="right"/>
              <w:ind w:right="123"/>
              <w:spacing w:after="0" w:line="148" w:lineRule="exact"/>
              <w:rPr>
                <w:sz w:val="20"/>
                <w:szCs w:val="20"/>
                <w:color w:val="auto"/>
              </w:rPr>
            </w:pPr>
            <w:r>
              <w:rPr>
                <w:rFonts w:ascii="Arial" w:cs="Arial" w:eastAsia="Arial" w:hAnsi="Arial"/>
                <w:sz w:val="14"/>
                <w:szCs w:val="14"/>
                <w:color w:val="auto"/>
              </w:rPr>
              <w:t>1/26/2017</w:t>
            </w:r>
            <w:r>
              <w:rPr>
                <w:rFonts w:ascii="Arial" w:cs="Arial" w:eastAsia="Arial" w:hAnsi="Arial"/>
                <w:sz w:val="11"/>
                <w:szCs w:val="11"/>
                <w:color w:val="auto"/>
              </w:rPr>
              <w:t>(1)</w:t>
            </w:r>
          </w:p>
        </w:tc>
        <w:tc>
          <w:tcPr>
            <w:tcW w:w="9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0</w:t>
            </w:r>
          </w:p>
        </w:tc>
        <w:tc>
          <w:tcPr>
            <w:tcW w:w="12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105,000</w:t>
            </w:r>
          </w:p>
        </w:tc>
        <w:tc>
          <w:tcPr>
            <w:tcW w:w="44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8" w:lineRule="exact"/>
              <w:rPr>
                <w:sz w:val="20"/>
                <w:szCs w:val="20"/>
                <w:color w:val="auto"/>
              </w:rPr>
            </w:pPr>
            <w:r>
              <w:rPr>
                <w:rFonts w:ascii="Arial" w:cs="Arial" w:eastAsia="Arial" w:hAnsi="Arial"/>
                <w:sz w:val="14"/>
                <w:szCs w:val="14"/>
                <w:color w:val="auto"/>
              </w:rPr>
              <w:t>9.89</w:t>
            </w:r>
          </w:p>
        </w:tc>
        <w:tc>
          <w:tcPr>
            <w:tcW w:w="9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1/25/2027</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640" w:type="dxa"/>
            <w:vAlign w:val="bottom"/>
            <w:gridSpan w:val="3"/>
          </w:tcPr>
          <w:p>
            <w:pPr>
              <w:jc w:val="right"/>
              <w:ind w:right="123"/>
              <w:spacing w:after="0" w:line="149" w:lineRule="exact"/>
              <w:rPr>
                <w:sz w:val="20"/>
                <w:szCs w:val="20"/>
                <w:color w:val="auto"/>
              </w:rPr>
            </w:pPr>
            <w:r>
              <w:rPr>
                <w:rFonts w:ascii="Arial" w:cs="Arial" w:eastAsia="Arial" w:hAnsi="Arial"/>
                <w:sz w:val="14"/>
                <w:szCs w:val="14"/>
                <w:color w:val="auto"/>
              </w:rPr>
              <w:t>1/26/2017</w:t>
            </w:r>
            <w:r>
              <w:rPr>
                <w:rFonts w:ascii="Arial" w:cs="Arial" w:eastAsia="Arial" w:hAnsi="Arial"/>
                <w:sz w:val="11"/>
                <w:szCs w:val="11"/>
                <w:color w:val="auto"/>
              </w:rPr>
              <w:t>(3)</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w w:val="94"/>
              </w:rPr>
              <w:t>405,600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640" w:type="dxa"/>
            <w:vAlign w:val="bottom"/>
            <w:gridSpan w:val="3"/>
          </w:tcPr>
          <w:p>
            <w:pPr>
              <w:jc w:val="right"/>
              <w:ind w:right="123"/>
              <w:spacing w:after="0" w:line="149" w:lineRule="exact"/>
              <w:rPr>
                <w:sz w:val="20"/>
                <w:szCs w:val="20"/>
                <w:color w:val="auto"/>
              </w:rPr>
            </w:pPr>
            <w:r>
              <w:rPr>
                <w:rFonts w:ascii="Arial" w:cs="Arial" w:eastAsia="Arial" w:hAnsi="Arial"/>
                <w:sz w:val="14"/>
                <w:szCs w:val="14"/>
                <w:color w:val="auto"/>
              </w:rPr>
              <w:t>2/1/2016</w:t>
            </w:r>
            <w:r>
              <w:rPr>
                <w:rFonts w:ascii="Arial" w:cs="Arial" w:eastAsia="Arial" w:hAnsi="Arial"/>
                <w:sz w:val="11"/>
                <w:szCs w:val="11"/>
                <w:color w:val="auto"/>
              </w:rPr>
              <w:t>(1)</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34,343</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44,157</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26.20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1/31/2026</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640" w:type="dxa"/>
            <w:vAlign w:val="bottom"/>
            <w:gridSpan w:val="3"/>
          </w:tcPr>
          <w:p>
            <w:pPr>
              <w:jc w:val="right"/>
              <w:ind w:right="123"/>
              <w:spacing w:after="0" w:line="149" w:lineRule="exact"/>
              <w:rPr>
                <w:sz w:val="20"/>
                <w:szCs w:val="20"/>
                <w:color w:val="auto"/>
              </w:rPr>
            </w:pPr>
            <w:r>
              <w:rPr>
                <w:rFonts w:ascii="Arial" w:cs="Arial" w:eastAsia="Arial" w:hAnsi="Arial"/>
                <w:sz w:val="14"/>
                <w:szCs w:val="14"/>
                <w:color w:val="auto"/>
              </w:rPr>
              <w:t>6/26/2015</w:t>
            </w:r>
            <w:r>
              <w:rPr>
                <w:rFonts w:ascii="Arial" w:cs="Arial" w:eastAsia="Arial" w:hAnsi="Arial"/>
                <w:sz w:val="11"/>
                <w:szCs w:val="11"/>
                <w:color w:val="auto"/>
              </w:rPr>
              <w:t>(2)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68,750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6/25/2025</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40" w:type="dxa"/>
            <w:vAlign w:val="bottom"/>
            <w:gridSpan w:val="3"/>
          </w:tcPr>
          <w:p>
            <w:pPr>
              <w:jc w:val="right"/>
              <w:ind w:right="123"/>
              <w:spacing w:after="0"/>
              <w:rPr>
                <w:sz w:val="20"/>
                <w:szCs w:val="20"/>
                <w:color w:val="auto"/>
              </w:rPr>
            </w:pPr>
            <w:r>
              <w:rPr>
                <w:rFonts w:ascii="Arial" w:cs="Arial" w:eastAsia="Arial" w:hAnsi="Arial"/>
                <w:sz w:val="14"/>
                <w:szCs w:val="14"/>
                <w:color w:val="auto"/>
              </w:rPr>
              <w:t>12/09/2014</w:t>
            </w:r>
            <w:r>
              <w:rPr>
                <w:rFonts w:ascii="Arial" w:cs="Arial" w:eastAsia="Arial" w:hAnsi="Arial"/>
                <w:sz w:val="11"/>
                <w:szCs w:val="11"/>
                <w:color w:val="auto"/>
              </w:rPr>
              <w:t>(2)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184,199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49,255</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7.79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12/8/2024</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180340</wp:posOffset>
            </wp:positionV>
            <wp:extent cx="6997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7" w:lineRule="exact"/>
        <w:rPr>
          <w:sz w:val="20"/>
          <w:szCs w:val="20"/>
          <w:color w:val="auto"/>
        </w:rPr>
      </w:pPr>
    </w:p>
    <w:p>
      <w:pPr>
        <w:ind w:left="520" w:right="200" w:hanging="316"/>
        <w:spacing w:after="0" w:line="228"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Agreements.”</w:t>
      </w:r>
    </w:p>
    <w:p>
      <w:pPr>
        <w:spacing w:after="0" w:line="27" w:lineRule="exact"/>
        <w:rPr>
          <w:rFonts w:ascii="Arial" w:cs="Arial" w:eastAsia="Arial" w:hAnsi="Arial"/>
          <w:sz w:val="14"/>
          <w:szCs w:val="14"/>
          <w:color w:val="auto"/>
        </w:rPr>
      </w:pPr>
    </w:p>
    <w:p>
      <w:pPr>
        <w:ind w:left="520" w:right="20" w:hanging="316"/>
        <w:spacing w:after="0" w:line="228"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vesting commencement date, and as to 6.25% of the shares subject to the option on the last day of each calendar quarter during the three-year period thereafter, subject to the holder’s continued employment with us through the applicable vesting date and potential accelerated vesting as described in the section titled “Employment Agreements.”</w:t>
      </w:r>
    </w:p>
    <w:p>
      <w:pPr>
        <w:spacing w:after="0" w:line="27" w:lineRule="exact"/>
        <w:rPr>
          <w:rFonts w:ascii="Arial" w:cs="Arial" w:eastAsia="Arial" w:hAnsi="Arial"/>
          <w:sz w:val="14"/>
          <w:szCs w:val="14"/>
          <w:color w:val="auto"/>
        </w:rPr>
      </w:pPr>
    </w:p>
    <w:p>
      <w:pPr>
        <w:ind w:left="520" w:right="100" w:hanging="316"/>
        <w:spacing w:after="0" w:line="228"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restricted stock units vest as to 20% of the award on the first anniversary of the vesting commencement date, 30% on the second anniversary of the vesting commencement date and 50% on the third anniversary of the vesting commencement date, subject to the holder’s continued employment with us through the applicable vesting date and potential accelerated vesting as described in the section titled “Employment Agreements.”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entered into employment agreements with each of our NEOs. Certain key terms of these agreements are described below.</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Roger J. Pomerantz, M.D.</w:t>
      </w:r>
    </w:p>
    <w:p>
      <w:pPr>
        <w:spacing w:after="0" w:line="99"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The employment agreement with Dr. Pomerantz, as amended, entitles him to an initial annual base salary of $464,100, subject to periodic review and adjustment by our board of directors or Compensation Committee, and an annual target bonus opportunity of 55% of his annual base salary.</w:t>
      </w:r>
    </w:p>
    <w:p>
      <w:pPr>
        <w:spacing w:after="0" w:line="54"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In the event Dr. Pomerantz’s employment is terminated by us without cause or he resigns for good reason, subject to his timely executing a release of claims in our favor, he is entitled to receive</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EXECUTIVE AND DIRECTOR COMPENSATION</w:t>
      </w:r>
    </w:p>
    <w:p>
      <w:pPr>
        <w:spacing w:after="0" w:line="136"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12 months of continued base salary and up to 12 months of continued medical, dental or vision coverage pursuant to COBRA, if elected. Dr. Pomerantz’s employment agreement provides that, upon such termination within 60 days prior to or 12 months following a change in control, in lieu of the benefits described in the previous sentence, Dr. Pomerantz is entitled to accelerated vesting of his time-based equity awards, 18 months of continued base salary and up to 18 months of continued medical, dental or vision coverage pursuant to COBRA, if elected.</w:t>
      </w:r>
    </w:p>
    <w:p>
      <w:pPr>
        <w:spacing w:after="0" w:line="68"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Dr. Pomerantz has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purposes of the employment agreement:</w:t>
      </w:r>
    </w:p>
    <w:p>
      <w:pPr>
        <w:spacing w:after="0" w:line="77" w:lineRule="exact"/>
        <w:rPr>
          <w:sz w:val="20"/>
          <w:szCs w:val="20"/>
          <w:color w:val="auto"/>
        </w:rPr>
      </w:pPr>
    </w:p>
    <w:p>
      <w:pPr>
        <w:ind w:left="1060" w:hanging="316"/>
        <w:spacing w:after="0" w:line="23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generally means Dr. Pomerantz’s (i) failure to substantially perform his duties with us (other than due to disability) or materially comply with our policies; (ii) material failure to carry out or comply with any lawful and reasonable directive of our board of directors; (iii) breach of a material provision of his employment agreement; (iv) conviction, plea of no contest or imposition of unadjudicated probation for any felony or crime involving moral turpitude; (v) unlawful use (including being under the influence) or possession of illegal drugs on our (or our affiliate’s) premises or while performing his duties and responsibilities under his employment agreement; or (vi) commission of an act of fraud, embezzlement, misappropriation, willful misconduct or breach of fiduciary duty against us or any of our affiliates.</w:t>
      </w:r>
    </w:p>
    <w:p>
      <w:pPr>
        <w:spacing w:after="0" w:line="27" w:lineRule="exact"/>
        <w:rPr>
          <w:rFonts w:ascii="Arial" w:cs="Arial" w:eastAsia="Arial" w:hAnsi="Arial"/>
          <w:sz w:val="18"/>
          <w:szCs w:val="18"/>
          <w:color w:val="auto"/>
        </w:rPr>
      </w:pPr>
    </w:p>
    <w:p>
      <w:pPr>
        <w:ind w:left="1060" w:right="200" w:hanging="316"/>
        <w:spacing w:after="0" w:line="239"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“Good reason” generally means, subject to certain notice requirements and cure rights, without Dr. Pomerantz’s consent, (i) a reduction in his base salary (except for a reduction of less than 10% contemporaneously affecting other senior executives); (ii) a material reduction in his authority or areas of responsibility; or (iii) a relocation of his primary office more than 50 miles outside of the Boston metropolitan area.</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Michele Trucksis and Eric Shaff</w:t>
      </w:r>
    </w:p>
    <w:p>
      <w:pPr>
        <w:spacing w:after="0" w:line="85" w:lineRule="exact"/>
        <w:rPr>
          <w:sz w:val="20"/>
          <w:szCs w:val="20"/>
          <w:color w:val="auto"/>
        </w:rPr>
      </w:pPr>
    </w:p>
    <w:p>
      <w:pPr>
        <w:ind w:left="200" w:right="300"/>
        <w:spacing w:after="0"/>
        <w:rPr>
          <w:sz w:val="20"/>
          <w:szCs w:val="20"/>
          <w:color w:val="auto"/>
        </w:rPr>
      </w:pPr>
      <w:r>
        <w:rPr>
          <w:rFonts w:ascii="Arial" w:cs="Arial" w:eastAsia="Arial" w:hAnsi="Arial"/>
          <w:sz w:val="18"/>
          <w:szCs w:val="18"/>
          <w:color w:val="auto"/>
        </w:rPr>
        <w:t>The employment agreements with Dr. Trucksis and Mr. Shaff entitle them to initial annual base salaries of $364,000 and $324,000, respectively, subject to periodic review and adjustment by our board of directors or Compensation Committee, and annual target bonus opportunities of 40% of their annual base salaries.</w:t>
      </w:r>
    </w:p>
    <w:p>
      <w:pPr>
        <w:spacing w:after="0" w:line="68"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In the event either of Dr. Trucksis and Mr. Shaff is terminated by us without cause or resigns for good reason, subject to his or her timely executing a release of claims in our favor, Dr. Trucksis and Mr. Shaff is each entitled to receive 12 months of continued base salary and up to 12 months of continued medical, dental or vision coverage pursuant to COBRA, if elected. If either of Dr. Trucksis or Mr. Shaff’s termination occurs within 60 days prior to or 12 months following a change in control, the executive is also entitled to accelerated vesting of time-based equity awards that he or she holds.</w:t>
      </w:r>
    </w:p>
    <w:p>
      <w:pPr>
        <w:spacing w:after="0" w:line="54" w:lineRule="exact"/>
        <w:rPr>
          <w:sz w:val="20"/>
          <w:szCs w:val="20"/>
          <w:color w:val="auto"/>
        </w:rPr>
      </w:pPr>
    </w:p>
    <w:p>
      <w:pPr>
        <w:jc w:val="both"/>
        <w:ind w:left="200" w:right="200"/>
        <w:spacing w:after="0"/>
        <w:rPr>
          <w:sz w:val="20"/>
          <w:szCs w:val="20"/>
          <w:color w:val="auto"/>
        </w:rPr>
      </w:pPr>
      <w:r>
        <w:rPr>
          <w:rFonts w:ascii="Arial" w:cs="Arial" w:eastAsia="Arial" w:hAnsi="Arial"/>
          <w:sz w:val="18"/>
          <w:szCs w:val="18"/>
          <w:color w:val="auto"/>
        </w:rPr>
        <w:t>Each of Dr. Trucksis and Mr. Shaff has agreed to refrain from disclosing our confidential information during or at any time following his or her employment with us and from competing with us or soliciting our employees or consultants for 12 months following termination of his or her employment.</w:t>
      </w:r>
    </w:p>
    <w:p>
      <w:pPr>
        <w:spacing w:after="0" w:line="54"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For purposes of the employment agreements, “cause” and “good reason” have the same meanings as in Dr. Pomerantz’s employment agreement.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Directors who are also our employees do not receive compensation for their service on our board of directors. Dr. Pomerantz served as a director and executive officer of our company during 2017. Refer to the 2017 Summary Compensation Table and related narrative disclosure above for information regarding the compensation he received from us during 2017.</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EXECUTIVE AND DIRECTOR COMPENSATION</w:t>
      </w:r>
    </w:p>
    <w:p>
      <w:pPr>
        <w:spacing w:after="0" w:line="136"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We maintain a compensation program for our non-employee directors providing for each non-employee director to receive the following amounts for serving on our board of directors:</w:t>
      </w:r>
    </w:p>
    <w:p>
      <w:pPr>
        <w:spacing w:after="0" w:line="62" w:lineRule="exact"/>
        <w:rPr>
          <w:sz w:val="20"/>
          <w:szCs w:val="20"/>
          <w:color w:val="auto"/>
        </w:rPr>
      </w:pPr>
    </w:p>
    <w:p>
      <w:pPr>
        <w:ind w:left="1060" w:right="400" w:hanging="316"/>
        <w:spacing w:after="0" w:line="246"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option to purchase 30,000 shares of our common stock upon the director’s initial election or appointment to our board of directors;</w:t>
      </w:r>
    </w:p>
    <w:p>
      <w:pPr>
        <w:spacing w:after="0" w:line="21" w:lineRule="exact"/>
        <w:rPr>
          <w:rFonts w:ascii="Arial" w:cs="Arial" w:eastAsia="Arial" w:hAnsi="Arial"/>
          <w:sz w:val="18"/>
          <w:szCs w:val="18"/>
          <w:color w:val="auto"/>
        </w:rPr>
      </w:pPr>
    </w:p>
    <w:p>
      <w:pPr>
        <w:ind w:left="1060" w:right="200" w:hanging="316"/>
        <w:spacing w:after="0" w:line="246"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director has served on our board of directors for at least six months as of the date of an annual meeting of stockholders, an option to purchase 15,000 shares of our common stock on the date of the annual meeting;</w:t>
      </w:r>
    </w:p>
    <w:p>
      <w:pPr>
        <w:spacing w:after="0" w:line="21" w:lineRule="exact"/>
        <w:rPr>
          <w:rFonts w:ascii="Arial" w:cs="Arial" w:eastAsia="Arial" w:hAnsi="Arial"/>
          <w:sz w:val="18"/>
          <w:szCs w:val="18"/>
          <w:color w:val="auto"/>
        </w:rPr>
      </w:pPr>
    </w:p>
    <w:p>
      <w:pPr>
        <w:ind w:left="1060" w:right="140" w:hanging="316"/>
        <w:spacing w:after="0" w:line="246"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director fee of $35,000, and if the director serves as chairman of our board of directors or lead independent director, an additional annual director fee of $20,000; and</w:t>
      </w:r>
    </w:p>
    <w:p>
      <w:pPr>
        <w:spacing w:after="0" w:line="21"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director serves on a committee of our board of directors, an additional annual fee as follows:</w:t>
      </w:r>
    </w:p>
    <w:p>
      <w:pPr>
        <w:spacing w:after="0" w:line="36"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chairman of the audit committee—$15,000;</w:t>
      </w:r>
    </w:p>
    <w:p>
      <w:pPr>
        <w:spacing w:after="0" w:line="49"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audit committee member other than the chairman—$7,500;</w:t>
      </w:r>
    </w:p>
    <w:p>
      <w:pPr>
        <w:spacing w:after="0" w:line="49"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chairman of the compensation committee—$10,000;</w:t>
      </w:r>
    </w:p>
    <w:p>
      <w:pPr>
        <w:spacing w:after="0" w:line="49"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chairman—$5,000;</w:t>
      </w:r>
    </w:p>
    <w:p>
      <w:pPr>
        <w:spacing w:after="0" w:line="49"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committee—$7,000; and</w:t>
      </w:r>
    </w:p>
    <w:p>
      <w:pPr>
        <w:spacing w:after="0" w:line="49" w:lineRule="exact"/>
        <w:rPr>
          <w:rFonts w:ascii="Arial" w:cs="Arial" w:eastAsia="Arial" w:hAnsi="Arial"/>
          <w:sz w:val="18"/>
          <w:szCs w:val="18"/>
          <w:color w:val="auto"/>
        </w:rPr>
      </w:pPr>
    </w:p>
    <w:p>
      <w:pPr>
        <w:ind w:left="1300" w:hanging="21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chairman—$3,500.</w:t>
      </w:r>
    </w:p>
    <w:p>
      <w:pPr>
        <w:spacing w:after="0" w:line="50"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Stock options granted to our non-employee directors under the program have an exercise price equal to the fair market value of our common stock on the grant date. The stock options granted upon a director’s initial election or appointment vest in four annual installments following the grant date. The stock options granted annually to directors vest in a single installment on the earlier of the day before the next annual meeting of stockholders or the first anniversary of the grant date. In addition, all unvested stock options vest in full immediately prior to a change in control.</w:t>
      </w:r>
    </w:p>
    <w:p>
      <w:pPr>
        <w:spacing w:after="0" w:line="54"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2017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50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b w:val="1"/>
                <w:bCs w:val="1"/>
                <w:color w:val="auto"/>
              </w:rPr>
              <w:t>Name</w:t>
            </w:r>
          </w:p>
        </w:tc>
        <w:tc>
          <w:tcPr>
            <w:tcW w:w="4260" w:type="dxa"/>
            <w:vAlign w:val="bottom"/>
            <w:tcBorders>
              <w:bottom w:val="single" w:sz="8" w:color="auto"/>
            </w:tcBorders>
            <w:gridSpan w:val="2"/>
            <w:shd w:val="clear" w:color="auto" w:fill="D8D8D8"/>
          </w:tcPr>
          <w:p>
            <w:pPr>
              <w:ind w:left="1980"/>
              <w:spacing w:after="0"/>
              <w:rPr>
                <w:sz w:val="20"/>
                <w:szCs w:val="20"/>
                <w:color w:val="auto"/>
              </w:rPr>
            </w:pPr>
            <w:r>
              <w:rPr>
                <w:rFonts w:ascii="Arial" w:cs="Arial" w:eastAsia="Arial" w:hAnsi="Arial"/>
                <w:sz w:val="14"/>
                <w:szCs w:val="14"/>
                <w:b w:val="1"/>
                <w:bCs w:val="1"/>
                <w:color w:val="auto"/>
              </w:rPr>
              <w:t>Fees Earned or Paid in Cash ($)</w:t>
            </w:r>
          </w:p>
        </w:tc>
        <w:tc>
          <w:tcPr>
            <w:tcW w:w="142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4"/>
                <w:szCs w:val="14"/>
                <w:b w:val="1"/>
                <w:bCs w:val="1"/>
                <w:color w:val="auto"/>
                <w:w w:val="95"/>
              </w:rPr>
              <w:t>Option Awards ($)</w:t>
            </w:r>
            <w:r>
              <w:rPr>
                <w:rFonts w:ascii="Arial" w:cs="Arial" w:eastAsia="Arial" w:hAnsi="Arial"/>
                <w:sz w:val="11"/>
                <w:szCs w:val="11"/>
                <w:b w:val="1"/>
                <w:bCs w:val="1"/>
                <w:color w:val="auto"/>
                <w:w w:val="95"/>
              </w:rPr>
              <w:t>(1)</w:t>
            </w:r>
          </w:p>
        </w:tc>
        <w:tc>
          <w:tcPr>
            <w:tcW w:w="580" w:type="dxa"/>
            <w:vAlign w:val="bottom"/>
            <w:tcBorders>
              <w:bottom w:val="single" w:sz="8" w:color="auto"/>
            </w:tcBorders>
            <w:shd w:val="clear" w:color="auto" w:fill="D8D8D8"/>
          </w:tcPr>
          <w:p>
            <w:pPr>
              <w:spacing w:after="0"/>
              <w:rPr>
                <w:sz w:val="14"/>
                <w:szCs w:val="14"/>
                <w:color w:val="auto"/>
              </w:rPr>
            </w:pPr>
          </w:p>
        </w:tc>
        <w:tc>
          <w:tcPr>
            <w:tcW w:w="280" w:type="dxa"/>
            <w:vAlign w:val="bottom"/>
            <w:tcBorders>
              <w:bottom w:val="single" w:sz="8" w:color="auto"/>
            </w:tcBorders>
            <w:shd w:val="clear" w:color="auto" w:fill="D8D8D8"/>
          </w:tcPr>
          <w:p>
            <w:pPr>
              <w:spacing w:after="0"/>
              <w:rPr>
                <w:sz w:val="14"/>
                <w:szCs w:val="14"/>
                <w:color w:val="auto"/>
              </w:rPr>
            </w:pPr>
          </w:p>
        </w:tc>
        <w:tc>
          <w:tcPr>
            <w:tcW w:w="980" w:type="dxa"/>
            <w:vAlign w:val="bottom"/>
            <w:tcBorders>
              <w:bottom w:val="single" w:sz="8" w:color="auto"/>
            </w:tcBorders>
            <w:shd w:val="clear" w:color="auto" w:fill="D8D8D8"/>
          </w:tcPr>
          <w:p>
            <w:pPr>
              <w:jc w:val="right"/>
              <w:ind w:right="29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6"/>
        </w:trPr>
        <w:tc>
          <w:tcPr>
            <w:tcW w:w="3500" w:type="dxa"/>
            <w:vAlign w:val="bottom"/>
          </w:tcPr>
          <w:p>
            <w:pPr>
              <w:ind w:left="60"/>
              <w:spacing w:after="0" w:line="156" w:lineRule="exact"/>
              <w:rPr>
                <w:sz w:val="20"/>
                <w:szCs w:val="20"/>
                <w:color w:val="auto"/>
              </w:rPr>
            </w:pPr>
            <w:r>
              <w:rPr>
                <w:rFonts w:ascii="Arial" w:cs="Arial" w:eastAsia="Arial" w:hAnsi="Arial"/>
                <w:sz w:val="14"/>
                <w:szCs w:val="14"/>
                <w:color w:val="auto"/>
              </w:rPr>
              <w:t>Noubar B. Afeyan, Ph.D.</w:t>
            </w:r>
          </w:p>
        </w:tc>
        <w:tc>
          <w:tcPr>
            <w:tcW w:w="2900" w:type="dxa"/>
            <w:vAlign w:val="bottom"/>
          </w:tcPr>
          <w:p>
            <w:pPr>
              <w:ind w:left="1980"/>
              <w:spacing w:after="0" w:line="156"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2"/>
              <w:spacing w:after="0" w:line="156" w:lineRule="exact"/>
              <w:rPr>
                <w:sz w:val="20"/>
                <w:szCs w:val="20"/>
                <w:color w:val="auto"/>
              </w:rPr>
            </w:pPr>
            <w:r>
              <w:rPr>
                <w:rFonts w:ascii="Arial" w:cs="Arial" w:eastAsia="Arial" w:hAnsi="Arial"/>
                <w:sz w:val="14"/>
                <w:szCs w:val="14"/>
                <w:color w:val="auto"/>
              </w:rPr>
              <w:t>82,375</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32"/>
              <w:spacing w:after="0"/>
              <w:rPr>
                <w:sz w:val="20"/>
                <w:szCs w:val="20"/>
                <w:color w:val="auto"/>
              </w:rPr>
            </w:pPr>
            <w:r>
              <w:rPr>
                <w:rFonts w:ascii="Arial" w:cs="Arial" w:eastAsia="Arial" w:hAnsi="Arial"/>
                <w:sz w:val="14"/>
                <w:szCs w:val="14"/>
                <w:color w:val="auto"/>
                <w:w w:val="90"/>
              </w:rPr>
              <w:t>115,671</w:t>
            </w:r>
          </w:p>
        </w:tc>
        <w:tc>
          <w:tcPr>
            <w:tcW w:w="28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color w:val="auto"/>
              </w:rPr>
              <w:t>198,046</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50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4"/>
                <w:szCs w:val="14"/>
                <w:color w:val="auto"/>
              </w:rPr>
              <w:t>Willard H. Dere, M.D.</w:t>
            </w:r>
          </w:p>
        </w:tc>
        <w:tc>
          <w:tcPr>
            <w:tcW w:w="2900" w:type="dxa"/>
            <w:vAlign w:val="bottom"/>
            <w:tcBorders>
              <w:bottom w:val="single" w:sz="8" w:color="D8D8D8"/>
            </w:tcBorders>
            <w:shd w:val="clear" w:color="auto" w:fill="D8D8D8"/>
          </w:tcPr>
          <w:p>
            <w:pPr>
              <w:ind w:left="19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8D8D8"/>
            </w:tcBorders>
            <w:shd w:val="clear" w:color="auto" w:fill="D8D8D8"/>
          </w:tcPr>
          <w:p>
            <w:pPr>
              <w:jc w:val="right"/>
              <w:ind w:right="32"/>
              <w:spacing w:after="0"/>
              <w:rPr>
                <w:sz w:val="20"/>
                <w:szCs w:val="20"/>
                <w:color w:val="auto"/>
              </w:rPr>
            </w:pPr>
            <w:r>
              <w:rPr>
                <w:rFonts w:ascii="Arial" w:cs="Arial" w:eastAsia="Arial" w:hAnsi="Arial"/>
                <w:sz w:val="14"/>
                <w:szCs w:val="14"/>
                <w:color w:val="auto"/>
              </w:rPr>
              <w:t>21,250</w:t>
            </w:r>
          </w:p>
        </w:tc>
        <w:tc>
          <w:tcPr>
            <w:tcW w:w="142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8D8D8"/>
            </w:tcBorders>
            <w:shd w:val="clear" w:color="auto" w:fill="D8D8D8"/>
          </w:tcPr>
          <w:p>
            <w:pPr>
              <w:jc w:val="right"/>
              <w:ind w:right="32"/>
              <w:spacing w:after="0"/>
              <w:rPr>
                <w:sz w:val="20"/>
                <w:szCs w:val="20"/>
                <w:color w:val="auto"/>
              </w:rPr>
            </w:pPr>
            <w:r>
              <w:rPr>
                <w:rFonts w:ascii="Arial" w:cs="Arial" w:eastAsia="Arial" w:hAnsi="Arial"/>
                <w:sz w:val="14"/>
                <w:szCs w:val="14"/>
                <w:color w:val="auto"/>
                <w:w w:val="90"/>
              </w:rPr>
              <w:t>229,896</w:t>
            </w:r>
          </w:p>
        </w:tc>
        <w:tc>
          <w:tcPr>
            <w:tcW w:w="280" w:type="dxa"/>
            <w:vAlign w:val="bottom"/>
            <w:tcBorders>
              <w:bottom w:val="single" w:sz="8" w:color="D8D8D8"/>
            </w:tcBorders>
            <w:shd w:val="clear" w:color="auto" w:fill="D8D8D8"/>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8D8D8"/>
            </w:tcBorders>
            <w:shd w:val="clear" w:color="auto" w:fill="D8D8D8"/>
          </w:tcPr>
          <w:p>
            <w:pPr>
              <w:jc w:val="right"/>
              <w:ind w:right="32"/>
              <w:spacing w:after="0"/>
              <w:rPr>
                <w:sz w:val="20"/>
                <w:szCs w:val="20"/>
                <w:color w:val="auto"/>
              </w:rPr>
            </w:pPr>
            <w:r>
              <w:rPr>
                <w:rFonts w:ascii="Arial" w:cs="Arial" w:eastAsia="Arial" w:hAnsi="Arial"/>
                <w:sz w:val="14"/>
                <w:szCs w:val="14"/>
                <w:color w:val="auto"/>
              </w:rPr>
              <w:t>251,146</w:t>
            </w:r>
          </w:p>
        </w:tc>
        <w:tc>
          <w:tcPr>
            <w:tcW w:w="0" w:type="dxa"/>
            <w:vAlign w:val="bottom"/>
          </w:tcPr>
          <w:p>
            <w:pPr>
              <w:spacing w:after="0"/>
              <w:rPr>
                <w:sz w:val="1"/>
                <w:szCs w:val="1"/>
                <w:color w:val="auto"/>
              </w:rPr>
            </w:pPr>
          </w:p>
        </w:tc>
      </w:tr>
      <w:tr>
        <w:trPr>
          <w:trHeight w:val="162"/>
        </w:trPr>
        <w:tc>
          <w:tcPr>
            <w:tcW w:w="3500" w:type="dxa"/>
            <w:vAlign w:val="bottom"/>
          </w:tcPr>
          <w:p>
            <w:pPr>
              <w:ind w:left="60"/>
              <w:spacing w:after="0"/>
              <w:rPr>
                <w:sz w:val="20"/>
                <w:szCs w:val="20"/>
                <w:color w:val="auto"/>
              </w:rPr>
            </w:pPr>
            <w:r>
              <w:rPr>
                <w:rFonts w:ascii="Arial" w:cs="Arial" w:eastAsia="Arial" w:hAnsi="Arial"/>
                <w:sz w:val="14"/>
                <w:szCs w:val="14"/>
                <w:color w:val="auto"/>
              </w:rPr>
              <w:t>Lorence H. Kim, M.D.</w:t>
            </w:r>
          </w:p>
        </w:tc>
        <w:tc>
          <w:tcPr>
            <w:tcW w:w="2900" w:type="dxa"/>
            <w:vAlign w:val="bottom"/>
          </w:tcPr>
          <w:p>
            <w:pPr>
              <w:ind w:left="19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50,625</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32"/>
              <w:spacing w:after="0"/>
              <w:rPr>
                <w:sz w:val="20"/>
                <w:szCs w:val="20"/>
                <w:color w:val="auto"/>
              </w:rPr>
            </w:pPr>
            <w:r>
              <w:rPr>
                <w:rFonts w:ascii="Arial" w:cs="Arial" w:eastAsia="Arial" w:hAnsi="Arial"/>
                <w:sz w:val="14"/>
                <w:szCs w:val="14"/>
                <w:color w:val="auto"/>
                <w:w w:val="90"/>
              </w:rPr>
              <w:t>115,671</w:t>
            </w:r>
          </w:p>
        </w:tc>
        <w:tc>
          <w:tcPr>
            <w:tcW w:w="28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color w:val="auto"/>
              </w:rPr>
              <w:t>166,296</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50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4"/>
                <w:szCs w:val="14"/>
                <w:color w:val="auto"/>
              </w:rPr>
              <w:t>Richard N. Kender</w:t>
            </w:r>
          </w:p>
        </w:tc>
        <w:tc>
          <w:tcPr>
            <w:tcW w:w="2900" w:type="dxa"/>
            <w:vAlign w:val="bottom"/>
            <w:tcBorders>
              <w:bottom w:val="single" w:sz="8" w:color="D8D8D8"/>
            </w:tcBorders>
            <w:shd w:val="clear" w:color="auto" w:fill="D8D8D8"/>
          </w:tcPr>
          <w:p>
            <w:pPr>
              <w:ind w:left="19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8D8D8"/>
            </w:tcBorders>
            <w:shd w:val="clear" w:color="auto" w:fill="D8D8D8"/>
          </w:tcPr>
          <w:p>
            <w:pPr>
              <w:jc w:val="right"/>
              <w:ind w:right="32"/>
              <w:spacing w:after="0"/>
              <w:rPr>
                <w:sz w:val="20"/>
                <w:szCs w:val="20"/>
                <w:color w:val="auto"/>
              </w:rPr>
            </w:pPr>
            <w:r>
              <w:rPr>
                <w:rFonts w:ascii="Arial" w:cs="Arial" w:eastAsia="Arial" w:hAnsi="Arial"/>
                <w:sz w:val="14"/>
                <w:szCs w:val="14"/>
                <w:color w:val="auto"/>
              </w:rPr>
              <w:t>68,750</w:t>
            </w:r>
          </w:p>
        </w:tc>
        <w:tc>
          <w:tcPr>
            <w:tcW w:w="142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8D8D8"/>
            </w:tcBorders>
            <w:shd w:val="clear" w:color="auto" w:fill="D8D8D8"/>
          </w:tcPr>
          <w:p>
            <w:pPr>
              <w:jc w:val="right"/>
              <w:ind w:right="32"/>
              <w:spacing w:after="0"/>
              <w:rPr>
                <w:sz w:val="20"/>
                <w:szCs w:val="20"/>
                <w:color w:val="auto"/>
              </w:rPr>
            </w:pPr>
            <w:r>
              <w:rPr>
                <w:rFonts w:ascii="Arial" w:cs="Arial" w:eastAsia="Arial" w:hAnsi="Arial"/>
                <w:sz w:val="14"/>
                <w:szCs w:val="14"/>
                <w:color w:val="auto"/>
                <w:w w:val="90"/>
              </w:rPr>
              <w:t>115,671</w:t>
            </w:r>
          </w:p>
        </w:tc>
        <w:tc>
          <w:tcPr>
            <w:tcW w:w="280" w:type="dxa"/>
            <w:vAlign w:val="bottom"/>
            <w:tcBorders>
              <w:bottom w:val="single" w:sz="8" w:color="D8D8D8"/>
            </w:tcBorders>
            <w:shd w:val="clear" w:color="auto" w:fill="D8D8D8"/>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8D8D8"/>
            </w:tcBorders>
            <w:shd w:val="clear" w:color="auto" w:fill="D8D8D8"/>
          </w:tcPr>
          <w:p>
            <w:pPr>
              <w:jc w:val="right"/>
              <w:ind w:right="32"/>
              <w:spacing w:after="0"/>
              <w:rPr>
                <w:sz w:val="20"/>
                <w:szCs w:val="20"/>
                <w:color w:val="auto"/>
              </w:rPr>
            </w:pPr>
            <w:r>
              <w:rPr>
                <w:rFonts w:ascii="Arial" w:cs="Arial" w:eastAsia="Arial" w:hAnsi="Arial"/>
                <w:sz w:val="14"/>
                <w:szCs w:val="14"/>
                <w:color w:val="auto"/>
              </w:rPr>
              <w:t>184,421</w:t>
            </w:r>
          </w:p>
        </w:tc>
        <w:tc>
          <w:tcPr>
            <w:tcW w:w="0" w:type="dxa"/>
            <w:vAlign w:val="bottom"/>
          </w:tcPr>
          <w:p>
            <w:pPr>
              <w:spacing w:after="0"/>
              <w:rPr>
                <w:sz w:val="1"/>
                <w:szCs w:val="1"/>
                <w:color w:val="auto"/>
              </w:rPr>
            </w:pPr>
          </w:p>
        </w:tc>
      </w:tr>
      <w:tr>
        <w:trPr>
          <w:trHeight w:val="162"/>
        </w:trPr>
        <w:tc>
          <w:tcPr>
            <w:tcW w:w="3500" w:type="dxa"/>
            <w:vAlign w:val="bottom"/>
          </w:tcPr>
          <w:p>
            <w:pPr>
              <w:ind w:left="60"/>
              <w:spacing w:after="0"/>
              <w:rPr>
                <w:sz w:val="20"/>
                <w:szCs w:val="20"/>
                <w:color w:val="auto"/>
              </w:rPr>
            </w:pPr>
            <w:r>
              <w:rPr>
                <w:rFonts w:ascii="Arial" w:cs="Arial" w:eastAsia="Arial" w:hAnsi="Arial"/>
                <w:sz w:val="14"/>
                <w:szCs w:val="14"/>
                <w:color w:val="auto"/>
              </w:rPr>
              <w:t>Grégory Behar</w:t>
            </w:r>
          </w:p>
        </w:tc>
        <w:tc>
          <w:tcPr>
            <w:tcW w:w="2900" w:type="dxa"/>
            <w:vAlign w:val="bottom"/>
          </w:tcPr>
          <w:p>
            <w:pPr>
              <w:ind w:left="19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45,500</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32"/>
              <w:spacing w:after="0"/>
              <w:rPr>
                <w:sz w:val="20"/>
                <w:szCs w:val="20"/>
                <w:color w:val="auto"/>
              </w:rPr>
            </w:pPr>
            <w:r>
              <w:rPr>
                <w:rFonts w:ascii="Arial" w:cs="Arial" w:eastAsia="Arial" w:hAnsi="Arial"/>
                <w:sz w:val="14"/>
                <w:szCs w:val="14"/>
                <w:color w:val="auto"/>
                <w:w w:val="90"/>
              </w:rPr>
              <w:t>115,671</w:t>
            </w:r>
          </w:p>
        </w:tc>
        <w:tc>
          <w:tcPr>
            <w:tcW w:w="28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color w:val="auto"/>
              </w:rPr>
              <w:t>161,171</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50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4"/>
                <w:szCs w:val="14"/>
                <w:color w:val="auto"/>
              </w:rPr>
              <w:t>Dennis A. Ausiello, M.D.</w:t>
            </w:r>
          </w:p>
        </w:tc>
        <w:tc>
          <w:tcPr>
            <w:tcW w:w="2900" w:type="dxa"/>
            <w:vAlign w:val="bottom"/>
            <w:tcBorders>
              <w:bottom w:val="single" w:sz="8" w:color="D8D8D8"/>
            </w:tcBorders>
            <w:shd w:val="clear" w:color="auto" w:fill="D8D8D8"/>
          </w:tcPr>
          <w:p>
            <w:pPr>
              <w:ind w:left="19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8D8D8"/>
            </w:tcBorders>
            <w:shd w:val="clear" w:color="auto" w:fill="D8D8D8"/>
          </w:tcPr>
          <w:p>
            <w:pPr>
              <w:jc w:val="right"/>
              <w:ind w:right="32"/>
              <w:spacing w:after="0"/>
              <w:rPr>
                <w:sz w:val="20"/>
                <w:szCs w:val="20"/>
                <w:color w:val="auto"/>
              </w:rPr>
            </w:pPr>
            <w:r>
              <w:rPr>
                <w:rFonts w:ascii="Arial" w:cs="Arial" w:eastAsia="Arial" w:hAnsi="Arial"/>
                <w:sz w:val="14"/>
                <w:szCs w:val="14"/>
                <w:color w:val="auto"/>
              </w:rPr>
              <w:t>55,750</w:t>
            </w:r>
          </w:p>
        </w:tc>
        <w:tc>
          <w:tcPr>
            <w:tcW w:w="142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8D8D8"/>
            </w:tcBorders>
            <w:shd w:val="clear" w:color="auto" w:fill="D8D8D8"/>
          </w:tcPr>
          <w:p>
            <w:pPr>
              <w:jc w:val="right"/>
              <w:ind w:right="32"/>
              <w:spacing w:after="0"/>
              <w:rPr>
                <w:sz w:val="20"/>
                <w:szCs w:val="20"/>
                <w:color w:val="auto"/>
              </w:rPr>
            </w:pPr>
            <w:r>
              <w:rPr>
                <w:rFonts w:ascii="Arial" w:cs="Arial" w:eastAsia="Arial" w:hAnsi="Arial"/>
                <w:sz w:val="14"/>
                <w:szCs w:val="14"/>
                <w:color w:val="auto"/>
                <w:w w:val="90"/>
              </w:rPr>
              <w:t>115,671</w:t>
            </w:r>
          </w:p>
        </w:tc>
        <w:tc>
          <w:tcPr>
            <w:tcW w:w="280" w:type="dxa"/>
            <w:vAlign w:val="bottom"/>
            <w:tcBorders>
              <w:bottom w:val="single" w:sz="8" w:color="D8D8D8"/>
            </w:tcBorders>
            <w:shd w:val="clear" w:color="auto" w:fill="D8D8D8"/>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8D8D8"/>
            </w:tcBorders>
            <w:shd w:val="clear" w:color="auto" w:fill="D8D8D8"/>
          </w:tcPr>
          <w:p>
            <w:pPr>
              <w:jc w:val="right"/>
              <w:ind w:right="32"/>
              <w:spacing w:after="0"/>
              <w:rPr>
                <w:sz w:val="20"/>
                <w:szCs w:val="20"/>
                <w:color w:val="auto"/>
              </w:rPr>
            </w:pPr>
            <w:r>
              <w:rPr>
                <w:rFonts w:ascii="Arial" w:cs="Arial" w:eastAsia="Arial" w:hAnsi="Arial"/>
                <w:sz w:val="14"/>
                <w:szCs w:val="14"/>
                <w:color w:val="auto"/>
              </w:rPr>
              <w:t>171,421</w:t>
            </w:r>
          </w:p>
        </w:tc>
        <w:tc>
          <w:tcPr>
            <w:tcW w:w="0" w:type="dxa"/>
            <w:vAlign w:val="bottom"/>
          </w:tcPr>
          <w:p>
            <w:pPr>
              <w:spacing w:after="0"/>
              <w:rPr>
                <w:sz w:val="1"/>
                <w:szCs w:val="1"/>
                <w:color w:val="auto"/>
              </w:rPr>
            </w:pPr>
          </w:p>
        </w:tc>
      </w:tr>
      <w:tr>
        <w:trPr>
          <w:trHeight w:val="162"/>
        </w:trPr>
        <w:tc>
          <w:tcPr>
            <w:tcW w:w="3500" w:type="dxa"/>
            <w:vAlign w:val="bottom"/>
          </w:tcPr>
          <w:p>
            <w:pPr>
              <w:ind w:left="60"/>
              <w:spacing w:after="0"/>
              <w:rPr>
                <w:sz w:val="20"/>
                <w:szCs w:val="20"/>
                <w:color w:val="auto"/>
              </w:rPr>
            </w:pPr>
            <w:r>
              <w:rPr>
                <w:rFonts w:ascii="Arial" w:cs="Arial" w:eastAsia="Arial" w:hAnsi="Arial"/>
                <w:sz w:val="14"/>
                <w:szCs w:val="14"/>
                <w:color w:val="auto"/>
              </w:rPr>
              <w:t>Kurt C. Graves</w:t>
            </w:r>
          </w:p>
        </w:tc>
        <w:tc>
          <w:tcPr>
            <w:tcW w:w="2900" w:type="dxa"/>
            <w:vAlign w:val="bottom"/>
          </w:tcPr>
          <w:p>
            <w:pPr>
              <w:ind w:left="19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54,375</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32"/>
              <w:spacing w:after="0"/>
              <w:rPr>
                <w:sz w:val="20"/>
                <w:szCs w:val="20"/>
                <w:color w:val="auto"/>
              </w:rPr>
            </w:pPr>
            <w:r>
              <w:rPr>
                <w:rFonts w:ascii="Arial" w:cs="Arial" w:eastAsia="Arial" w:hAnsi="Arial"/>
                <w:sz w:val="14"/>
                <w:szCs w:val="14"/>
                <w:color w:val="auto"/>
                <w:w w:val="90"/>
              </w:rPr>
              <w:t>115,671</w:t>
            </w:r>
          </w:p>
        </w:tc>
        <w:tc>
          <w:tcPr>
            <w:tcW w:w="28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color w:val="auto"/>
              </w:rPr>
              <w:t>170,046</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D8D8D8"/>
          </w:tcPr>
          <w:p>
            <w:pPr>
              <w:ind w:left="60"/>
              <w:spacing w:after="0" w:line="149" w:lineRule="exact"/>
              <w:rPr>
                <w:sz w:val="20"/>
                <w:szCs w:val="20"/>
                <w:color w:val="auto"/>
              </w:rPr>
            </w:pPr>
            <w:r>
              <w:rPr>
                <w:rFonts w:ascii="Arial" w:cs="Arial" w:eastAsia="Arial" w:hAnsi="Arial"/>
                <w:sz w:val="14"/>
                <w:szCs w:val="14"/>
                <w:color w:val="auto"/>
              </w:rPr>
              <w:t>Peter Barton Hutt</w:t>
            </w:r>
            <w:r>
              <w:rPr>
                <w:rFonts w:ascii="Arial" w:cs="Arial" w:eastAsia="Arial" w:hAnsi="Arial"/>
                <w:sz w:val="11"/>
                <w:szCs w:val="11"/>
                <w:color w:val="auto"/>
              </w:rPr>
              <w:t>(2)</w:t>
            </w:r>
          </w:p>
        </w:tc>
        <w:tc>
          <w:tcPr>
            <w:tcW w:w="2900" w:type="dxa"/>
            <w:vAlign w:val="bottom"/>
            <w:shd w:val="clear" w:color="auto" w:fill="D8D8D8"/>
          </w:tcPr>
          <w:p>
            <w:pPr>
              <w:ind w:left="198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34,075</w:t>
            </w:r>
          </w:p>
        </w:tc>
        <w:tc>
          <w:tcPr>
            <w:tcW w:w="1420" w:type="dxa"/>
            <w:vAlign w:val="bottom"/>
            <w:shd w:val="clear" w:color="auto" w:fill="D8D8D8"/>
          </w:tcPr>
          <w:p>
            <w:pPr>
              <w:spacing w:after="0"/>
              <w:rPr>
                <w:sz w:val="12"/>
                <w:szCs w:val="12"/>
                <w:color w:val="auto"/>
              </w:rPr>
            </w:pPr>
          </w:p>
        </w:tc>
        <w:tc>
          <w:tcPr>
            <w:tcW w:w="58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D8D8D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34,075</w:t>
            </w:r>
          </w:p>
        </w:tc>
        <w:tc>
          <w:tcPr>
            <w:tcW w:w="0" w:type="dxa"/>
            <w:vAlign w:val="bottom"/>
          </w:tcPr>
          <w:p>
            <w:pPr>
              <w:spacing w:after="0"/>
              <w:rPr>
                <w:sz w:val="1"/>
                <w:szCs w:val="1"/>
                <w:color w:val="auto"/>
              </w:rPr>
            </w:pPr>
          </w:p>
        </w:tc>
      </w:tr>
      <w:tr>
        <w:trPr>
          <w:trHeight w:val="54"/>
        </w:trPr>
        <w:tc>
          <w:tcPr>
            <w:tcW w:w="35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20" w:right="40" w:hanging="316"/>
        <w:spacing w:after="0" w:line="226"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option awards granted during 2017 computed in accordance with FASB ASC Topic 718. For a description of the assumptions used in valuing these awards, see Notes 2 and 8 to our audited consolidated financial statements included in the Company’s Annual Report on Form 10-K for the fiscal year ended December 31, 2017. The table below shows the number of option awards held as of December 31, 2017 by each of our directors who are not NEOs. None of our directors held unvested stock awards as of that date.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860" w:type="dxa"/>
            <w:vAlign w:val="bottom"/>
            <w:gridSpan w:val="3"/>
          </w:tcPr>
          <w:p>
            <w:pPr>
              <w:spacing w:after="0"/>
              <w:rPr>
                <w:sz w:val="20"/>
                <w:szCs w:val="20"/>
                <w:color w:val="auto"/>
              </w:rPr>
            </w:pPr>
            <w:r>
              <w:rPr>
                <w:rFonts w:ascii="Arial" w:cs="Arial" w:eastAsia="Arial" w:hAnsi="Arial"/>
                <w:sz w:val="14"/>
                <w:szCs w:val="14"/>
                <w:color w:val="auto"/>
              </w:rPr>
              <w:t>EXECUTIVE AND DIRECTOR COMPENSATION</w:t>
            </w:r>
          </w:p>
        </w:tc>
        <w:tc>
          <w:tcPr>
            <w:tcW w:w="6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338"/>
        </w:trPr>
        <w:tc>
          <w:tcPr>
            <w:tcW w:w="4860" w:type="dxa"/>
            <w:vAlign w:val="bottom"/>
            <w:gridSpan w:val="3"/>
          </w:tcPr>
          <w:p>
            <w:pPr>
              <w:spacing w:after="0"/>
              <w:rPr>
                <w:sz w:val="20"/>
                <w:szCs w:val="20"/>
                <w:color w:val="auto"/>
              </w:rPr>
            </w:pPr>
            <w:r>
              <w:rPr>
                <w:rFonts w:ascii="Arial" w:cs="Arial" w:eastAsia="Arial" w:hAnsi="Arial"/>
                <w:sz w:val="14"/>
                <w:szCs w:val="14"/>
                <w:color w:val="auto"/>
              </w:rPr>
              <w:t>(2)  Mr. Hutt served on our Board until June 20, 2017.</w:t>
            </w:r>
          </w:p>
        </w:tc>
        <w:tc>
          <w:tcPr>
            <w:tcW w:w="6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36"/>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74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204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b w:val="1"/>
                <w:bCs w:val="1"/>
                <w:color w:val="auto"/>
              </w:rPr>
              <w:t>Name</w:t>
            </w:r>
          </w:p>
        </w:tc>
        <w:tc>
          <w:tcPr>
            <w:tcW w:w="2800" w:type="dxa"/>
            <w:vAlign w:val="bottom"/>
            <w:tcBorders>
              <w:bottom w:val="single" w:sz="8" w:color="auto"/>
            </w:tcBorders>
            <w:shd w:val="clear" w:color="auto" w:fill="D8D8D8"/>
          </w:tcPr>
          <w:p>
            <w:pPr>
              <w:spacing w:after="0"/>
              <w:rPr>
                <w:sz w:val="14"/>
                <w:szCs w:val="14"/>
                <w:color w:val="auto"/>
              </w:rPr>
            </w:pPr>
          </w:p>
        </w:tc>
        <w:tc>
          <w:tcPr>
            <w:tcW w:w="680" w:type="dxa"/>
            <w:vAlign w:val="bottom"/>
            <w:tcBorders>
              <w:bottom w:val="single" w:sz="8" w:color="auto"/>
            </w:tcBorders>
            <w:shd w:val="clear" w:color="auto" w:fill="D8D8D8"/>
          </w:tcPr>
          <w:p>
            <w:pPr>
              <w:spacing w:after="0"/>
              <w:rPr>
                <w:sz w:val="14"/>
                <w:szCs w:val="14"/>
                <w:color w:val="auto"/>
              </w:rPr>
            </w:pPr>
          </w:p>
        </w:tc>
        <w:tc>
          <w:tcPr>
            <w:tcW w:w="2760" w:type="dxa"/>
            <w:vAlign w:val="bottom"/>
            <w:tcBorders>
              <w:bottom w:val="single" w:sz="8" w:color="auto"/>
            </w:tcBorders>
            <w:shd w:val="clear" w:color="auto" w:fill="D8D8D8"/>
          </w:tcPr>
          <w:p>
            <w:pPr>
              <w:spacing w:after="0"/>
              <w:rPr>
                <w:sz w:val="14"/>
                <w:szCs w:val="14"/>
                <w:color w:val="auto"/>
              </w:rPr>
            </w:pPr>
          </w:p>
        </w:tc>
        <w:tc>
          <w:tcPr>
            <w:tcW w:w="27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Stock Options (#)</w:t>
            </w:r>
          </w:p>
        </w:tc>
      </w:tr>
      <w:tr>
        <w:trPr>
          <w:trHeight w:val="196"/>
        </w:trPr>
        <w:tc>
          <w:tcPr>
            <w:tcW w:w="20" w:type="dxa"/>
            <w:vAlign w:val="bottom"/>
          </w:tcPr>
          <w:p>
            <w:pPr>
              <w:spacing w:after="0"/>
              <w:rPr>
                <w:sz w:val="17"/>
                <w:szCs w:val="17"/>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Noubar B. Afeyan, Ph.D.</w:t>
            </w:r>
          </w:p>
        </w:tc>
        <w:tc>
          <w:tcPr>
            <w:tcW w:w="2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740" w:type="dxa"/>
            <w:vAlign w:val="bottom"/>
          </w:tcPr>
          <w:p>
            <w:pPr>
              <w:jc w:val="right"/>
              <w:ind w:right="32"/>
              <w:spacing w:after="0"/>
              <w:rPr>
                <w:sz w:val="20"/>
                <w:szCs w:val="20"/>
                <w:color w:val="auto"/>
              </w:rPr>
            </w:pPr>
            <w:r>
              <w:rPr>
                <w:rFonts w:ascii="Arial" w:cs="Arial" w:eastAsia="Arial" w:hAnsi="Arial"/>
                <w:sz w:val="14"/>
                <w:szCs w:val="14"/>
                <w:color w:val="auto"/>
              </w:rPr>
              <w:t>45,000</w:t>
            </w:r>
          </w:p>
        </w:tc>
      </w:tr>
      <w:tr>
        <w:trPr>
          <w:trHeight w:val="203"/>
        </w:trPr>
        <w:tc>
          <w:tcPr>
            <w:tcW w:w="20" w:type="dxa"/>
            <w:vAlign w:val="bottom"/>
          </w:tcPr>
          <w:p>
            <w:pPr>
              <w:spacing w:after="0"/>
              <w:rPr>
                <w:sz w:val="17"/>
                <w:szCs w:val="17"/>
                <w:color w:val="auto"/>
              </w:rPr>
            </w:pPr>
          </w:p>
        </w:tc>
        <w:tc>
          <w:tcPr>
            <w:tcW w:w="2040" w:type="dxa"/>
            <w:vAlign w:val="bottom"/>
            <w:shd w:val="clear" w:color="auto" w:fill="D8D8D8"/>
          </w:tcPr>
          <w:p>
            <w:pPr>
              <w:ind w:left="60"/>
              <w:spacing w:after="0"/>
              <w:rPr>
                <w:sz w:val="20"/>
                <w:szCs w:val="20"/>
                <w:color w:val="auto"/>
              </w:rPr>
            </w:pPr>
            <w:r>
              <w:rPr>
                <w:rFonts w:ascii="Arial" w:cs="Arial" w:eastAsia="Arial" w:hAnsi="Arial"/>
                <w:sz w:val="14"/>
                <w:szCs w:val="14"/>
                <w:color w:val="auto"/>
              </w:rPr>
              <w:t>Willard H. Dere, M.D.</w:t>
            </w:r>
          </w:p>
        </w:tc>
        <w:tc>
          <w:tcPr>
            <w:tcW w:w="280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2760" w:type="dxa"/>
            <w:vAlign w:val="bottom"/>
            <w:shd w:val="clear" w:color="auto" w:fill="D8D8D8"/>
          </w:tcPr>
          <w:p>
            <w:pPr>
              <w:spacing w:after="0"/>
              <w:rPr>
                <w:sz w:val="17"/>
                <w:szCs w:val="17"/>
                <w:color w:val="auto"/>
              </w:rPr>
            </w:pPr>
          </w:p>
        </w:tc>
        <w:tc>
          <w:tcPr>
            <w:tcW w:w="274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30,000</w:t>
            </w:r>
          </w:p>
        </w:tc>
      </w:tr>
      <w:tr>
        <w:trPr>
          <w:trHeight w:val="203"/>
        </w:trPr>
        <w:tc>
          <w:tcPr>
            <w:tcW w:w="20" w:type="dxa"/>
            <w:vAlign w:val="bottom"/>
          </w:tcPr>
          <w:p>
            <w:pPr>
              <w:spacing w:after="0"/>
              <w:rPr>
                <w:sz w:val="17"/>
                <w:szCs w:val="17"/>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Lorence H. Kim, M.D.</w:t>
            </w:r>
          </w:p>
        </w:tc>
        <w:tc>
          <w:tcPr>
            <w:tcW w:w="2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740" w:type="dxa"/>
            <w:vAlign w:val="bottom"/>
          </w:tcPr>
          <w:p>
            <w:pPr>
              <w:jc w:val="right"/>
              <w:ind w:right="32"/>
              <w:spacing w:after="0"/>
              <w:rPr>
                <w:sz w:val="20"/>
                <w:szCs w:val="20"/>
                <w:color w:val="auto"/>
              </w:rPr>
            </w:pPr>
            <w:r>
              <w:rPr>
                <w:rFonts w:ascii="Arial" w:cs="Arial" w:eastAsia="Arial" w:hAnsi="Arial"/>
                <w:sz w:val="14"/>
                <w:szCs w:val="14"/>
                <w:color w:val="auto"/>
              </w:rPr>
              <w:t>120,000</w:t>
            </w:r>
          </w:p>
        </w:tc>
      </w:tr>
      <w:tr>
        <w:trPr>
          <w:trHeight w:val="203"/>
        </w:trPr>
        <w:tc>
          <w:tcPr>
            <w:tcW w:w="20" w:type="dxa"/>
            <w:vAlign w:val="bottom"/>
          </w:tcPr>
          <w:p>
            <w:pPr>
              <w:spacing w:after="0"/>
              <w:rPr>
                <w:sz w:val="17"/>
                <w:szCs w:val="17"/>
                <w:color w:val="auto"/>
              </w:rPr>
            </w:pPr>
          </w:p>
        </w:tc>
        <w:tc>
          <w:tcPr>
            <w:tcW w:w="2040" w:type="dxa"/>
            <w:vAlign w:val="bottom"/>
            <w:shd w:val="clear" w:color="auto" w:fill="D8D8D8"/>
          </w:tcPr>
          <w:p>
            <w:pPr>
              <w:ind w:left="60"/>
              <w:spacing w:after="0"/>
              <w:rPr>
                <w:sz w:val="20"/>
                <w:szCs w:val="20"/>
                <w:color w:val="auto"/>
              </w:rPr>
            </w:pPr>
            <w:r>
              <w:rPr>
                <w:rFonts w:ascii="Arial" w:cs="Arial" w:eastAsia="Arial" w:hAnsi="Arial"/>
                <w:sz w:val="14"/>
                <w:szCs w:val="14"/>
                <w:color w:val="auto"/>
              </w:rPr>
              <w:t>Richard N. Kender</w:t>
            </w:r>
          </w:p>
        </w:tc>
        <w:tc>
          <w:tcPr>
            <w:tcW w:w="280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2760" w:type="dxa"/>
            <w:vAlign w:val="bottom"/>
            <w:shd w:val="clear" w:color="auto" w:fill="D8D8D8"/>
          </w:tcPr>
          <w:p>
            <w:pPr>
              <w:spacing w:after="0"/>
              <w:rPr>
                <w:sz w:val="17"/>
                <w:szCs w:val="17"/>
                <w:color w:val="auto"/>
              </w:rPr>
            </w:pPr>
          </w:p>
        </w:tc>
        <w:tc>
          <w:tcPr>
            <w:tcW w:w="274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120,000</w:t>
            </w:r>
          </w:p>
        </w:tc>
      </w:tr>
      <w:tr>
        <w:trPr>
          <w:trHeight w:val="203"/>
        </w:trPr>
        <w:tc>
          <w:tcPr>
            <w:tcW w:w="20" w:type="dxa"/>
            <w:vAlign w:val="bottom"/>
          </w:tcPr>
          <w:p>
            <w:pPr>
              <w:spacing w:after="0"/>
              <w:rPr>
                <w:sz w:val="17"/>
                <w:szCs w:val="17"/>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Grégory Behar</w:t>
            </w:r>
          </w:p>
        </w:tc>
        <w:tc>
          <w:tcPr>
            <w:tcW w:w="2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740" w:type="dxa"/>
            <w:vAlign w:val="bottom"/>
          </w:tcPr>
          <w:p>
            <w:pPr>
              <w:jc w:val="right"/>
              <w:ind w:right="32"/>
              <w:spacing w:after="0"/>
              <w:rPr>
                <w:sz w:val="20"/>
                <w:szCs w:val="20"/>
                <w:color w:val="auto"/>
              </w:rPr>
            </w:pPr>
            <w:r>
              <w:rPr>
                <w:rFonts w:ascii="Arial" w:cs="Arial" w:eastAsia="Arial" w:hAnsi="Arial"/>
                <w:sz w:val="14"/>
                <w:szCs w:val="14"/>
                <w:color w:val="auto"/>
              </w:rPr>
              <w:t>15,000</w:t>
            </w:r>
          </w:p>
        </w:tc>
      </w:tr>
      <w:tr>
        <w:trPr>
          <w:trHeight w:val="203"/>
        </w:trPr>
        <w:tc>
          <w:tcPr>
            <w:tcW w:w="20" w:type="dxa"/>
            <w:vAlign w:val="bottom"/>
          </w:tcPr>
          <w:p>
            <w:pPr>
              <w:spacing w:after="0"/>
              <w:rPr>
                <w:sz w:val="17"/>
                <w:szCs w:val="17"/>
                <w:color w:val="auto"/>
              </w:rPr>
            </w:pPr>
          </w:p>
        </w:tc>
        <w:tc>
          <w:tcPr>
            <w:tcW w:w="2040" w:type="dxa"/>
            <w:vAlign w:val="bottom"/>
            <w:shd w:val="clear" w:color="auto" w:fill="D8D8D8"/>
          </w:tcPr>
          <w:p>
            <w:pPr>
              <w:ind w:left="60"/>
              <w:spacing w:after="0"/>
              <w:rPr>
                <w:sz w:val="20"/>
                <w:szCs w:val="20"/>
                <w:color w:val="auto"/>
              </w:rPr>
            </w:pPr>
            <w:r>
              <w:rPr>
                <w:rFonts w:ascii="Arial" w:cs="Arial" w:eastAsia="Arial" w:hAnsi="Arial"/>
                <w:sz w:val="14"/>
                <w:szCs w:val="14"/>
                <w:color w:val="auto"/>
              </w:rPr>
              <w:t>Dennis A. Ausiello, M.D.</w:t>
            </w:r>
          </w:p>
        </w:tc>
        <w:tc>
          <w:tcPr>
            <w:tcW w:w="280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2760" w:type="dxa"/>
            <w:vAlign w:val="bottom"/>
            <w:shd w:val="clear" w:color="auto" w:fill="D8D8D8"/>
          </w:tcPr>
          <w:p>
            <w:pPr>
              <w:spacing w:after="0"/>
              <w:rPr>
                <w:sz w:val="17"/>
                <w:szCs w:val="17"/>
                <w:color w:val="auto"/>
              </w:rPr>
            </w:pPr>
          </w:p>
        </w:tc>
        <w:tc>
          <w:tcPr>
            <w:tcW w:w="274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105,000</w:t>
            </w:r>
          </w:p>
        </w:tc>
      </w:tr>
      <w:tr>
        <w:trPr>
          <w:trHeight w:val="203"/>
        </w:trPr>
        <w:tc>
          <w:tcPr>
            <w:tcW w:w="20" w:type="dxa"/>
            <w:vAlign w:val="bottom"/>
          </w:tcPr>
          <w:p>
            <w:pPr>
              <w:spacing w:after="0"/>
              <w:rPr>
                <w:sz w:val="17"/>
                <w:szCs w:val="17"/>
                <w:color w:val="auto"/>
              </w:rPr>
            </w:pPr>
          </w:p>
        </w:tc>
        <w:tc>
          <w:tcPr>
            <w:tcW w:w="2040" w:type="dxa"/>
            <w:vAlign w:val="bottom"/>
          </w:tcPr>
          <w:p>
            <w:pPr>
              <w:ind w:left="60"/>
              <w:spacing w:after="0"/>
              <w:rPr>
                <w:sz w:val="20"/>
                <w:szCs w:val="20"/>
                <w:color w:val="auto"/>
              </w:rPr>
            </w:pPr>
            <w:r>
              <w:rPr>
                <w:rFonts w:ascii="Arial" w:cs="Arial" w:eastAsia="Arial" w:hAnsi="Arial"/>
                <w:sz w:val="14"/>
                <w:szCs w:val="14"/>
                <w:color w:val="auto"/>
              </w:rPr>
              <w:t>Kurt C. Graves</w:t>
            </w:r>
          </w:p>
        </w:tc>
        <w:tc>
          <w:tcPr>
            <w:tcW w:w="2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740" w:type="dxa"/>
            <w:vAlign w:val="bottom"/>
          </w:tcPr>
          <w:p>
            <w:pPr>
              <w:jc w:val="right"/>
              <w:ind w:right="32"/>
              <w:spacing w:after="0"/>
              <w:rPr>
                <w:sz w:val="20"/>
                <w:szCs w:val="20"/>
                <w:color w:val="auto"/>
              </w:rPr>
            </w:pPr>
            <w:r>
              <w:rPr>
                <w:rFonts w:ascii="Arial" w:cs="Arial" w:eastAsia="Arial" w:hAnsi="Arial"/>
                <w:sz w:val="14"/>
                <w:szCs w:val="14"/>
                <w:color w:val="auto"/>
              </w:rPr>
              <w:t>60,000</w:t>
            </w:r>
          </w:p>
        </w:tc>
      </w:tr>
      <w:tr>
        <w:trPr>
          <w:trHeight w:val="203"/>
        </w:trPr>
        <w:tc>
          <w:tcPr>
            <w:tcW w:w="20" w:type="dxa"/>
            <w:vAlign w:val="bottom"/>
          </w:tcPr>
          <w:p>
            <w:pPr>
              <w:spacing w:after="0"/>
              <w:rPr>
                <w:sz w:val="17"/>
                <w:szCs w:val="17"/>
                <w:color w:val="auto"/>
              </w:rPr>
            </w:pPr>
          </w:p>
        </w:tc>
        <w:tc>
          <w:tcPr>
            <w:tcW w:w="2040" w:type="dxa"/>
            <w:vAlign w:val="bottom"/>
            <w:shd w:val="clear" w:color="auto" w:fill="D8D8D8"/>
          </w:tcPr>
          <w:p>
            <w:pPr>
              <w:ind w:left="60"/>
              <w:spacing w:after="0"/>
              <w:rPr>
                <w:sz w:val="20"/>
                <w:szCs w:val="20"/>
                <w:color w:val="auto"/>
              </w:rPr>
            </w:pPr>
            <w:r>
              <w:rPr>
                <w:rFonts w:ascii="Arial" w:cs="Arial" w:eastAsia="Arial" w:hAnsi="Arial"/>
                <w:sz w:val="14"/>
                <w:szCs w:val="14"/>
                <w:color w:val="auto"/>
              </w:rPr>
              <w:t>Peter Barton Hutt</w:t>
            </w:r>
          </w:p>
        </w:tc>
        <w:tc>
          <w:tcPr>
            <w:tcW w:w="280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2760" w:type="dxa"/>
            <w:vAlign w:val="bottom"/>
            <w:shd w:val="clear" w:color="auto" w:fill="D8D8D8"/>
          </w:tcPr>
          <w:p>
            <w:pPr>
              <w:spacing w:after="0"/>
              <w:rPr>
                <w:sz w:val="17"/>
                <w:szCs w:val="17"/>
                <w:color w:val="auto"/>
              </w:rPr>
            </w:pPr>
          </w:p>
        </w:tc>
        <w:tc>
          <w:tcPr>
            <w:tcW w:w="274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80,000</w:t>
            </w:r>
          </w:p>
        </w:tc>
      </w:tr>
      <w:tr>
        <w:trPr>
          <w:trHeight w:val="486"/>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EQUITY COMPENSATION PLAN INFORMATION</w:t>
            </w:r>
          </w:p>
        </w:tc>
        <w:tc>
          <w:tcPr>
            <w:tcW w:w="6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1"/>
        </w:trPr>
        <w:tc>
          <w:tcPr>
            <w:tcW w:w="8300" w:type="dxa"/>
            <w:vAlign w:val="bottom"/>
            <w:tcBorders>
              <w:bottom w:val="single" w:sz="8" w:color="auto"/>
            </w:tcBorders>
            <w:gridSpan w:val="5"/>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r>
      <w:tr>
        <w:trPr>
          <w:trHeight w:val="250"/>
        </w:trPr>
        <w:tc>
          <w:tcPr>
            <w:tcW w:w="8300" w:type="dxa"/>
            <w:vAlign w:val="bottom"/>
            <w:gridSpan w:val="5"/>
          </w:tcPr>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2017.</w:t>
            </w:r>
          </w:p>
        </w:tc>
        <w:tc>
          <w:tcPr>
            <w:tcW w:w="274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D8D8D8"/>
          </w:tcPr>
          <w:p>
            <w:pPr>
              <w:spacing w:after="0"/>
              <w:rPr>
                <w:sz w:val="11"/>
                <w:szCs w:val="11"/>
                <w:color w:val="auto"/>
              </w:rPr>
            </w:pPr>
          </w:p>
        </w:tc>
        <w:tc>
          <w:tcPr>
            <w:tcW w:w="2800" w:type="dxa"/>
            <w:vAlign w:val="bottom"/>
            <w:shd w:val="clear" w:color="auto" w:fill="D8D8D8"/>
          </w:tcPr>
          <w:p>
            <w:pPr>
              <w:jc w:val="center"/>
              <w:ind w:right="12"/>
              <w:spacing w:after="0" w:line="132" w:lineRule="exact"/>
              <w:rPr>
                <w:sz w:val="20"/>
                <w:szCs w:val="20"/>
                <w:color w:val="auto"/>
              </w:rPr>
            </w:pPr>
            <w:r>
              <w:rPr>
                <w:rFonts w:ascii="Arial" w:cs="Arial" w:eastAsia="Arial" w:hAnsi="Arial"/>
                <w:sz w:val="14"/>
                <w:szCs w:val="14"/>
                <w:b w:val="1"/>
                <w:bCs w:val="1"/>
                <w:color w:val="auto"/>
                <w:w w:val="96"/>
              </w:rPr>
              <w:t>Number of Securities to be</w:t>
            </w:r>
          </w:p>
        </w:tc>
        <w:tc>
          <w:tcPr>
            <w:tcW w:w="680" w:type="dxa"/>
            <w:vAlign w:val="bottom"/>
            <w:shd w:val="clear" w:color="auto" w:fill="D8D8D8"/>
          </w:tcPr>
          <w:p>
            <w:pPr>
              <w:spacing w:after="0"/>
              <w:rPr>
                <w:sz w:val="11"/>
                <w:szCs w:val="11"/>
                <w:color w:val="auto"/>
              </w:rPr>
            </w:pPr>
          </w:p>
        </w:tc>
        <w:tc>
          <w:tcPr>
            <w:tcW w:w="2760" w:type="dxa"/>
            <w:vAlign w:val="bottom"/>
            <w:shd w:val="clear" w:color="auto" w:fill="D8D8D8"/>
          </w:tcPr>
          <w:p>
            <w:pPr>
              <w:spacing w:after="0"/>
              <w:rPr>
                <w:sz w:val="11"/>
                <w:szCs w:val="11"/>
                <w:color w:val="auto"/>
              </w:rPr>
            </w:pPr>
          </w:p>
        </w:tc>
        <w:tc>
          <w:tcPr>
            <w:tcW w:w="2740" w:type="dxa"/>
            <w:vAlign w:val="bottom"/>
            <w:shd w:val="clear" w:color="auto" w:fill="D8D8D8"/>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D8D8D8"/>
          </w:tcPr>
          <w:p>
            <w:pPr>
              <w:spacing w:after="0"/>
              <w:rPr>
                <w:sz w:val="12"/>
                <w:szCs w:val="12"/>
                <w:color w:val="auto"/>
              </w:rPr>
            </w:pPr>
          </w:p>
        </w:tc>
        <w:tc>
          <w:tcPr>
            <w:tcW w:w="2800" w:type="dxa"/>
            <w:vAlign w:val="bottom"/>
            <w:shd w:val="clear" w:color="auto" w:fill="D8D8D8"/>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Issued Upon Exercise of</w:t>
            </w:r>
          </w:p>
        </w:tc>
        <w:tc>
          <w:tcPr>
            <w:tcW w:w="3440" w:type="dxa"/>
            <w:vAlign w:val="bottom"/>
            <w:gridSpan w:val="2"/>
            <w:shd w:val="clear" w:color="auto" w:fill="D8D8D8"/>
          </w:tcPr>
          <w:p>
            <w:pPr>
              <w:ind w:left="500"/>
              <w:spacing w:after="0" w:line="149" w:lineRule="exact"/>
              <w:rPr>
                <w:sz w:val="20"/>
                <w:szCs w:val="20"/>
                <w:color w:val="auto"/>
              </w:rPr>
            </w:pPr>
            <w:r>
              <w:rPr>
                <w:rFonts w:ascii="Arial" w:cs="Arial" w:eastAsia="Arial" w:hAnsi="Arial"/>
                <w:sz w:val="14"/>
                <w:szCs w:val="14"/>
                <w:b w:val="1"/>
                <w:bCs w:val="1"/>
                <w:color w:val="auto"/>
              </w:rPr>
              <w:t>Weighted Average Exercise Price</w:t>
            </w:r>
          </w:p>
        </w:tc>
        <w:tc>
          <w:tcPr>
            <w:tcW w:w="2740" w:type="dxa"/>
            <w:vAlign w:val="bottom"/>
            <w:shd w:val="clear" w:color="auto" w:fill="D8D8D8"/>
          </w:tcPr>
          <w:p>
            <w:pPr>
              <w:jc w:val="right"/>
              <w:ind w:right="552"/>
              <w:spacing w:after="0" w:line="149" w:lineRule="exact"/>
              <w:rPr>
                <w:sz w:val="20"/>
                <w:szCs w:val="20"/>
                <w:color w:val="auto"/>
              </w:rPr>
            </w:pPr>
            <w:r>
              <w:rPr>
                <w:rFonts w:ascii="Arial" w:cs="Arial" w:eastAsia="Arial" w:hAnsi="Arial"/>
                <w:sz w:val="14"/>
                <w:szCs w:val="14"/>
                <w:b w:val="1"/>
                <w:bCs w:val="1"/>
                <w:color w:val="auto"/>
              </w:rPr>
              <w:t>Number of Securities</w:t>
            </w:r>
          </w:p>
        </w:tc>
      </w:tr>
      <w:tr>
        <w:trPr>
          <w:trHeight w:val="149"/>
        </w:trPr>
        <w:tc>
          <w:tcPr>
            <w:tcW w:w="20" w:type="dxa"/>
            <w:vAlign w:val="bottom"/>
          </w:tcPr>
          <w:p>
            <w:pPr>
              <w:spacing w:after="0"/>
              <w:rPr>
                <w:sz w:val="12"/>
                <w:szCs w:val="12"/>
                <w:color w:val="auto"/>
              </w:rPr>
            </w:pPr>
          </w:p>
        </w:tc>
        <w:tc>
          <w:tcPr>
            <w:tcW w:w="2040" w:type="dxa"/>
            <w:vAlign w:val="bottom"/>
            <w:shd w:val="clear" w:color="auto" w:fill="D8D8D8"/>
          </w:tcPr>
          <w:p>
            <w:pPr>
              <w:spacing w:after="0"/>
              <w:rPr>
                <w:sz w:val="12"/>
                <w:szCs w:val="12"/>
                <w:color w:val="auto"/>
              </w:rPr>
            </w:pPr>
          </w:p>
        </w:tc>
        <w:tc>
          <w:tcPr>
            <w:tcW w:w="280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680" w:type="dxa"/>
            <w:vAlign w:val="bottom"/>
            <w:shd w:val="clear" w:color="auto" w:fill="D8D8D8"/>
          </w:tcPr>
          <w:p>
            <w:pPr>
              <w:spacing w:after="0"/>
              <w:rPr>
                <w:sz w:val="12"/>
                <w:szCs w:val="12"/>
                <w:color w:val="auto"/>
              </w:rPr>
            </w:pPr>
          </w:p>
        </w:tc>
        <w:tc>
          <w:tcPr>
            <w:tcW w:w="2760" w:type="dxa"/>
            <w:vAlign w:val="bottom"/>
            <w:shd w:val="clear" w:color="auto" w:fill="D8D8D8"/>
          </w:tcPr>
          <w:p>
            <w:pPr>
              <w:jc w:val="center"/>
              <w:ind w:right="932"/>
              <w:spacing w:after="0" w:line="149" w:lineRule="exact"/>
              <w:rPr>
                <w:sz w:val="20"/>
                <w:szCs w:val="20"/>
                <w:color w:val="auto"/>
              </w:rPr>
            </w:pPr>
            <w:r>
              <w:rPr>
                <w:rFonts w:ascii="Arial" w:cs="Arial" w:eastAsia="Arial" w:hAnsi="Arial"/>
                <w:sz w:val="14"/>
                <w:szCs w:val="14"/>
                <w:b w:val="1"/>
                <w:bCs w:val="1"/>
                <w:color w:val="auto"/>
                <w:w w:val="97"/>
              </w:rPr>
              <w:t>of Outstanding Options</w:t>
            </w:r>
          </w:p>
        </w:tc>
        <w:tc>
          <w:tcPr>
            <w:tcW w:w="2740" w:type="dxa"/>
            <w:vAlign w:val="bottom"/>
            <w:shd w:val="clear" w:color="auto" w:fill="D8D8D8"/>
          </w:tcPr>
          <w:p>
            <w:pPr>
              <w:jc w:val="right"/>
              <w:ind w:right="292"/>
              <w:spacing w:after="0" w:line="149" w:lineRule="exact"/>
              <w:rPr>
                <w:sz w:val="20"/>
                <w:szCs w:val="20"/>
                <w:color w:val="auto"/>
              </w:rPr>
            </w:pPr>
            <w:r>
              <w:rPr>
                <w:rFonts w:ascii="Arial" w:cs="Arial" w:eastAsia="Arial" w:hAnsi="Arial"/>
                <w:sz w:val="14"/>
                <w:szCs w:val="14"/>
                <w:b w:val="1"/>
                <w:bCs w:val="1"/>
                <w:color w:val="auto"/>
              </w:rPr>
              <w:t>Available for Future Issuance</w:t>
            </w:r>
          </w:p>
        </w:tc>
      </w:tr>
      <w:tr>
        <w:trPr>
          <w:trHeight w:val="179"/>
        </w:trPr>
        <w:tc>
          <w:tcPr>
            <w:tcW w:w="20" w:type="dxa"/>
            <w:vAlign w:val="bottom"/>
          </w:tcPr>
          <w:p>
            <w:pPr>
              <w:spacing w:after="0"/>
              <w:rPr>
                <w:sz w:val="15"/>
                <w:szCs w:val="15"/>
                <w:color w:val="auto"/>
              </w:rPr>
            </w:pPr>
          </w:p>
        </w:tc>
        <w:tc>
          <w:tcPr>
            <w:tcW w:w="204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Plan Category</w:t>
            </w:r>
          </w:p>
        </w:tc>
        <w:tc>
          <w:tcPr>
            <w:tcW w:w="2800" w:type="dxa"/>
            <w:vAlign w:val="bottom"/>
            <w:tcBorders>
              <w:bottom w:val="single" w:sz="8" w:color="auto"/>
            </w:tcBorders>
            <w:shd w:val="clear" w:color="auto" w:fill="D8D8D8"/>
          </w:tcPr>
          <w:p>
            <w:pPr>
              <w:jc w:val="center"/>
              <w:ind w:right="12"/>
              <w:spacing w:after="0"/>
              <w:rPr>
                <w:sz w:val="20"/>
                <w:szCs w:val="20"/>
                <w:color w:val="auto"/>
              </w:rPr>
            </w:pPr>
            <w:r>
              <w:rPr>
                <w:rFonts w:ascii="Arial" w:cs="Arial" w:eastAsia="Arial" w:hAnsi="Arial"/>
                <w:sz w:val="14"/>
                <w:szCs w:val="14"/>
                <w:b w:val="1"/>
                <w:bCs w:val="1"/>
                <w:color w:val="auto"/>
                <w:w w:val="96"/>
              </w:rPr>
              <w:t>Warrants and Rights</w:t>
            </w:r>
          </w:p>
        </w:tc>
        <w:tc>
          <w:tcPr>
            <w:tcW w:w="680" w:type="dxa"/>
            <w:vAlign w:val="bottom"/>
            <w:tcBorders>
              <w:bottom w:val="single" w:sz="8" w:color="auto"/>
            </w:tcBorders>
            <w:shd w:val="clear" w:color="auto" w:fill="D8D8D8"/>
          </w:tcPr>
          <w:p>
            <w:pPr>
              <w:spacing w:after="0"/>
              <w:rPr>
                <w:sz w:val="15"/>
                <w:szCs w:val="15"/>
                <w:color w:val="auto"/>
              </w:rPr>
            </w:pPr>
          </w:p>
        </w:tc>
        <w:tc>
          <w:tcPr>
            <w:tcW w:w="2760" w:type="dxa"/>
            <w:vAlign w:val="bottom"/>
            <w:tcBorders>
              <w:bottom w:val="single" w:sz="8" w:color="auto"/>
            </w:tcBorders>
            <w:shd w:val="clear" w:color="auto" w:fill="D8D8D8"/>
          </w:tcPr>
          <w:p>
            <w:pPr>
              <w:jc w:val="center"/>
              <w:ind w:right="932"/>
              <w:spacing w:after="0"/>
              <w:rPr>
                <w:sz w:val="20"/>
                <w:szCs w:val="20"/>
                <w:color w:val="auto"/>
              </w:rPr>
            </w:pPr>
            <w:r>
              <w:rPr>
                <w:rFonts w:ascii="Arial" w:cs="Arial" w:eastAsia="Arial" w:hAnsi="Arial"/>
                <w:sz w:val="14"/>
                <w:szCs w:val="14"/>
                <w:b w:val="1"/>
                <w:bCs w:val="1"/>
                <w:color w:val="auto"/>
                <w:w w:val="96"/>
              </w:rPr>
              <w:t>Warrants and Rights</w:t>
            </w:r>
          </w:p>
        </w:tc>
        <w:tc>
          <w:tcPr>
            <w:tcW w:w="27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4"/>
                <w:szCs w:val="14"/>
                <w:b w:val="1"/>
                <w:bCs w:val="1"/>
                <w:color w:val="auto"/>
              </w:rPr>
              <w:t>Under Equity Compensation Plans</w:t>
            </w:r>
            <w:r>
              <w:rPr>
                <w:rFonts w:ascii="Arial" w:cs="Arial" w:eastAsia="Arial" w:hAnsi="Arial"/>
                <w:sz w:val="11"/>
                <w:szCs w:val="11"/>
                <w:b w:val="1"/>
                <w:bCs w:val="1"/>
                <w:color w:val="auto"/>
              </w:rPr>
              <w:t>1</w:t>
            </w:r>
          </w:p>
        </w:tc>
      </w:tr>
      <w:tr>
        <w:trPr>
          <w:trHeight w:val="141"/>
        </w:trPr>
        <w:tc>
          <w:tcPr>
            <w:tcW w:w="20" w:type="dxa"/>
            <w:vAlign w:val="bottom"/>
          </w:tcPr>
          <w:p>
            <w:pPr>
              <w:spacing w:after="0"/>
              <w:rPr>
                <w:sz w:val="12"/>
                <w:szCs w:val="12"/>
                <w:color w:val="auto"/>
              </w:rPr>
            </w:pPr>
          </w:p>
        </w:tc>
        <w:tc>
          <w:tcPr>
            <w:tcW w:w="2040" w:type="dxa"/>
            <w:vAlign w:val="bottom"/>
          </w:tcPr>
          <w:p>
            <w:pPr>
              <w:ind w:left="20"/>
              <w:spacing w:after="0" w:line="141" w:lineRule="exact"/>
              <w:rPr>
                <w:sz w:val="20"/>
                <w:szCs w:val="20"/>
                <w:color w:val="auto"/>
              </w:rPr>
            </w:pPr>
            <w:r>
              <w:rPr>
                <w:rFonts w:ascii="Arial" w:cs="Arial" w:eastAsia="Arial" w:hAnsi="Arial"/>
                <w:sz w:val="14"/>
                <w:szCs w:val="14"/>
                <w:color w:val="auto"/>
              </w:rPr>
              <w:t>Equity compensation</w:t>
            </w:r>
          </w:p>
        </w:tc>
        <w:tc>
          <w:tcPr>
            <w:tcW w:w="2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plans approved by</w:t>
            </w:r>
          </w:p>
        </w:tc>
        <w:tc>
          <w:tcPr>
            <w:tcW w:w="2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security holders</w:t>
            </w:r>
            <w:r>
              <w:rPr>
                <w:rFonts w:ascii="Arial" w:cs="Arial" w:eastAsia="Arial" w:hAnsi="Arial"/>
                <w:sz w:val="11"/>
                <w:szCs w:val="11"/>
                <w:color w:val="auto"/>
              </w:rPr>
              <w:t>2</w:t>
            </w:r>
          </w:p>
        </w:tc>
        <w:tc>
          <w:tcPr>
            <w:tcW w:w="2800" w:type="dxa"/>
            <w:vAlign w:val="bottom"/>
          </w:tcPr>
          <w:p>
            <w:pPr>
              <w:ind w:left="1620"/>
              <w:spacing w:after="0" w:line="149" w:lineRule="exact"/>
              <w:rPr>
                <w:sz w:val="20"/>
                <w:szCs w:val="20"/>
                <w:color w:val="auto"/>
              </w:rPr>
            </w:pPr>
            <w:r>
              <w:rPr>
                <w:rFonts w:ascii="Arial" w:cs="Arial" w:eastAsia="Arial" w:hAnsi="Arial"/>
                <w:sz w:val="14"/>
                <w:szCs w:val="14"/>
                <w:color w:val="auto"/>
              </w:rPr>
              <w:t>6,482,470</w:t>
            </w:r>
            <w:r>
              <w:rPr>
                <w:rFonts w:ascii="Arial" w:cs="Arial" w:eastAsia="Arial" w:hAnsi="Arial"/>
                <w:sz w:val="11"/>
                <w:szCs w:val="11"/>
                <w:color w:val="auto"/>
              </w:rPr>
              <w:t>3</w:t>
            </w:r>
          </w:p>
        </w:tc>
        <w:tc>
          <w:tcPr>
            <w:tcW w:w="68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2760" w:type="dxa"/>
            <w:vAlign w:val="bottom"/>
          </w:tcPr>
          <w:p>
            <w:pPr>
              <w:ind w:left="1600"/>
              <w:spacing w:after="0" w:line="149" w:lineRule="exact"/>
              <w:rPr>
                <w:sz w:val="20"/>
                <w:szCs w:val="20"/>
                <w:color w:val="auto"/>
              </w:rPr>
            </w:pPr>
            <w:r>
              <w:rPr>
                <w:rFonts w:ascii="Arial" w:cs="Arial" w:eastAsia="Arial" w:hAnsi="Arial"/>
                <w:sz w:val="14"/>
                <w:szCs w:val="14"/>
                <w:color w:val="auto"/>
              </w:rPr>
              <w:t>13.00</w:t>
            </w:r>
            <w:r>
              <w:rPr>
                <w:rFonts w:ascii="Arial" w:cs="Arial" w:eastAsia="Arial" w:hAnsi="Arial"/>
                <w:sz w:val="11"/>
                <w:szCs w:val="11"/>
                <w:color w:val="auto"/>
              </w:rPr>
              <w:t>4</w:t>
            </w:r>
          </w:p>
        </w:tc>
        <w:tc>
          <w:tcPr>
            <w:tcW w:w="2740" w:type="dxa"/>
            <w:vAlign w:val="bottom"/>
          </w:tcPr>
          <w:p>
            <w:pPr>
              <w:ind w:left="2020"/>
              <w:spacing w:after="0" w:line="149" w:lineRule="exact"/>
              <w:rPr>
                <w:sz w:val="20"/>
                <w:szCs w:val="20"/>
                <w:color w:val="auto"/>
              </w:rPr>
            </w:pPr>
            <w:r>
              <w:rPr>
                <w:rFonts w:ascii="Arial" w:cs="Arial" w:eastAsia="Arial" w:hAnsi="Arial"/>
                <w:sz w:val="14"/>
                <w:szCs w:val="14"/>
                <w:color w:val="auto"/>
              </w:rPr>
              <w:t>2,606,612</w:t>
            </w:r>
            <w:r>
              <w:rPr>
                <w:rFonts w:ascii="Arial" w:cs="Arial" w:eastAsia="Arial" w:hAnsi="Arial"/>
                <w:sz w:val="11"/>
                <w:szCs w:val="11"/>
                <w:color w:val="auto"/>
              </w:rPr>
              <w:t>5</w:t>
            </w:r>
          </w:p>
        </w:tc>
      </w:tr>
      <w:tr>
        <w:trPr>
          <w:trHeight w:val="148"/>
        </w:trPr>
        <w:tc>
          <w:tcPr>
            <w:tcW w:w="20" w:type="dxa"/>
            <w:vAlign w:val="bottom"/>
          </w:tcPr>
          <w:p>
            <w:pPr>
              <w:spacing w:after="0"/>
              <w:rPr>
                <w:sz w:val="12"/>
                <w:szCs w:val="12"/>
                <w:color w:val="auto"/>
              </w:rPr>
            </w:pPr>
          </w:p>
        </w:tc>
        <w:tc>
          <w:tcPr>
            <w:tcW w:w="2040" w:type="dxa"/>
            <w:vAlign w:val="bottom"/>
            <w:shd w:val="clear" w:color="auto" w:fill="D8D8D8"/>
          </w:tcPr>
          <w:p>
            <w:pPr>
              <w:ind w:left="20"/>
              <w:spacing w:after="0" w:line="148" w:lineRule="exact"/>
              <w:rPr>
                <w:sz w:val="20"/>
                <w:szCs w:val="20"/>
                <w:color w:val="auto"/>
              </w:rPr>
            </w:pPr>
            <w:r>
              <w:rPr>
                <w:rFonts w:ascii="Arial" w:cs="Arial" w:eastAsia="Arial" w:hAnsi="Arial"/>
                <w:sz w:val="14"/>
                <w:szCs w:val="14"/>
                <w:color w:val="auto"/>
              </w:rPr>
              <w:t>Equity compensation</w:t>
            </w:r>
          </w:p>
        </w:tc>
        <w:tc>
          <w:tcPr>
            <w:tcW w:w="28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2760" w:type="dxa"/>
            <w:vAlign w:val="bottom"/>
            <w:shd w:val="clear" w:color="auto" w:fill="D8D8D8"/>
          </w:tcPr>
          <w:p>
            <w:pPr>
              <w:spacing w:after="0"/>
              <w:rPr>
                <w:sz w:val="12"/>
                <w:szCs w:val="12"/>
                <w:color w:val="auto"/>
              </w:rPr>
            </w:pPr>
          </w:p>
        </w:tc>
        <w:tc>
          <w:tcPr>
            <w:tcW w:w="2740" w:type="dxa"/>
            <w:vAlign w:val="bottom"/>
            <w:shd w:val="clear" w:color="auto" w:fill="D8D8D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D8D8D8"/>
          </w:tcPr>
          <w:p>
            <w:pPr>
              <w:ind w:left="120"/>
              <w:spacing w:after="0" w:line="149" w:lineRule="exact"/>
              <w:rPr>
                <w:sz w:val="20"/>
                <w:szCs w:val="20"/>
                <w:color w:val="auto"/>
              </w:rPr>
            </w:pPr>
            <w:r>
              <w:rPr>
                <w:rFonts w:ascii="Arial" w:cs="Arial" w:eastAsia="Arial" w:hAnsi="Arial"/>
                <w:sz w:val="14"/>
                <w:szCs w:val="14"/>
                <w:color w:val="auto"/>
              </w:rPr>
              <w:t>plans not approved by</w:t>
            </w:r>
          </w:p>
        </w:tc>
        <w:tc>
          <w:tcPr>
            <w:tcW w:w="28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2760" w:type="dxa"/>
            <w:vAlign w:val="bottom"/>
            <w:shd w:val="clear" w:color="auto" w:fill="D8D8D8"/>
          </w:tcPr>
          <w:p>
            <w:pPr>
              <w:spacing w:after="0"/>
              <w:rPr>
                <w:sz w:val="12"/>
                <w:szCs w:val="12"/>
                <w:color w:val="auto"/>
              </w:rPr>
            </w:pPr>
          </w:p>
        </w:tc>
        <w:tc>
          <w:tcPr>
            <w:tcW w:w="2740" w:type="dxa"/>
            <w:vAlign w:val="bottom"/>
            <w:shd w:val="clear" w:color="auto" w:fill="D8D8D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D8D8D8"/>
          </w:tcPr>
          <w:p>
            <w:pPr>
              <w:ind w:left="120"/>
              <w:spacing w:after="0" w:line="149" w:lineRule="exact"/>
              <w:rPr>
                <w:sz w:val="20"/>
                <w:szCs w:val="20"/>
                <w:color w:val="auto"/>
              </w:rPr>
            </w:pPr>
            <w:r>
              <w:rPr>
                <w:rFonts w:ascii="Arial" w:cs="Arial" w:eastAsia="Arial" w:hAnsi="Arial"/>
                <w:sz w:val="14"/>
                <w:szCs w:val="14"/>
                <w:color w:val="auto"/>
              </w:rPr>
              <w:t>security holders</w:t>
            </w:r>
          </w:p>
        </w:tc>
        <w:tc>
          <w:tcPr>
            <w:tcW w:w="2800" w:type="dxa"/>
            <w:vAlign w:val="bottom"/>
            <w:shd w:val="clear" w:color="auto" w:fill="D8D8D8"/>
          </w:tcPr>
          <w:p>
            <w:pPr>
              <w:ind w:left="1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D8D8D8"/>
          </w:tcPr>
          <w:p>
            <w:pPr>
              <w:spacing w:after="0"/>
              <w:rPr>
                <w:sz w:val="12"/>
                <w:szCs w:val="12"/>
                <w:color w:val="auto"/>
              </w:rPr>
            </w:pPr>
          </w:p>
        </w:tc>
        <w:tc>
          <w:tcPr>
            <w:tcW w:w="2760" w:type="dxa"/>
            <w:vAlign w:val="bottom"/>
            <w:shd w:val="clear" w:color="auto" w:fill="D8D8D8"/>
          </w:tcPr>
          <w:p>
            <w:pPr>
              <w:ind w:left="1000"/>
              <w:spacing w:after="0" w:line="149" w:lineRule="exact"/>
              <w:rPr>
                <w:sz w:val="20"/>
                <w:szCs w:val="20"/>
                <w:color w:val="auto"/>
              </w:rPr>
            </w:pPr>
            <w:r>
              <w:rPr>
                <w:rFonts w:ascii="Arial" w:cs="Arial" w:eastAsia="Arial" w:hAnsi="Arial"/>
                <w:sz w:val="14"/>
                <w:szCs w:val="14"/>
                <w:color w:val="auto"/>
              </w:rPr>
              <w:t>—</w:t>
            </w:r>
          </w:p>
        </w:tc>
        <w:tc>
          <w:tcPr>
            <w:tcW w:w="2740" w:type="dxa"/>
            <w:vAlign w:val="bottom"/>
            <w:shd w:val="clear" w:color="auto" w:fill="D8D8D8"/>
          </w:tcPr>
          <w:p>
            <w:pPr>
              <w:jc w:val="right"/>
              <w:ind w:right="11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04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Total</w:t>
            </w:r>
          </w:p>
        </w:tc>
        <w:tc>
          <w:tcPr>
            <w:tcW w:w="2800" w:type="dxa"/>
            <w:vAlign w:val="bottom"/>
            <w:tcBorders>
              <w:bottom w:val="single" w:sz="8" w:color="auto"/>
            </w:tcBorders>
          </w:tcPr>
          <w:p>
            <w:pPr>
              <w:ind w:left="1620"/>
              <w:spacing w:after="0" w:line="149" w:lineRule="exact"/>
              <w:rPr>
                <w:sz w:val="20"/>
                <w:szCs w:val="20"/>
                <w:color w:val="auto"/>
              </w:rPr>
            </w:pPr>
            <w:r>
              <w:rPr>
                <w:rFonts w:ascii="Arial" w:cs="Arial" w:eastAsia="Arial" w:hAnsi="Arial"/>
                <w:sz w:val="14"/>
                <w:szCs w:val="14"/>
                <w:color w:val="auto"/>
              </w:rPr>
              <w:t>6,482,470</w:t>
            </w:r>
          </w:p>
        </w:tc>
        <w:tc>
          <w:tcPr>
            <w:tcW w:w="680" w:type="dxa"/>
            <w:vAlign w:val="bottom"/>
            <w:tcBorders>
              <w:bottom w:val="single" w:sz="8" w:color="auto"/>
            </w:tcBorders>
          </w:tcPr>
          <w:p>
            <w:pPr>
              <w:ind w:left="500"/>
              <w:spacing w:after="0" w:line="149" w:lineRule="exact"/>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tcPr>
          <w:p>
            <w:pPr>
              <w:ind w:left="1600"/>
              <w:spacing w:after="0" w:line="149" w:lineRule="exact"/>
              <w:rPr>
                <w:sz w:val="20"/>
                <w:szCs w:val="20"/>
                <w:color w:val="auto"/>
              </w:rPr>
            </w:pPr>
            <w:r>
              <w:rPr>
                <w:rFonts w:ascii="Arial" w:cs="Arial" w:eastAsia="Arial" w:hAnsi="Arial"/>
                <w:sz w:val="14"/>
                <w:szCs w:val="14"/>
                <w:color w:val="auto"/>
              </w:rPr>
              <w:t>13.00</w:t>
            </w:r>
          </w:p>
        </w:tc>
        <w:tc>
          <w:tcPr>
            <w:tcW w:w="2740" w:type="dxa"/>
            <w:vAlign w:val="bottom"/>
            <w:tcBorders>
              <w:bottom w:val="single" w:sz="8" w:color="auto"/>
            </w:tcBorders>
          </w:tcPr>
          <w:p>
            <w:pPr>
              <w:ind w:left="2020"/>
              <w:spacing w:after="0" w:line="149" w:lineRule="exact"/>
              <w:rPr>
                <w:sz w:val="20"/>
                <w:szCs w:val="20"/>
                <w:color w:val="auto"/>
              </w:rPr>
            </w:pPr>
            <w:r>
              <w:rPr>
                <w:rFonts w:ascii="Arial" w:cs="Arial" w:eastAsia="Arial" w:hAnsi="Arial"/>
                <w:sz w:val="14"/>
                <w:szCs w:val="14"/>
                <w:color w:val="auto"/>
              </w:rPr>
              <w:t>2,606,612</w:t>
            </w:r>
          </w:p>
        </w:tc>
      </w:tr>
    </w:tbl>
    <w:p>
      <w:pPr>
        <w:spacing w:after="0" w:line="45" w:lineRule="exact"/>
        <w:rPr>
          <w:sz w:val="20"/>
          <w:szCs w:val="20"/>
          <w:color w:val="auto"/>
        </w:rPr>
      </w:pPr>
    </w:p>
    <w:p>
      <w:pPr>
        <w:ind w:left="200" w:right="60" w:firstLine="4"/>
        <w:spacing w:after="0" w:line="218" w:lineRule="auto"/>
        <w:tabs>
          <w:tab w:leader="none" w:pos="308" w:val="left"/>
        </w:tabs>
        <w:numPr>
          <w:ilvl w:val="0"/>
          <w:numId w:val="27"/>
        </w:numPr>
        <w:rPr>
          <w:rFonts w:ascii="Arial" w:cs="Arial" w:eastAsia="Arial" w:hAnsi="Arial"/>
          <w:sz w:val="24"/>
          <w:szCs w:val="24"/>
          <w:color w:val="auto"/>
          <w:vertAlign w:val="superscript"/>
        </w:rPr>
      </w:pPr>
      <w:r>
        <w:rPr>
          <w:rFonts w:ascii="Arial" w:cs="Arial" w:eastAsia="Arial" w:hAnsi="Arial"/>
          <w:sz w:val="14"/>
          <w:szCs w:val="14"/>
          <w:color w:val="auto"/>
        </w:rPr>
        <w:t>Pursuant to the terms of the 2015 Incentive Award Plan, or the 2015 Plan, the number of shares of common stock available for issuance under the 2015 Plan automatically increases on each January 1 until and including January 1, 2025, by an amount equal to the lesser of: (a) 4% of the shares of common stock outstanding on the final day of the immediately preceding calendar year and (b) such smaller number of shares as is determined by our board of directors. Pursuant to the terms of the 2015 Employee Stock Purchase Plan, or the 2015 ESPP, the number of shares of common stock available for issuance under the 2015 ESPP automatically increases on each January 1 until and including January 1, 2025, by an amount equal to the least of: (a) 400,000 shares, (b) 1% of the shares of common stock outstanding on the final day of the immediately preceding calendar year and (c) such smaller number of shares as is determined by our board of directors.</w:t>
      </w:r>
    </w:p>
    <w:p>
      <w:pPr>
        <w:ind w:left="200"/>
        <w:spacing w:after="0" w:line="184"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4"/>
          <w:szCs w:val="14"/>
          <w:color w:val="auto"/>
        </w:rPr>
        <w:t xml:space="preserve"> Consists of the 2012 Stock Incentive Plan, or the 2012 Plan, the 2015 Plan, and the 2015 ESPP.</w:t>
      </w:r>
    </w:p>
    <w:p>
      <w:pPr>
        <w:spacing w:after="0" w:line="8" w:lineRule="exact"/>
        <w:rPr>
          <w:sz w:val="20"/>
          <w:szCs w:val="20"/>
          <w:color w:val="auto"/>
        </w:rPr>
      </w:pPr>
    </w:p>
    <w:p>
      <w:pPr>
        <w:ind w:left="200" w:right="520" w:firstLine="4"/>
        <w:spacing w:after="0" w:line="183" w:lineRule="auto"/>
        <w:tabs>
          <w:tab w:leader="none" w:pos="308"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Includes 2,427,693 outstanding options to purchase stock under the 2012 Plan, 3,697,999 outstanding options to purchase stock under the 2015 Plan, and 356,778 restricted stock units under the 2015 Plan.</w:t>
      </w:r>
    </w:p>
    <w:p>
      <w:pPr>
        <w:spacing w:after="0" w:line="31" w:lineRule="exact"/>
        <w:rPr>
          <w:sz w:val="20"/>
          <w:szCs w:val="20"/>
          <w:color w:val="auto"/>
        </w:rPr>
      </w:pPr>
    </w:p>
    <w:p>
      <w:pPr>
        <w:ind w:left="200" w:right="640" w:firstLine="4"/>
        <w:spacing w:after="0" w:line="183" w:lineRule="auto"/>
        <w:tabs>
          <w:tab w:leader="none" w:pos="308"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As of December 31, 2017, the weighted-average exercise price of outstanding options under the 2012 Plan was $5.01 and the weighted-average exercise price of outstanding options under the 2015 Plan was $18.24.</w:t>
      </w:r>
    </w:p>
    <w:p>
      <w:pPr>
        <w:spacing w:after="0" w:line="10" w:lineRule="exact"/>
        <w:rPr>
          <w:rFonts w:ascii="Arial" w:cs="Arial" w:eastAsia="Arial" w:hAnsi="Arial"/>
          <w:sz w:val="24"/>
          <w:szCs w:val="24"/>
          <w:color w:val="auto"/>
          <w:vertAlign w:val="superscript"/>
        </w:rPr>
      </w:pPr>
    </w:p>
    <w:p>
      <w:pPr>
        <w:ind w:left="200" w:right="160"/>
        <w:spacing w:after="0" w:line="187"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5</w:t>
      </w:r>
      <w:r>
        <w:rPr>
          <w:rFonts w:ascii="Arial" w:cs="Arial" w:eastAsia="Arial" w:hAnsi="Arial"/>
          <w:sz w:val="14"/>
          <w:szCs w:val="14"/>
          <w:color w:val="auto"/>
        </w:rPr>
        <w:t xml:space="preserve"> As of December 31, 2017, a total of 1,155,820 shares of stock were available for issuance and no purchase rights were outstanding under the 2015 ESPP and 1,450,792 securities available for future issuance under the 2015 Plan.</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April 27, 2018,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40,652,668 shares of Common Stock outstanding as of April 27, 2018. In computing the number of shares beneficially owned by a person and the percentage ownership of that person, shares of Common Stock subject to options, or other rights held by such person that are currently exercisable or will become exercisable within 60 days of April 27, 2018 are considered outstanding, although these shares are not considered outstanding for purposes of computing the percentage ownership of any other person.</w:t>
      </w:r>
    </w:p>
    <w:p>
      <w:pPr>
        <w:spacing w:after="0" w:line="59" w:lineRule="exact"/>
        <w:rPr>
          <w:sz w:val="20"/>
          <w:szCs w:val="20"/>
          <w:color w:val="auto"/>
        </w:rPr>
      </w:pPr>
    </w:p>
    <w:p>
      <w:pPr>
        <w:jc w:val="both"/>
        <w:ind w:left="200" w:right="180"/>
        <w:spacing w:after="0"/>
        <w:rPr>
          <w:sz w:val="20"/>
          <w:szCs w:val="20"/>
          <w:color w:val="auto"/>
        </w:rPr>
      </w:pPr>
      <w:r>
        <w:rPr>
          <w:rFonts w:ascii="Arial" w:cs="Arial" w:eastAsia="Arial" w:hAnsi="Arial"/>
          <w:sz w:val="18"/>
          <w:szCs w:val="18"/>
          <w:color w:val="auto"/>
        </w:rPr>
        <w:t>Unless otherwise indicated, the address of each beneficial owner listed below is 200 Sidney Street, Cambridge, MA 02139.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ectPr>
          <w:pgSz w:w="11900" w:h="16838" w:orient="portrait"/>
          <w:cols w:equalWidth="0" w:num="1">
            <w:col w:w="11220"/>
          </w:cols>
          <w:pgMar w:left="240" w:top="459" w:right="439" w:bottom="1440" w:gutter="0" w:footer="0" w:header="0"/>
        </w:sectPr>
      </w:pPr>
    </w:p>
    <w:p>
      <w:pPr>
        <w:spacing w:after="0" w:line="217" w:lineRule="exact"/>
        <w:rPr>
          <w:sz w:val="20"/>
          <w:szCs w:val="20"/>
          <w:color w:val="auto"/>
        </w:rPr>
      </w:pPr>
    </w:p>
    <w:p>
      <w:pPr>
        <w:jc w:val="right"/>
        <w:ind w:right="1800"/>
        <w:spacing w:after="0"/>
        <w:rPr>
          <w:sz w:val="20"/>
          <w:szCs w:val="20"/>
          <w:color w:val="auto"/>
        </w:rPr>
      </w:pPr>
      <w:r>
        <w:rPr>
          <w:rFonts w:ascii="Arial" w:cs="Arial" w:eastAsia="Arial" w:hAnsi="Arial"/>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-93345</wp:posOffset>
            </wp:positionV>
            <wp:extent cx="5874385" cy="2489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74385" cy="248920"/>
                    </a:xfrm>
                    <a:prstGeom prst="rect">
                      <a:avLst/>
                    </a:prstGeom>
                    <a:noFill/>
                  </pic:spPr>
                </pic:pic>
              </a:graphicData>
            </a:graphic>
          </wp:anchor>
        </w:drawing>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5% or Greater Stockholders</w:t>
      </w:r>
    </w:p>
    <w:p>
      <w:pPr>
        <w:ind w:left="1160"/>
        <w:spacing w:after="0" w:line="232" w:lineRule="auto"/>
        <w:rPr>
          <w:sz w:val="20"/>
          <w:szCs w:val="20"/>
          <w:color w:val="auto"/>
        </w:rPr>
      </w:pPr>
      <w:r>
        <w:rPr>
          <w:rFonts w:ascii="Arial" w:cs="Arial" w:eastAsia="Arial" w:hAnsi="Arial"/>
          <w:sz w:val="14"/>
          <w:szCs w:val="14"/>
          <w:color w:val="auto"/>
        </w:rPr>
        <w:t xml:space="preserve">Entities affiliated with Flagship Pioneering </w:t>
      </w:r>
      <w:r>
        <w:rPr>
          <w:rFonts w:ascii="Arial" w:cs="Arial" w:eastAsia="Arial" w:hAnsi="Arial"/>
          <w:sz w:val="24"/>
          <w:szCs w:val="24"/>
          <w:color w:val="auto"/>
          <w:vertAlign w:val="superscript"/>
        </w:rPr>
        <w:t>1</w:t>
      </w:r>
    </w:p>
    <w:p>
      <w:pPr>
        <w:ind w:left="1160"/>
        <w:spacing w:after="0" w:line="188" w:lineRule="auto"/>
        <w:rPr>
          <w:sz w:val="20"/>
          <w:szCs w:val="20"/>
          <w:color w:val="auto"/>
        </w:rPr>
      </w:pPr>
      <w:r>
        <w:rPr>
          <w:rFonts w:ascii="Arial" w:cs="Arial" w:eastAsia="Arial" w:hAnsi="Arial"/>
          <w:sz w:val="14"/>
          <w:szCs w:val="14"/>
          <w:color w:val="auto"/>
        </w:rPr>
        <w:t>Nestlé Health Science US Holdings, Inc.</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-134620</wp:posOffset>
            </wp:positionV>
            <wp:extent cx="5874385"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ind w:left="1160"/>
        <w:spacing w:after="0" w:line="194" w:lineRule="auto"/>
        <w:rPr>
          <w:sz w:val="20"/>
          <w:szCs w:val="20"/>
          <w:color w:val="auto"/>
        </w:rPr>
      </w:pPr>
      <w:r>
        <w:rPr>
          <w:rFonts w:ascii="Arial" w:cs="Arial" w:eastAsia="Arial" w:hAnsi="Arial"/>
          <w:sz w:val="14"/>
          <w:szCs w:val="14"/>
          <w:color w:val="auto"/>
        </w:rPr>
        <w:t>FMR LLC</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-1905</wp:posOffset>
            </wp:positionV>
            <wp:extent cx="5874385" cy="1028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74385" cy="102870"/>
                    </a:xfrm>
                    <a:prstGeom prst="rect">
                      <a:avLst/>
                    </a:prstGeom>
                    <a:noFill/>
                  </pic:spPr>
                </pic:pic>
              </a:graphicData>
            </a:graphic>
          </wp:anchor>
        </w:drawing>
      </w:r>
    </w:p>
    <w:p>
      <w:pPr>
        <w:ind w:left="1160"/>
        <w:spacing w:after="0" w:line="231" w:lineRule="auto"/>
        <w:rPr>
          <w:sz w:val="20"/>
          <w:szCs w:val="20"/>
          <w:color w:val="auto"/>
        </w:rPr>
      </w:pPr>
      <w:r>
        <w:rPr>
          <w:rFonts w:ascii="Arial" w:cs="Arial" w:eastAsia="Arial" w:hAnsi="Arial"/>
          <w:sz w:val="14"/>
          <w:szCs w:val="14"/>
          <w:b w:val="1"/>
          <w:bCs w:val="1"/>
          <w:i w:val="1"/>
          <w:iCs w:val="1"/>
          <w:color w:val="auto"/>
        </w:rPr>
        <w:t>Named Executive Officers and Directors</w:t>
      </w:r>
    </w:p>
    <w:p>
      <w:pPr>
        <w:ind w:left="1160"/>
        <w:spacing w:after="0" w:line="188" w:lineRule="auto"/>
        <w:rPr>
          <w:sz w:val="20"/>
          <w:szCs w:val="20"/>
          <w:color w:val="auto"/>
        </w:rPr>
      </w:pPr>
      <w:r>
        <w:rPr>
          <w:rFonts w:ascii="Arial" w:cs="Arial" w:eastAsia="Arial" w:hAnsi="Arial"/>
          <w:sz w:val="14"/>
          <w:szCs w:val="14"/>
          <w:color w:val="auto"/>
        </w:rPr>
        <w:t>Roger J. Pomerantz, M.D.</w:t>
      </w:r>
      <w:r>
        <w:rPr>
          <w:rFonts w:ascii="Arial" w:cs="Arial" w:eastAsia="Arial" w:hAnsi="Arial"/>
          <w:sz w:val="24"/>
          <w:szCs w:val="24"/>
          <w:color w:val="auto"/>
          <w:vertAlign w:val="superscript"/>
        </w:rPr>
        <w:t>4</w:t>
      </w:r>
    </w:p>
    <w:p>
      <w:pPr>
        <w:ind w:left="1160"/>
        <w:spacing w:after="0" w:line="188" w:lineRule="auto"/>
        <w:rPr>
          <w:sz w:val="20"/>
          <w:szCs w:val="20"/>
          <w:color w:val="auto"/>
        </w:rPr>
      </w:pPr>
      <w:r>
        <w:rPr>
          <w:rFonts w:ascii="Arial" w:cs="Arial" w:eastAsia="Arial" w:hAnsi="Arial"/>
          <w:sz w:val="14"/>
          <w:szCs w:val="14"/>
          <w:color w:val="auto"/>
        </w:rPr>
        <w:t>Noubar B. Afeyan, Ph.D.</w:t>
      </w:r>
      <w:r>
        <w:rPr>
          <w:rFonts w:ascii="Arial" w:cs="Arial" w:eastAsia="Arial" w:hAnsi="Arial"/>
          <w:sz w:val="24"/>
          <w:szCs w:val="24"/>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-134620</wp:posOffset>
            </wp:positionV>
            <wp:extent cx="5874385"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ind w:left="1160"/>
        <w:spacing w:after="0" w:line="187" w:lineRule="auto"/>
        <w:rPr>
          <w:sz w:val="20"/>
          <w:szCs w:val="20"/>
          <w:color w:val="auto"/>
        </w:rPr>
      </w:pPr>
      <w:r>
        <w:rPr>
          <w:rFonts w:ascii="Arial" w:cs="Arial" w:eastAsia="Arial" w:hAnsi="Arial"/>
          <w:sz w:val="14"/>
          <w:szCs w:val="14"/>
          <w:color w:val="auto"/>
        </w:rPr>
        <w:t>Dennis A. Ausiello, M.D.</w:t>
      </w:r>
      <w:r>
        <w:rPr>
          <w:rFonts w:ascii="Arial" w:cs="Arial" w:eastAsia="Arial" w:hAnsi="Arial"/>
          <w:sz w:val="24"/>
          <w:szCs w:val="24"/>
          <w:color w:val="auto"/>
          <w:vertAlign w:val="superscript"/>
        </w:rPr>
        <w:t>6</w:t>
      </w:r>
    </w:p>
    <w:p>
      <w:pPr>
        <w:ind w:left="1160"/>
        <w:spacing w:after="0" w:line="195" w:lineRule="auto"/>
        <w:rPr>
          <w:sz w:val="20"/>
          <w:szCs w:val="20"/>
          <w:color w:val="auto"/>
        </w:rPr>
      </w:pPr>
      <w:r>
        <w:rPr>
          <w:rFonts w:ascii="Arial" w:cs="Arial" w:eastAsia="Arial" w:hAnsi="Arial"/>
          <w:sz w:val="14"/>
          <w:szCs w:val="14"/>
          <w:color w:val="auto"/>
        </w:rPr>
        <w:t>Grégory Behar</w:t>
      </w:r>
      <w:r>
        <w:rPr>
          <w:rFonts w:ascii="Arial" w:cs="Arial" w:eastAsia="Arial" w:hAnsi="Arial"/>
          <w:sz w:val="24"/>
          <w:szCs w:val="24"/>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-139065</wp:posOffset>
            </wp:positionV>
            <wp:extent cx="587438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4"/>
          <w:szCs w:val="14"/>
          <w:color w:val="auto"/>
        </w:rPr>
        <w:t>Willard H. Dere, M.D.</w:t>
      </w:r>
    </w:p>
    <w:p>
      <w:pPr>
        <w:ind w:left="1160"/>
        <w:spacing w:after="0" w:line="229" w:lineRule="auto"/>
        <w:rPr>
          <w:sz w:val="20"/>
          <w:szCs w:val="20"/>
          <w:color w:val="auto"/>
        </w:rPr>
      </w:pPr>
      <w:r>
        <w:rPr>
          <w:rFonts w:ascii="Arial" w:cs="Arial" w:eastAsia="Arial" w:hAnsi="Arial"/>
          <w:sz w:val="14"/>
          <w:szCs w:val="14"/>
          <w:color w:val="auto"/>
        </w:rPr>
        <w:t xml:space="preserve">Kurt C. Graves </w:t>
      </w:r>
      <w:r>
        <w:rPr>
          <w:rFonts w:ascii="Arial" w:cs="Arial" w:eastAsia="Arial" w:hAnsi="Arial"/>
          <w:sz w:val="24"/>
          <w:szCs w:val="24"/>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-134620</wp:posOffset>
            </wp:positionV>
            <wp:extent cx="587438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ind w:left="1160"/>
        <w:spacing w:after="0" w:line="188" w:lineRule="auto"/>
        <w:rPr>
          <w:sz w:val="20"/>
          <w:szCs w:val="20"/>
          <w:color w:val="auto"/>
        </w:rPr>
      </w:pPr>
      <w:r>
        <w:rPr>
          <w:rFonts w:ascii="Arial" w:cs="Arial" w:eastAsia="Arial" w:hAnsi="Arial"/>
          <w:sz w:val="14"/>
          <w:szCs w:val="14"/>
          <w:color w:val="auto"/>
        </w:rPr>
        <w:t>Richard N. Kender</w:t>
      </w:r>
      <w:r>
        <w:rPr>
          <w:rFonts w:ascii="Arial" w:cs="Arial" w:eastAsia="Arial" w:hAnsi="Arial"/>
          <w:sz w:val="24"/>
          <w:szCs w:val="24"/>
          <w:color w:val="auto"/>
          <w:vertAlign w:val="superscript"/>
        </w:rPr>
        <w:t>9</w:t>
      </w:r>
    </w:p>
    <w:p>
      <w:pPr>
        <w:ind w:left="1160"/>
        <w:spacing w:after="0" w:line="188" w:lineRule="auto"/>
        <w:rPr>
          <w:sz w:val="20"/>
          <w:szCs w:val="20"/>
          <w:color w:val="auto"/>
        </w:rPr>
      </w:pPr>
      <w:r>
        <w:rPr>
          <w:rFonts w:ascii="Arial" w:cs="Arial" w:eastAsia="Arial" w:hAnsi="Arial"/>
          <w:sz w:val="14"/>
          <w:szCs w:val="14"/>
          <w:color w:val="auto"/>
        </w:rPr>
        <w:t>Lorence H. Kim, M.D.</w:t>
      </w:r>
      <w:r>
        <w:rPr>
          <w:rFonts w:ascii="Arial" w:cs="Arial" w:eastAsia="Arial" w:hAnsi="Arial"/>
          <w:sz w:val="24"/>
          <w:szCs w:val="24"/>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-134620</wp:posOffset>
            </wp:positionV>
            <wp:extent cx="587438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ind w:left="1160"/>
        <w:spacing w:after="0" w:line="188" w:lineRule="auto"/>
        <w:rPr>
          <w:sz w:val="20"/>
          <w:szCs w:val="20"/>
          <w:color w:val="auto"/>
        </w:rPr>
      </w:pPr>
      <w:r>
        <w:rPr>
          <w:rFonts w:ascii="Arial" w:cs="Arial" w:eastAsia="Arial" w:hAnsi="Arial"/>
          <w:sz w:val="13"/>
          <w:szCs w:val="13"/>
          <w:color w:val="auto"/>
        </w:rPr>
        <w:t>Eric D. Shaff</w:t>
      </w:r>
      <w:r>
        <w:rPr>
          <w:rFonts w:ascii="Arial" w:cs="Arial" w:eastAsia="Arial" w:hAnsi="Arial"/>
          <w:sz w:val="21"/>
          <w:szCs w:val="21"/>
          <w:color w:val="auto"/>
          <w:vertAlign w:val="superscript"/>
        </w:rPr>
        <w:t>11</w:t>
      </w:r>
    </w:p>
    <w:p>
      <w:pPr>
        <w:ind w:left="1160"/>
        <w:spacing w:after="0" w:line="188" w:lineRule="auto"/>
        <w:rPr>
          <w:sz w:val="20"/>
          <w:szCs w:val="20"/>
          <w:color w:val="auto"/>
        </w:rPr>
      </w:pPr>
      <w:r>
        <w:rPr>
          <w:rFonts w:ascii="Arial" w:cs="Arial" w:eastAsia="Arial" w:hAnsi="Arial"/>
          <w:sz w:val="14"/>
          <w:szCs w:val="14"/>
          <w:color w:val="auto"/>
        </w:rPr>
        <w:t>Michele Trucksis, Ph.D., M.D.</w:t>
      </w:r>
      <w:r>
        <w:rPr>
          <w:rFonts w:ascii="Arial" w:cs="Arial" w:eastAsia="Arial" w:hAnsi="Arial"/>
          <w:sz w:val="24"/>
          <w:szCs w:val="24"/>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-134620</wp:posOffset>
            </wp:positionV>
            <wp:extent cx="5874385"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4"/>
          <w:szCs w:val="14"/>
          <w:color w:val="auto"/>
        </w:rPr>
        <w:t>All executive officers and directors as a group (13 persons)</w:t>
      </w:r>
      <w:r>
        <w:rPr>
          <w:rFonts w:ascii="Arial" w:cs="Arial" w:eastAsia="Arial" w:hAnsi="Arial"/>
          <w:sz w:val="24"/>
          <w:szCs w:val="24"/>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-27305</wp:posOffset>
            </wp:positionV>
            <wp:extent cx="4330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 Less than one percent.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1180" w:type="dxa"/>
            <w:vAlign w:val="bottom"/>
          </w:tcPr>
          <w:p>
            <w:pPr>
              <w:ind w:left="1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387"/>
        </w:trPr>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12,682,876</w:t>
            </w:r>
          </w:p>
        </w:tc>
        <w:tc>
          <w:tcPr>
            <w:tcW w:w="160" w:type="dxa"/>
            <w:vAlign w:val="bottom"/>
          </w:tcPr>
          <w:p>
            <w:pPr>
              <w:spacing w:after="0"/>
              <w:rPr>
                <w:sz w:val="24"/>
                <w:szCs w:val="24"/>
                <w:color w:val="auto"/>
              </w:rPr>
            </w:pPr>
          </w:p>
        </w:tc>
        <w:tc>
          <w:tcPr>
            <w:tcW w:w="1180" w:type="dxa"/>
            <w:vAlign w:val="bottom"/>
            <w:tcBorders>
              <w:top w:val="single" w:sz="8" w:color="auto"/>
            </w:tcBorders>
          </w:tcPr>
          <w:p>
            <w:pPr>
              <w:jc w:val="center"/>
              <w:ind w:left="8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54"/>
        </w:trPr>
        <w:tc>
          <w:tcPr>
            <w:tcW w:w="9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left="8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6,888,888</w:t>
            </w: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left="8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2"/>
        </w:trPr>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6,079,521</w:t>
            </w: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960" w:type="dxa"/>
            <w:vAlign w:val="bottom"/>
          </w:tcPr>
          <w:p>
            <w:pPr>
              <w:jc w:val="right"/>
              <w:spacing w:after="0"/>
              <w:rPr>
                <w:sz w:val="20"/>
                <w:szCs w:val="20"/>
                <w:color w:val="auto"/>
              </w:rPr>
            </w:pPr>
            <w:r>
              <w:rPr>
                <w:rFonts w:ascii="Arial" w:cs="Arial" w:eastAsia="Arial" w:hAnsi="Arial"/>
                <w:sz w:val="14"/>
                <w:szCs w:val="14"/>
                <w:color w:val="auto"/>
              </w:rPr>
              <w:t>1,499,321</w:t>
            </w:r>
          </w:p>
        </w:tc>
        <w:tc>
          <w:tcPr>
            <w:tcW w:w="160" w:type="dxa"/>
            <w:vAlign w:val="bottom"/>
          </w:tcPr>
          <w:p>
            <w:pPr>
              <w:spacing w:after="0"/>
              <w:rPr>
                <w:sz w:val="24"/>
                <w:szCs w:val="2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4"/>
                <w:szCs w:val="14"/>
                <w:color w:val="auto"/>
              </w:rPr>
              <w:t>12,743,017</w:t>
            </w:r>
          </w:p>
        </w:tc>
        <w:tc>
          <w:tcPr>
            <w:tcW w:w="16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4"/>
                <w:szCs w:val="14"/>
                <w:color w:val="auto"/>
              </w:rPr>
              <w:t>86,250</w:t>
            </w:r>
          </w:p>
        </w:tc>
        <w:tc>
          <w:tcPr>
            <w:tcW w:w="16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4"/>
                <w:szCs w:val="14"/>
                <w:color w:val="auto"/>
              </w:rPr>
              <w:t>45,000</w:t>
            </w:r>
          </w:p>
        </w:tc>
        <w:tc>
          <w:tcPr>
            <w:tcW w:w="16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4"/>
                <w:szCs w:val="14"/>
                <w:color w:val="auto"/>
              </w:rPr>
              <w:t>110,625</w:t>
            </w:r>
          </w:p>
        </w:tc>
        <w:tc>
          <w:tcPr>
            <w:tcW w:w="16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960" w:type="dxa"/>
            <w:vAlign w:val="bottom"/>
          </w:tcPr>
          <w:p>
            <w:pPr>
              <w:jc w:val="right"/>
              <w:spacing w:after="0"/>
              <w:rPr>
                <w:sz w:val="20"/>
                <w:szCs w:val="20"/>
                <w:color w:val="auto"/>
              </w:rPr>
            </w:pPr>
            <w:r>
              <w:rPr>
                <w:rFonts w:ascii="Arial" w:cs="Arial" w:eastAsia="Arial" w:hAnsi="Arial"/>
                <w:sz w:val="14"/>
                <w:szCs w:val="14"/>
                <w:color w:val="auto"/>
              </w:rPr>
              <w:t>110,625</w:t>
            </w:r>
          </w:p>
        </w:tc>
        <w:tc>
          <w:tcPr>
            <w:tcW w:w="160" w:type="dxa"/>
            <w:vAlign w:val="bottom"/>
          </w:tcPr>
          <w:p>
            <w:pPr>
              <w:spacing w:after="0"/>
              <w:rPr>
                <w:sz w:val="17"/>
                <w:szCs w:val="17"/>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960" w:type="dxa"/>
            <w:vAlign w:val="bottom"/>
          </w:tcPr>
          <w:p>
            <w:pPr>
              <w:jc w:val="right"/>
              <w:spacing w:after="0"/>
              <w:rPr>
                <w:sz w:val="20"/>
                <w:szCs w:val="20"/>
                <w:color w:val="auto"/>
              </w:rPr>
            </w:pPr>
            <w:r>
              <w:rPr>
                <w:rFonts w:ascii="Arial" w:cs="Arial" w:eastAsia="Arial" w:hAnsi="Arial"/>
                <w:sz w:val="14"/>
                <w:szCs w:val="14"/>
                <w:color w:val="auto"/>
              </w:rPr>
              <w:t>357,805</w:t>
            </w:r>
          </w:p>
        </w:tc>
        <w:tc>
          <w:tcPr>
            <w:tcW w:w="160" w:type="dxa"/>
            <w:vAlign w:val="bottom"/>
          </w:tcPr>
          <w:p>
            <w:pPr>
              <w:spacing w:after="0"/>
              <w:rPr>
                <w:sz w:val="17"/>
                <w:szCs w:val="17"/>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4"/>
                <w:szCs w:val="14"/>
                <w:color w:val="auto"/>
              </w:rPr>
              <w:t>304,617</w:t>
            </w:r>
          </w:p>
        </w:tc>
        <w:tc>
          <w:tcPr>
            <w:tcW w:w="16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w w:val="91"/>
              </w:rPr>
              <w:t>**</w:t>
            </w:r>
          </w:p>
        </w:tc>
        <w:tc>
          <w:tcPr>
            <w:tcW w:w="0" w:type="dxa"/>
            <w:vAlign w:val="bottom"/>
          </w:tcPr>
          <w:p>
            <w:pPr>
              <w:spacing w:after="0"/>
              <w:rPr>
                <w:sz w:val="1"/>
                <w:szCs w:val="1"/>
                <w:color w:val="auto"/>
              </w:rPr>
            </w:pPr>
          </w:p>
        </w:tc>
      </w:tr>
      <w:tr>
        <w:trPr>
          <w:trHeight w:val="21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16,077,953</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bl>
    <w:p>
      <w:pPr>
        <w:spacing w:after="0" w:line="228" w:lineRule="exact"/>
        <w:rPr>
          <w:sz w:val="20"/>
          <w:szCs w:val="20"/>
          <w:color w:val="auto"/>
        </w:rPr>
      </w:pPr>
    </w:p>
    <w:p>
      <w:pPr>
        <w:sectPr>
          <w:pgSz w:w="11900" w:h="16838" w:orient="portrait"/>
          <w:cols w:equalWidth="0" w:num="2">
            <w:col w:w="7320" w:space="720"/>
            <w:col w:w="3180"/>
          </w:cols>
          <w:pgMar w:left="240" w:top="459" w:right="439" w:bottom="1440" w:gutter="0" w:footer="0" w:header="0"/>
          <w:type w:val="continuous"/>
        </w:sectPr>
      </w:pPr>
    </w:p>
    <w:p>
      <w:pPr>
        <w:ind w:left="320" w:right="80" w:hanging="116"/>
        <w:spacing w:after="0" w:line="266" w:lineRule="auto"/>
        <w:tabs>
          <w:tab w:leader="none" w:pos="320" w:val="left"/>
        </w:tabs>
        <w:numPr>
          <w:ilvl w:val="0"/>
          <w:numId w:val="30"/>
        </w:numPr>
        <w:rPr>
          <w:rFonts w:ascii="Arial" w:cs="Arial" w:eastAsia="Arial" w:hAnsi="Arial"/>
          <w:sz w:val="11"/>
          <w:szCs w:val="11"/>
          <w:color w:val="auto"/>
        </w:rPr>
      </w:pPr>
      <w:r>
        <w:rPr>
          <w:rFonts w:ascii="Arial" w:cs="Arial" w:eastAsia="Arial" w:hAnsi="Arial"/>
          <w:sz w:val="12"/>
          <w:szCs w:val="12"/>
          <w:color w:val="auto"/>
        </w:rPr>
        <w:t>Based solely on a Schedule 13G/A filed with the SEC on February 13, 2017 by Flagship Venture Fund 2007, L.P. (“Fund 2007”), Flagship Ventures 2007 General Partner LLC (“Fund 2007 GP”), Flagship Ventures Fund IV, L.P. (“Fund IV”), Flagship Ventures Fund IV-Rx, L.P. (“Fund IV-Rx”), Flagship VentureLabs IV, LLC (“VentureLabs IV”), Flagship Ventures Fund IV General Partner LLC (“Fund IV GP”), Noubar B. Afeyan, Ph.D. and Edwin M. Kania, Jr. Fund 2007, Fund 2007 GP, Fund IV, Fund IV-Rx, VentureLabs IV, Fund IV FP, Noubar Afeyan and Edwin Kania are collectively referred to herein as the “Flagship Reporting Persons.” As the general partner of Fund 2007, Fund 2007 GP may be deemed to beneficially own shares of Common Stock directly held by Fund 2007. As the manager of VentureLabs IV, Fund IV may be deemed to beneficially own shares of Common Stock directly held by VentureLabs IV. As the general partner of Fund IV and Fund IV-Rx, Fund IV GP may be deemed to beneficially own shares of Common Stock beneficially owned by Fund IV and directly held by Fund IV-Rx, respectively. Messrs. Afeyan and Kania, as Managers of Fund 2007 GP and Fund IV GP, may</w:t>
      </w: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20"/>
          </w:cols>
          <w:pgMar w:left="24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SECURITY OWNERSHIP OF CERTAIN BENEFICIAL OWNERS AND MANAGEMENT</w:t>
      </w:r>
    </w:p>
    <w:p>
      <w:pPr>
        <w:spacing w:after="0" w:line="136" w:lineRule="exact"/>
        <w:rPr>
          <w:sz w:val="20"/>
          <w:szCs w:val="20"/>
          <w:color w:val="auto"/>
        </w:rPr>
      </w:pPr>
    </w:p>
    <w:p>
      <w:pPr>
        <w:ind w:left="320" w:right="20"/>
        <w:spacing w:after="0" w:line="225" w:lineRule="auto"/>
        <w:rPr>
          <w:sz w:val="20"/>
          <w:szCs w:val="20"/>
          <w:color w:val="auto"/>
        </w:rPr>
      </w:pPr>
      <w:r>
        <w:rPr>
          <w:rFonts w:ascii="Arial" w:cs="Arial" w:eastAsia="Arial" w:hAnsi="Arial"/>
          <w:sz w:val="14"/>
          <w:szCs w:val="14"/>
          <w:color w:val="auto"/>
        </w:rPr>
        <w:t>be deemed to beneficially own shares of Common Stock beneficially owned by Fund 2007 GP and Fund IV GP, respectively. Fund IV has shared voting and dispositive power over 10,757,414 shares. Fund IV-Rx has shared voting and dispositive power over 1,925,462 shares. VentureLabs IV has shared voting and dispositive power over 2,734,994 shares. Fund IV GP has shared voting and dispositive power over 12,682,876 shares. Messrs. Afeyan and Kania have shared voting and dispositive power over 12,682,876 shares. Fund 2007 and Fund 2007 GP do not have voting or dispositive power over any shares. The address for the Flagship Reporting Persons is c/o Flagship Pioneering, Inc., 55 Cambridge Parkway, Suite 800E, Cambridge, Massachusetts 02142.</w:t>
      </w:r>
    </w:p>
    <w:p>
      <w:pPr>
        <w:spacing w:after="0" w:line="29" w:lineRule="exact"/>
        <w:rPr>
          <w:sz w:val="20"/>
          <w:szCs w:val="20"/>
          <w:color w:val="auto"/>
        </w:rPr>
      </w:pPr>
    </w:p>
    <w:p>
      <w:pPr>
        <w:ind w:left="320" w:hanging="116"/>
        <w:spacing w:after="0" w:line="225" w:lineRule="auto"/>
        <w:tabs>
          <w:tab w:leader="none" w:pos="320" w:val="left"/>
        </w:tabs>
        <w:numPr>
          <w:ilvl w:val="0"/>
          <w:numId w:val="31"/>
        </w:numPr>
        <w:rPr>
          <w:rFonts w:ascii="Arial" w:cs="Arial" w:eastAsia="Arial" w:hAnsi="Arial"/>
          <w:sz w:val="11"/>
          <w:szCs w:val="11"/>
          <w:color w:val="auto"/>
        </w:rPr>
      </w:pPr>
      <w:r>
        <w:rPr>
          <w:rFonts w:ascii="Arial" w:cs="Arial" w:eastAsia="Arial" w:hAnsi="Arial"/>
          <w:sz w:val="14"/>
          <w:szCs w:val="14"/>
          <w:color w:val="auto"/>
        </w:rPr>
        <w:t>Based solely on a Schedule 13G filed with the SEC on July 6, 2015 by Nestlé Health Science US Holdings, Inc. (“NHS”), NIMCO US, Inc. (“NIMCO”) and Nestlé S.A. (“Nestlé”). NHS is a wholly owned subsidiary of NIMCO, which is a wholly owned subsidiary of Nestlé, a publicly traded company. Each of these entities may be deemed to share voting and investment power with respect to all shares of Common Stock held by NHS. Each of NHS, NIMCO and Nestlé disclaims beneficial ownership of such shares of Common Stock except to the extent of its pecuniary interest therein. The address for NHS and NIMCO is 383 Main Ave., 5th Floor, Norwalk, CT 06851. The address for Nestlé is Avenue Nestlé 55, CH-1800, Vevey Switzerland.</w:t>
      </w:r>
    </w:p>
    <w:p>
      <w:pPr>
        <w:spacing w:after="0" w:line="29" w:lineRule="exact"/>
        <w:rPr>
          <w:sz w:val="20"/>
          <w:szCs w:val="20"/>
          <w:color w:val="auto"/>
        </w:rPr>
      </w:pPr>
    </w:p>
    <w:p>
      <w:pPr>
        <w:ind w:left="320" w:hanging="116"/>
        <w:spacing w:after="0" w:line="223" w:lineRule="auto"/>
        <w:tabs>
          <w:tab w:leader="none" w:pos="320" w:val="left"/>
        </w:tabs>
        <w:numPr>
          <w:ilvl w:val="0"/>
          <w:numId w:val="32"/>
        </w:numPr>
        <w:rPr>
          <w:rFonts w:ascii="Arial" w:cs="Arial" w:eastAsia="Arial" w:hAnsi="Arial"/>
          <w:sz w:val="11"/>
          <w:szCs w:val="11"/>
          <w:color w:val="auto"/>
        </w:rPr>
      </w:pPr>
      <w:r>
        <w:rPr>
          <w:rFonts w:ascii="Arial" w:cs="Arial" w:eastAsia="Arial" w:hAnsi="Arial"/>
          <w:sz w:val="14"/>
          <w:szCs w:val="14"/>
          <w:color w:val="auto"/>
        </w:rPr>
        <w:t>Based solely on a Schedule 13G/A filed on February 13, 2018 by FMR LLC, Abigail P. Johnson and Select Biotechnology Portfolio.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FMR LLC has sole voting power over 840,660 shares and sole dispositive power over 6,079,521 shares. Abigail P. Johnson has sole dispositive power over 6,079,521 shares. Select Biotechnology Portfolio has sole voting power over 2,320,475 shares. The address for FMR LLC is 245 Summer Street, Boston, Massachusetts 02210.</w:t>
      </w:r>
    </w:p>
    <w:p>
      <w:pPr>
        <w:spacing w:after="0" w:line="30" w:lineRule="exact"/>
        <w:rPr>
          <w:sz w:val="20"/>
          <w:szCs w:val="20"/>
          <w:color w:val="auto"/>
        </w:rPr>
      </w:pPr>
    </w:p>
    <w:p>
      <w:pPr>
        <w:ind w:left="320" w:hanging="116"/>
        <w:spacing w:after="0" w:line="231" w:lineRule="auto"/>
        <w:tabs>
          <w:tab w:leader="none" w:pos="320" w:val="left"/>
        </w:tabs>
        <w:numPr>
          <w:ilvl w:val="0"/>
          <w:numId w:val="33"/>
        </w:numPr>
        <w:rPr>
          <w:rFonts w:ascii="Arial" w:cs="Arial" w:eastAsia="Arial" w:hAnsi="Arial"/>
          <w:sz w:val="11"/>
          <w:szCs w:val="11"/>
          <w:color w:val="auto"/>
        </w:rPr>
      </w:pPr>
      <w:r>
        <w:rPr>
          <w:rFonts w:ascii="Arial" w:cs="Arial" w:eastAsia="Arial" w:hAnsi="Arial"/>
          <w:sz w:val="14"/>
          <w:szCs w:val="14"/>
          <w:color w:val="auto"/>
        </w:rPr>
        <w:t>Includes 1,174,784 shares of Common Stock which Dr. Pomerantz has the right to acquire pursuant to outstanding stock options which are or will be immediately exercisable within 60 days of April 27, 2018.</w:t>
      </w:r>
    </w:p>
    <w:p>
      <w:pPr>
        <w:spacing w:after="0" w:line="28" w:lineRule="exact"/>
        <w:rPr>
          <w:sz w:val="20"/>
          <w:szCs w:val="20"/>
          <w:color w:val="auto"/>
        </w:rPr>
      </w:pPr>
    </w:p>
    <w:p>
      <w:pPr>
        <w:ind w:left="320" w:right="120" w:hanging="116"/>
        <w:spacing w:after="0" w:line="231" w:lineRule="auto"/>
        <w:tabs>
          <w:tab w:leader="none" w:pos="320" w:val="left"/>
        </w:tabs>
        <w:numPr>
          <w:ilvl w:val="0"/>
          <w:numId w:val="34"/>
        </w:numPr>
        <w:rPr>
          <w:rFonts w:ascii="Arial" w:cs="Arial" w:eastAsia="Arial" w:hAnsi="Arial"/>
          <w:sz w:val="11"/>
          <w:szCs w:val="11"/>
          <w:color w:val="auto"/>
        </w:rPr>
      </w:pPr>
      <w:r>
        <w:rPr>
          <w:rFonts w:ascii="Arial" w:cs="Arial" w:eastAsia="Arial" w:hAnsi="Arial"/>
          <w:sz w:val="14"/>
          <w:szCs w:val="14"/>
          <w:color w:val="auto"/>
        </w:rPr>
        <w:t>Includes 45,000 shares of Common Stock which Dr. Afeyan has the right to acquire pursuant to outstanding stock options which are or will be immediately exercisable within 60 days of April 27, 2018.</w:t>
      </w:r>
    </w:p>
    <w:p>
      <w:pPr>
        <w:spacing w:after="0" w:line="28" w:lineRule="exact"/>
        <w:rPr>
          <w:sz w:val="20"/>
          <w:szCs w:val="20"/>
          <w:color w:val="auto"/>
        </w:rPr>
      </w:pPr>
    </w:p>
    <w:p>
      <w:pPr>
        <w:ind w:left="320" w:right="60" w:hanging="116"/>
        <w:spacing w:after="0" w:line="231" w:lineRule="auto"/>
        <w:tabs>
          <w:tab w:leader="none" w:pos="320" w:val="left"/>
        </w:tabs>
        <w:numPr>
          <w:ilvl w:val="0"/>
          <w:numId w:val="35"/>
        </w:numPr>
        <w:rPr>
          <w:rFonts w:ascii="Arial" w:cs="Arial" w:eastAsia="Arial" w:hAnsi="Arial"/>
          <w:sz w:val="11"/>
          <w:szCs w:val="11"/>
          <w:color w:val="auto"/>
        </w:rPr>
      </w:pPr>
      <w:r>
        <w:rPr>
          <w:rFonts w:ascii="Arial" w:cs="Arial" w:eastAsia="Arial" w:hAnsi="Arial"/>
          <w:sz w:val="14"/>
          <w:szCs w:val="14"/>
          <w:color w:val="auto"/>
        </w:rPr>
        <w:t>Includes 86,250 shares of Common Stock which Dr. Ausiello has the right to acquire pursuant to outstanding stock options which are or will be immediately exercisable within 60 days of April 27, 2018.</w:t>
      </w:r>
    </w:p>
    <w:p>
      <w:pPr>
        <w:spacing w:after="0" w:line="28" w:lineRule="exact"/>
        <w:rPr>
          <w:sz w:val="20"/>
          <w:szCs w:val="20"/>
          <w:color w:val="auto"/>
        </w:rPr>
      </w:pPr>
    </w:p>
    <w:p>
      <w:pPr>
        <w:ind w:left="320" w:hanging="116"/>
        <w:spacing w:after="0" w:line="231" w:lineRule="auto"/>
        <w:tabs>
          <w:tab w:leader="none" w:pos="320" w:val="left"/>
        </w:tabs>
        <w:numPr>
          <w:ilvl w:val="0"/>
          <w:numId w:val="36"/>
        </w:numPr>
        <w:rPr>
          <w:rFonts w:ascii="Arial" w:cs="Arial" w:eastAsia="Arial" w:hAnsi="Arial"/>
          <w:sz w:val="11"/>
          <w:szCs w:val="11"/>
          <w:color w:val="auto"/>
        </w:rPr>
      </w:pPr>
      <w:r>
        <w:rPr>
          <w:rFonts w:ascii="Arial" w:cs="Arial" w:eastAsia="Arial" w:hAnsi="Arial"/>
          <w:sz w:val="14"/>
          <w:szCs w:val="14"/>
          <w:color w:val="auto"/>
        </w:rPr>
        <w:t>Includes 15,000 shares of Common Stock which Mr. Behar has the right to acquire pursuant to outstanding stock options which are or will be immediately exercisable within 60 days of April 27, 2018.</w:t>
      </w:r>
    </w:p>
    <w:p>
      <w:pPr>
        <w:spacing w:after="0" w:line="28" w:lineRule="exact"/>
        <w:rPr>
          <w:sz w:val="20"/>
          <w:szCs w:val="20"/>
          <w:color w:val="auto"/>
        </w:rPr>
      </w:pPr>
    </w:p>
    <w:p>
      <w:pPr>
        <w:ind w:left="320" w:right="80" w:hanging="116"/>
        <w:spacing w:after="0" w:line="231" w:lineRule="auto"/>
        <w:tabs>
          <w:tab w:leader="none" w:pos="320" w:val="left"/>
        </w:tabs>
        <w:numPr>
          <w:ilvl w:val="0"/>
          <w:numId w:val="37"/>
        </w:numPr>
        <w:rPr>
          <w:rFonts w:ascii="Arial" w:cs="Arial" w:eastAsia="Arial" w:hAnsi="Arial"/>
          <w:sz w:val="11"/>
          <w:szCs w:val="11"/>
          <w:color w:val="auto"/>
        </w:rPr>
      </w:pPr>
      <w:r>
        <w:rPr>
          <w:rFonts w:ascii="Arial" w:cs="Arial" w:eastAsia="Arial" w:hAnsi="Arial"/>
          <w:sz w:val="14"/>
          <w:szCs w:val="14"/>
          <w:color w:val="auto"/>
        </w:rPr>
        <w:t>Includes 45,000 shares of Common Stock which Mr. Graves has the right to acquire pursuant to outstanding stock options which are or will be immediately exercisable within 60 days of April 27, 2018</w:t>
      </w:r>
    </w:p>
    <w:p>
      <w:pPr>
        <w:spacing w:after="0" w:line="28" w:lineRule="exact"/>
        <w:rPr>
          <w:sz w:val="20"/>
          <w:szCs w:val="20"/>
          <w:color w:val="auto"/>
        </w:rPr>
      </w:pPr>
    </w:p>
    <w:p>
      <w:pPr>
        <w:ind w:left="320" w:hanging="116"/>
        <w:spacing w:after="0" w:line="231" w:lineRule="auto"/>
        <w:tabs>
          <w:tab w:leader="none" w:pos="320" w:val="left"/>
        </w:tabs>
        <w:numPr>
          <w:ilvl w:val="0"/>
          <w:numId w:val="38"/>
        </w:numPr>
        <w:rPr>
          <w:rFonts w:ascii="Arial" w:cs="Arial" w:eastAsia="Arial" w:hAnsi="Arial"/>
          <w:sz w:val="11"/>
          <w:szCs w:val="11"/>
          <w:color w:val="auto"/>
        </w:rPr>
      </w:pPr>
      <w:r>
        <w:rPr>
          <w:rFonts w:ascii="Arial" w:cs="Arial" w:eastAsia="Arial" w:hAnsi="Arial"/>
          <w:sz w:val="14"/>
          <w:szCs w:val="14"/>
          <w:color w:val="auto"/>
        </w:rPr>
        <w:t>Includes 110,625 shares of Common Stock which Mr. Kender has the right to acquire pursuant to outstanding stock options which are or will be immediately exercisable within 60 days of April 27, 2018.</w:t>
      </w:r>
    </w:p>
    <w:p>
      <w:pPr>
        <w:spacing w:after="0" w:line="28" w:lineRule="exact"/>
        <w:rPr>
          <w:sz w:val="20"/>
          <w:szCs w:val="20"/>
          <w:color w:val="auto"/>
        </w:rPr>
      </w:pPr>
    </w:p>
    <w:p>
      <w:pPr>
        <w:ind w:left="340" w:right="40" w:hanging="136"/>
        <w:spacing w:after="0" w:line="231" w:lineRule="auto"/>
        <w:tabs>
          <w:tab w:leader="none" w:pos="340" w:val="left"/>
        </w:tabs>
        <w:numPr>
          <w:ilvl w:val="0"/>
          <w:numId w:val="39"/>
        </w:numPr>
        <w:rPr>
          <w:rFonts w:ascii="Arial" w:cs="Arial" w:eastAsia="Arial" w:hAnsi="Arial"/>
          <w:sz w:val="11"/>
          <w:szCs w:val="11"/>
          <w:color w:val="auto"/>
        </w:rPr>
      </w:pPr>
      <w:r>
        <w:rPr>
          <w:rFonts w:ascii="Arial" w:cs="Arial" w:eastAsia="Arial" w:hAnsi="Arial"/>
          <w:sz w:val="14"/>
          <w:szCs w:val="14"/>
          <w:color w:val="auto"/>
        </w:rPr>
        <w:t>Includes 110,625 shares of Common Stock which Dr. Kim has the right to acquire pursuant to outstanding stock options which are or will be immediately exercisable within 60 days of April 27, 2018.</w:t>
      </w:r>
    </w:p>
    <w:p>
      <w:pPr>
        <w:spacing w:after="0" w:line="27" w:lineRule="exact"/>
        <w:rPr>
          <w:rFonts w:ascii="Arial" w:cs="Arial" w:eastAsia="Arial" w:hAnsi="Arial"/>
          <w:sz w:val="11"/>
          <w:szCs w:val="11"/>
          <w:color w:val="auto"/>
        </w:rPr>
      </w:pPr>
    </w:p>
    <w:p>
      <w:pPr>
        <w:ind w:left="340" w:right="100" w:hanging="136"/>
        <w:spacing w:after="0" w:line="231" w:lineRule="auto"/>
        <w:tabs>
          <w:tab w:leader="none" w:pos="340" w:val="left"/>
        </w:tabs>
        <w:numPr>
          <w:ilvl w:val="0"/>
          <w:numId w:val="39"/>
        </w:numPr>
        <w:rPr>
          <w:rFonts w:ascii="Arial" w:cs="Arial" w:eastAsia="Arial" w:hAnsi="Arial"/>
          <w:sz w:val="11"/>
          <w:szCs w:val="11"/>
          <w:color w:val="auto"/>
        </w:rPr>
      </w:pPr>
      <w:r>
        <w:rPr>
          <w:rFonts w:ascii="Arial" w:cs="Arial" w:eastAsia="Arial" w:hAnsi="Arial"/>
          <w:sz w:val="14"/>
          <w:szCs w:val="14"/>
          <w:color w:val="auto"/>
        </w:rPr>
        <w:t>Includes 352,585 shares of Common Stock which Mr. Shaff has the right to acquire pursuant to outstanding stock options which are or will be immediately exercisable within 60 days of April 26, 2018.</w:t>
      </w:r>
    </w:p>
    <w:p>
      <w:pPr>
        <w:spacing w:after="0" w:line="27" w:lineRule="exact"/>
        <w:rPr>
          <w:rFonts w:ascii="Arial" w:cs="Arial" w:eastAsia="Arial" w:hAnsi="Arial"/>
          <w:sz w:val="11"/>
          <w:szCs w:val="11"/>
          <w:color w:val="auto"/>
        </w:rPr>
      </w:pPr>
    </w:p>
    <w:p>
      <w:pPr>
        <w:ind w:left="380" w:right="220" w:hanging="176"/>
        <w:spacing w:after="0" w:line="231" w:lineRule="auto"/>
        <w:tabs>
          <w:tab w:leader="none" w:pos="380" w:val="left"/>
        </w:tabs>
        <w:numPr>
          <w:ilvl w:val="0"/>
          <w:numId w:val="39"/>
        </w:numPr>
        <w:rPr>
          <w:rFonts w:ascii="Arial" w:cs="Arial" w:eastAsia="Arial" w:hAnsi="Arial"/>
          <w:sz w:val="11"/>
          <w:szCs w:val="11"/>
          <w:color w:val="auto"/>
        </w:rPr>
      </w:pPr>
      <w:r>
        <w:rPr>
          <w:rFonts w:ascii="Arial" w:cs="Arial" w:eastAsia="Arial" w:hAnsi="Arial"/>
          <w:sz w:val="14"/>
          <w:szCs w:val="14"/>
          <w:color w:val="auto"/>
        </w:rPr>
        <w:t>Includes 299,724 shares of Common Stock which Dr. Trucksis has the right to acquire pursuant to outstanding stock options which are or will be immediately exercisable within 60 days of April 26, 2018.</w:t>
      </w:r>
    </w:p>
    <w:p>
      <w:pPr>
        <w:spacing w:after="0" w:line="27" w:lineRule="exact"/>
        <w:rPr>
          <w:rFonts w:ascii="Arial" w:cs="Arial" w:eastAsia="Arial" w:hAnsi="Arial"/>
          <w:sz w:val="11"/>
          <w:szCs w:val="11"/>
          <w:color w:val="auto"/>
        </w:rPr>
      </w:pPr>
    </w:p>
    <w:p>
      <w:pPr>
        <w:ind w:left="340" w:right="280" w:hanging="136"/>
        <w:spacing w:after="0" w:line="231" w:lineRule="auto"/>
        <w:tabs>
          <w:tab w:leader="none" w:pos="340" w:val="left"/>
        </w:tabs>
        <w:numPr>
          <w:ilvl w:val="0"/>
          <w:numId w:val="39"/>
        </w:numPr>
        <w:rPr>
          <w:rFonts w:ascii="Arial" w:cs="Arial" w:eastAsia="Arial" w:hAnsi="Arial"/>
          <w:sz w:val="11"/>
          <w:szCs w:val="11"/>
          <w:color w:val="auto"/>
        </w:rPr>
      </w:pPr>
      <w:r>
        <w:rPr>
          <w:rFonts w:ascii="Arial" w:cs="Arial" w:eastAsia="Arial" w:hAnsi="Arial"/>
          <w:sz w:val="14"/>
          <w:szCs w:val="14"/>
          <w:color w:val="auto"/>
        </w:rPr>
        <w:t>Consists of (a) 13,377,891 shares of Common Stock and (b) 2,714,341 shares of common stock which the holders have the right to acquire pursuant to outstanding stock options which are or will be immediately exercisable within 60 days of April 27, 2018.</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Board of Directors has adopted a written Related Person Transaction Policy and Procedures, setting forth the policies and procedures for the review and approval or ratification of related person transactions. This policy covers, with certain exceptions set forth in Item 404 of Regulation S-K of the Securities Act of 1933, as amended,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 The following are certain transactions, arrangements and relationships with our directors, executive officers and stockholders owning 5% or more of our outstanding Common Stock.</w:t>
      </w:r>
    </w:p>
    <w:p>
      <w:pPr>
        <w:spacing w:after="0" w:line="30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TRANSACTIONS WITH NESTLÉ HEALTH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 xml:space="preserve">In January 2016 we entered into a Collaboration and License Agreement, (the “License Agreement”), with Nestec Ltd. (“NHS”), an affiliate of Nestlé Health Science US Holdings, Inc., which holds 17.0% of our Common Stock as of April 27, 2018, for the development and commercialization of certain of our product candidates in development for the treatment and management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 (“CDI”), and inflammatory bowel disease (“IBD”), including ulcerative colitis and Crohn’s disease. The License Agreement supports the development of our portfolio of products for CDI and IBD in markets outside of the United States and Canada (the “Licensed Territory”), and is expected to provide substantial financial support for our ongoing worldwide research and development. We have retained full commercial rights to our entire portfolio of product candidates with respect to the United States and Canada, where we plan to build our own commercial organization.</w:t>
      </w:r>
    </w:p>
    <w:p>
      <w:pPr>
        <w:spacing w:after="0" w:line="60"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(the “NHS Collaboration Products”). Upon mutual agreement, one or more other products based on our microbiome technology for CDI or IBD may be added to the License Agreement in lieu of or in addition to the then-existing NHS Collaboration Products. NHS’ exclusive license in the Licensed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CERTAIN RELATIONSHIPS</w:t>
      </w:r>
    </w:p>
    <w:p>
      <w:pPr>
        <w:spacing w:after="0" w:line="136"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Territory to develop and commercialize NHS Collaboration Products extends to any indications for which we and NHS agree to develop such products. We also granted to NHS a non-exclusive license to export, develop and make NHS Collaboration Products in the licensed fields worldwide solely for commercialization in the licensed fields and in the Licensed Territory. Additionally, the rights to develop and commercialize a given NHS Collaboration Product in certain non-EU countries within the Licensed Territory may revert to us if NHS either elects not to pursue commercialization of such NHS Collaboration Product in such country, or fails to meet certain agreed upon milestones for commercialization of such NHS Collaboration Product in such country. If the licensed rights in any country revert to us in this way, then we would pay to NHS a royalty in the mid-single digits on net sales of such NHS Collaboration Product in such country.</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License Agreement sets forth our and NHS’ respective obligations for development, commercialization, regulatory and manufacturing</w:t>
      </w:r>
    </w:p>
    <w:p>
      <w:pPr>
        <w:ind w:left="200"/>
        <w:spacing w:after="0" w:line="234" w:lineRule="auto"/>
        <w:rPr>
          <w:sz w:val="20"/>
          <w:szCs w:val="20"/>
          <w:color w:val="auto"/>
        </w:rPr>
      </w:pPr>
      <w:r>
        <w:rPr>
          <w:rFonts w:ascii="Arial" w:cs="Arial" w:eastAsia="Arial" w:hAnsi="Arial"/>
          <w:sz w:val="18"/>
          <w:szCs w:val="18"/>
          <w:color w:val="auto"/>
        </w:rPr>
        <w:t>and supply activities for the NHS Collaboration Products with respect to the licensed fields and the Licensed Territory. In exchange for the</w:t>
      </w:r>
    </w:p>
    <w:p>
      <w:pPr>
        <w:ind w:left="200"/>
        <w:spacing w:after="0" w:line="235" w:lineRule="auto"/>
        <w:rPr>
          <w:sz w:val="20"/>
          <w:szCs w:val="20"/>
          <w:color w:val="auto"/>
        </w:rPr>
      </w:pPr>
      <w:r>
        <w:rPr>
          <w:rFonts w:ascii="Arial" w:cs="Arial" w:eastAsia="Arial" w:hAnsi="Arial"/>
          <w:sz w:val="18"/>
          <w:szCs w:val="18"/>
          <w:color w:val="auto"/>
        </w:rPr>
        <w:t>license, NHS paid us an upfront cash payment of $120 million in February 2016 and has agreed to pay us tiered royalties, at percentages</w:t>
      </w:r>
    </w:p>
    <w:p>
      <w:pPr>
        <w:ind w:left="200"/>
        <w:spacing w:after="0" w:line="235" w:lineRule="auto"/>
        <w:rPr>
          <w:sz w:val="20"/>
          <w:szCs w:val="20"/>
          <w:color w:val="auto"/>
        </w:rPr>
      </w:pPr>
      <w:r>
        <w:rPr>
          <w:rFonts w:ascii="Arial" w:cs="Arial" w:eastAsia="Arial" w:hAnsi="Arial"/>
          <w:sz w:val="18"/>
          <w:szCs w:val="18"/>
          <w:color w:val="auto"/>
        </w:rPr>
        <w:t>ranging from the high single digits to high teens, of net sales of NHS Collaboration Products in the Licensed Territory. Additionally, NHS</w:t>
      </w:r>
    </w:p>
    <w:p>
      <w:pPr>
        <w:ind w:left="200"/>
        <w:spacing w:after="0" w:line="235" w:lineRule="auto"/>
        <w:rPr>
          <w:sz w:val="20"/>
          <w:szCs w:val="20"/>
          <w:color w:val="auto"/>
        </w:rPr>
      </w:pPr>
      <w:r>
        <w:rPr>
          <w:rFonts w:ascii="Arial" w:cs="Arial" w:eastAsia="Arial" w:hAnsi="Arial"/>
          <w:sz w:val="18"/>
          <w:szCs w:val="18"/>
          <w:color w:val="auto"/>
        </w:rPr>
        <w:t>has agreed to pay us up to $660 million for the achievement of certain development and regulatory milestones and up to an aggregate of</w:t>
      </w:r>
    </w:p>
    <w:p>
      <w:pPr>
        <w:ind w:left="200"/>
        <w:spacing w:after="0" w:line="235" w:lineRule="auto"/>
        <w:rPr>
          <w:sz w:val="20"/>
          <w:szCs w:val="20"/>
          <w:color w:val="auto"/>
        </w:rPr>
      </w:pPr>
      <w:r>
        <w:rPr>
          <w:rFonts w:ascii="Arial" w:cs="Arial" w:eastAsia="Arial" w:hAnsi="Arial"/>
          <w:sz w:val="18"/>
          <w:szCs w:val="18"/>
          <w:color w:val="auto"/>
        </w:rPr>
        <w:t>$1.125 billion for the achievement of certain commercial milestones related to the sales of NHS Collaboration Products. We received a</w:t>
      </w:r>
    </w:p>
    <w:p>
      <w:pPr>
        <w:ind w:left="200"/>
        <w:spacing w:after="0" w:line="235" w:lineRule="auto"/>
        <w:rPr>
          <w:sz w:val="20"/>
          <w:szCs w:val="20"/>
          <w:color w:val="auto"/>
        </w:rPr>
      </w:pPr>
      <w:r>
        <w:rPr>
          <w:rFonts w:ascii="Arial" w:cs="Arial" w:eastAsia="Arial" w:hAnsi="Arial"/>
          <w:sz w:val="18"/>
          <w:szCs w:val="18"/>
          <w:color w:val="auto"/>
        </w:rPr>
        <w:t>$10 million milestone payment in 2016 associated with the initiation of our Phase 1b study for SER-262 in CDI and a $20 million milestone</w:t>
      </w:r>
    </w:p>
    <w:p>
      <w:pPr>
        <w:ind w:left="200"/>
        <w:spacing w:after="0"/>
        <w:rPr>
          <w:sz w:val="20"/>
          <w:szCs w:val="20"/>
          <w:color w:val="auto"/>
        </w:rPr>
      </w:pPr>
      <w:r>
        <w:rPr>
          <w:rFonts w:ascii="Arial" w:cs="Arial" w:eastAsia="Arial" w:hAnsi="Arial"/>
          <w:sz w:val="18"/>
          <w:szCs w:val="18"/>
          <w:color w:val="auto"/>
        </w:rPr>
        <w:t>payment in 2017 associated with the initiation of our Phase 3 study of SER-109 in multiply recurrent CDI.</w:t>
      </w:r>
    </w:p>
    <w:p>
      <w:pPr>
        <w:spacing w:after="0" w:line="7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License Agreement continues in effect until terminated by either us or NHS on the following bases: (i) NHS may terminate the License Agreement in the event of serious safety issues related to any of the NHS Collaboration Products; (ii) we may terminate the License Agreement if NHS challenges the validity or enforceability of any of our licensed patents; and (iii) either we or NHS may terminate the License Agreement in the event of the other party’s uncured material breach or insolvency. Upon termination of the License Agreement, all licenses granted to NHS by us will terminate, and all rights in and to the NHS Collaboration Products in the Licensed Territory will revert to us. If we commit a material breach of the License Agreement, NHS may elect not to terminate the License Agreement but instead apply specified adjustments to its payment obligations and other terms and conditions of the License Agreement.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8" w:lineRule="exact"/>
        <w:rPr>
          <w:sz w:val="20"/>
          <w:szCs w:val="20"/>
          <w:color w:val="auto"/>
        </w:rPr>
      </w:pPr>
    </w:p>
    <w:p>
      <w:pPr>
        <w:jc w:val="both"/>
        <w:ind w:left="200" w:right="220"/>
        <w:spacing w:after="0"/>
        <w:rPr>
          <w:sz w:val="20"/>
          <w:szCs w:val="20"/>
          <w:color w:val="auto"/>
        </w:rPr>
      </w:pPr>
      <w:r>
        <w:rPr>
          <w:rFonts w:ascii="Arial" w:cs="Arial" w:eastAsia="Arial" w:hAnsi="Arial"/>
          <w:sz w:val="18"/>
          <w:szCs w:val="18"/>
          <w:color w:val="auto"/>
        </w:rPr>
        <w:t>We have entered into employment agreements with our executive officers. For more information regarding the employment agreements with our named executive officers, see the section in this proxy statement entitled “Executive and Director Compensation—Employment Agreements.”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wp:posOffset>
            </wp:positionV>
            <wp:extent cx="6997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Section 16(a) of the Exchange Act requires our directors, executive officers and stockholders who beneficially own more than 10% of any class of our equity securities registered pursuant to Section 12 of the Exchange Act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515620</wp:posOffset>
            </wp:positionV>
            <wp:extent cx="6997700"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During the fiscal year ended December 31, 2017, Noubar B. Afeyan, Ph.D., Peter Barton Hutt, Richard N. Kender, Lorence H. Kim, M.D. and Kurt C. Graves served as members of our Compensation Committee. No member of our Compensation Committee during the fiscal year ended December 31, 2017 is or has been an officer or employee of our Company.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2017.</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2019 Annual Meeting of Stockholders pursuant to Rule 14a-8 under the Exchange Act must submit the proposal to our Secretary at our offices at 200 Sidney Street, Cambridge, MA 02139 in writing not later than December 31, 2018.</w:t>
      </w:r>
    </w:p>
    <w:p>
      <w:pPr>
        <w:spacing w:after="0" w:line="5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Stockholders intending to present a proposal at the 2019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2019 Annual Meeting of Stockholders no earlier than the close of business on February 26, 2019 and no later than the close of business on March 28, 2019. The notice must contain the information required by the Amended and Restated Bylaws, a copy of which is available upon request to our Secretary. In the event that the date of the 2019 Annual Meeting of Stockholders is more than 30 days before or more than 60 days after June 26, 2019, then our Secretary must receive such written notice not earlier than the close of business on the 120th day prior to the 2019 Annual Meeting and not later than the close of business on the 90th day prior to the 2019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69"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6997700"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200" w:right="500"/>
        <w:spacing w:after="0" w:line="261" w:lineRule="auto"/>
        <w:rPr>
          <w:sz w:val="20"/>
          <w:szCs w:val="20"/>
          <w:color w:val="auto"/>
        </w:rPr>
      </w:pPr>
      <w:r>
        <w:rPr>
          <w:rFonts w:ascii="Arial" w:cs="Arial" w:eastAsia="Arial" w:hAnsi="Arial"/>
          <w:sz w:val="17"/>
          <w:szCs w:val="17"/>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97" w:lineRule="exact"/>
        <w:rPr>
          <w:sz w:val="20"/>
          <w:szCs w:val="20"/>
          <w:color w:val="auto"/>
        </w:rPr>
      </w:pPr>
    </w:p>
    <w:p>
      <w:pPr>
        <w:ind w:left="200" w:right="480"/>
        <w:spacing w:after="0" w:line="246"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699770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Seres’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123190</wp:posOffset>
            </wp:positionV>
            <wp:extent cx="6997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A copy of Seres’ Annual Report on Form 10-K for the fiscal year ended December 31, 2017, including financial statements and schedules thereto but not including exhibits, as filed with the SEC, will be sent to any stockholder of record on April 27, 2018 without charge upon written request addressed to:</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Seres Therapeutics, Inc.</w:t>
      </w:r>
    </w:p>
    <w:p>
      <w:pPr>
        <w:ind w:left="1080"/>
        <w:spacing w:after="0" w:line="234" w:lineRule="auto"/>
        <w:rPr>
          <w:sz w:val="20"/>
          <w:szCs w:val="20"/>
          <w:color w:val="auto"/>
        </w:rPr>
      </w:pPr>
      <w:r>
        <w:rPr>
          <w:rFonts w:ascii="Arial" w:cs="Arial" w:eastAsia="Arial" w:hAnsi="Arial"/>
          <w:sz w:val="18"/>
          <w:szCs w:val="18"/>
          <w:color w:val="auto"/>
        </w:rPr>
        <w:t>Attention: Secretary</w:t>
      </w:r>
    </w:p>
    <w:p>
      <w:pPr>
        <w:ind w:left="1080"/>
        <w:spacing w:after="0" w:line="235" w:lineRule="auto"/>
        <w:rPr>
          <w:sz w:val="20"/>
          <w:szCs w:val="20"/>
          <w:color w:val="auto"/>
        </w:rPr>
      </w:pPr>
      <w:r>
        <w:rPr>
          <w:rFonts w:ascii="Arial" w:cs="Arial" w:eastAsia="Arial" w:hAnsi="Arial"/>
          <w:sz w:val="18"/>
          <w:szCs w:val="18"/>
          <w:color w:val="auto"/>
        </w:rPr>
        <w:t>200 Sidney Street</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Cambridge, MA 02139</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A reasonable fee will be charged for copies of exhibits. You also may access this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You also may access our Annual Report on Form 10-K for the year ended December 31, 2017 at</w:t>
      </w:r>
      <w:r>
        <w:rPr>
          <w:rFonts w:ascii="Arial" w:cs="Arial" w:eastAsia="Arial" w:hAnsi="Arial"/>
          <w:sz w:val="18"/>
          <w:szCs w:val="18"/>
          <w:i w:val="1"/>
          <w:iCs w:val="1"/>
          <w:color w:val="auto"/>
        </w:rPr>
        <w:t xml:space="preserve"> www.serestherapeutics.com</w:t>
      </w:r>
      <w:r>
        <w:rPr>
          <w:rFonts w:ascii="Arial" w:cs="Arial" w:eastAsia="Arial" w:hAnsi="Arial"/>
          <w:sz w:val="18"/>
          <w:szCs w:val="18"/>
          <w:color w:val="auto"/>
        </w:rPr>
        <w:t>.</w:t>
      </w:r>
    </w:p>
    <w:p>
      <w:pPr>
        <w:spacing w:after="0" w:line="181" w:lineRule="exact"/>
        <w:rPr>
          <w:sz w:val="20"/>
          <w:szCs w:val="20"/>
          <w:color w:val="auto"/>
        </w:rPr>
      </w:pPr>
    </w:p>
    <w:p>
      <w:pPr>
        <w:ind w:left="200" w:right="160"/>
        <w:spacing w:after="0" w:line="244" w:lineRule="auto"/>
        <w:rPr>
          <w:sz w:val="20"/>
          <w:szCs w:val="20"/>
          <w:color w:val="auto"/>
        </w:rPr>
      </w:pPr>
      <w:r>
        <w:rPr>
          <w:rFonts w:ascii="Arial" w:cs="Arial" w:eastAsia="Arial" w:hAnsi="Arial"/>
          <w:sz w:val="18"/>
          <w:szCs w:val="18"/>
          <w:b w:val="1"/>
          <w:bCs w:val="1"/>
          <w:color w:val="auto"/>
        </w:rPr>
        <w:t>WHETHER OR NOT YOU PLAN TO ATTEND THE ANNUAL MEETING IN PERSON,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1920875" cy="4286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20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Thomas J. DesRosier, Secretary</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Cambridge, Massachusetts</w:t>
      </w:r>
    </w:p>
    <w:p>
      <w:pPr>
        <w:ind w:left="200"/>
        <w:spacing w:after="0"/>
        <w:rPr>
          <w:sz w:val="20"/>
          <w:szCs w:val="20"/>
          <w:color w:val="auto"/>
        </w:rPr>
      </w:pPr>
      <w:r>
        <w:rPr>
          <w:rFonts w:ascii="Arial" w:cs="Arial" w:eastAsia="Arial" w:hAnsi="Arial"/>
          <w:sz w:val="18"/>
          <w:szCs w:val="18"/>
          <w:color w:val="auto"/>
        </w:rPr>
        <w:t>April 30, 2018</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160"/>
          </w:cols>
          <w:pgMar w:left="240" w:top="459" w:right="49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220345</wp:posOffset>
            </wp:positionV>
            <wp:extent cx="5488305" cy="72034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88305" cy="72034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220345</wp:posOffset>
            </wp:positionV>
            <wp:extent cx="5488305" cy="72034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88305" cy="720344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lvl w:ilvl="1">
      <w:lvlJc w:val="left"/>
      <w:lvlText w:val="(%2)"/>
      <w:numFmt w:val="decimal"/>
      <w:start w:val="1"/>
    </w:lvl>
  </w:abstractNum>
  <w:abstractNum w:abstractNumId="5">
    <w:nsid w:val="2443A858"/>
    <w:multiLevelType w:val="hybridMultilevel"/>
    <w:lvl w:ilvl="0">
      <w:lvlJc w:val="left"/>
      <w:lvlText w:val="(%1)"/>
      <w:numFmt w:val="decimal"/>
      <w:start w:val="2"/>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bullet"/>
      <w:start w:val="1"/>
    </w:lvl>
  </w:abstractNum>
  <w:abstractNum w:abstractNumId="9">
    <w:nsid w:val="8EDBDAB"/>
    <w:multiLevelType w:val="hybridMultilevel"/>
    <w:lvl w:ilvl="0">
      <w:lvlJc w:val="left"/>
      <w:lvlText w:val="2"/>
      <w:numFmt w:val="bullet"/>
      <w:start w:val="1"/>
    </w:lvl>
  </w:abstractNum>
  <w:abstractNum w:abstractNumId="10">
    <w:nsid w:val="79838CB2"/>
    <w:multiLevelType w:val="hybridMultilevel"/>
    <w:lvl w:ilvl="0">
      <w:lvlJc w:val="left"/>
      <w:lvlText w:val="3"/>
      <w:numFmt w:val="bullet"/>
      <w:start w:val="1"/>
    </w:lvl>
  </w:abstractNum>
  <w:abstractNum w:abstractNumId="11">
    <w:nsid w:val="4353D0CD"/>
    <w:multiLevelType w:val="hybridMultilevel"/>
    <w:lvl w:ilvl="0">
      <w:lvlJc w:val="left"/>
      <w:lvlText w:val="4"/>
      <w:numFmt w:val="bullet"/>
      <w:start w:val="1"/>
    </w:lvl>
  </w:abstractNum>
  <w:abstractNum w:abstractNumId="12">
    <w:nsid w:val="B03E0C6"/>
    <w:multiLevelType w:val="hybridMultilevel"/>
    <w:lvl w:ilvl="0">
      <w:lvlJc w:val="left"/>
      <w:lvlText w:val="5"/>
      <w:numFmt w:val="bullet"/>
      <w:start w:val="1"/>
    </w:lvl>
  </w:abstractNum>
  <w:abstractNum w:abstractNumId="13">
    <w:nsid w:val="189A769B"/>
    <w:multiLevelType w:val="hybridMultilevel"/>
    <w:lvl w:ilvl="0">
      <w:lvlJc w:val="left"/>
      <w:lvlText w:val="6"/>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4"/>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lvl w:ilvl="1">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bullet"/>
      <w:start w:val="1"/>
    </w:lvl>
  </w:abstractNum>
  <w:abstractNum w:abstractNumId="27">
    <w:nsid w:val="3006C83E"/>
    <w:multiLevelType w:val="hybridMultilevel"/>
    <w:lvl w:ilvl="0">
      <w:lvlJc w:val="left"/>
      <w:lvlText w:val="3"/>
      <w:numFmt w:val="bullet"/>
      <w:start w:val="1"/>
    </w:lvl>
  </w:abstractNum>
  <w:abstractNum w:abstractNumId="28">
    <w:nsid w:val="614FD4A1"/>
    <w:multiLevelType w:val="hybridMultilevel"/>
    <w:lvl w:ilvl="0">
      <w:lvlJc w:val="left"/>
      <w:lvlText w:val="4"/>
      <w:numFmt w:val="bullet"/>
      <w:start w:val="1"/>
    </w:lvl>
  </w:abstractNum>
  <w:abstractNum w:abstractNumId="29">
    <w:nsid w:val="419AC241"/>
    <w:multiLevelType w:val="hybridMultilevel"/>
    <w:lvl w:ilvl="0">
      <w:lvlJc w:val="left"/>
      <w:lvlText w:val="1"/>
      <w:numFmt w:val="bullet"/>
      <w:start w:val="1"/>
    </w:lvl>
  </w:abstractNum>
  <w:abstractNum w:abstractNumId="30">
    <w:nsid w:val="5577F8E1"/>
    <w:multiLevelType w:val="hybridMultilevel"/>
    <w:lvl w:ilvl="0">
      <w:lvlJc w:val="left"/>
      <w:lvlText w:val="2"/>
      <w:numFmt w:val="bullet"/>
      <w:start w:val="1"/>
    </w:lvl>
  </w:abstractNum>
  <w:abstractNum w:abstractNumId="31">
    <w:nsid w:val="440BADFC"/>
    <w:multiLevelType w:val="hybridMultilevel"/>
    <w:lvl w:ilvl="0">
      <w:lvlJc w:val="left"/>
      <w:lvlText w:val="3"/>
      <w:numFmt w:val="bullet"/>
      <w:start w:val="1"/>
    </w:lvl>
  </w:abstractNum>
  <w:abstractNum w:abstractNumId="32">
    <w:nsid w:val="5072367"/>
    <w:multiLevelType w:val="hybridMultilevel"/>
    <w:lvl w:ilvl="0">
      <w:lvlJc w:val="left"/>
      <w:lvlText w:val="4"/>
      <w:numFmt w:val="bullet"/>
      <w:start w:val="1"/>
    </w:lvl>
  </w:abstractNum>
  <w:abstractNum w:abstractNumId="33">
    <w:nsid w:val="3804823E"/>
    <w:multiLevelType w:val="hybridMultilevel"/>
    <w:lvl w:ilvl="0">
      <w:lvlJc w:val="left"/>
      <w:lvlText w:val="5"/>
      <w:numFmt w:val="bullet"/>
      <w:start w:val="1"/>
    </w:lvl>
  </w:abstractNum>
  <w:abstractNum w:abstractNumId="34">
    <w:nsid w:val="77465F01"/>
    <w:multiLevelType w:val="hybridMultilevel"/>
    <w:lvl w:ilvl="0">
      <w:lvlJc w:val="left"/>
      <w:lvlText w:val="6"/>
      <w:numFmt w:val="bullet"/>
      <w:start w:val="1"/>
    </w:lvl>
  </w:abstractNum>
  <w:abstractNum w:abstractNumId="35">
    <w:nsid w:val="7724C67E"/>
    <w:multiLevelType w:val="hybridMultilevel"/>
    <w:lvl w:ilvl="0">
      <w:lvlJc w:val="left"/>
      <w:lvlText w:val="7"/>
      <w:numFmt w:val="bullet"/>
      <w:start w:val="1"/>
    </w:lvl>
  </w:abstractNum>
  <w:abstractNum w:abstractNumId="36">
    <w:nsid w:val="5C482A97"/>
    <w:multiLevelType w:val="hybridMultilevel"/>
    <w:lvl w:ilvl="0">
      <w:lvlJc w:val="left"/>
      <w:lvlText w:val="8"/>
      <w:numFmt w:val="bullet"/>
      <w:start w:val="1"/>
    </w:lvl>
  </w:abstractNum>
  <w:abstractNum w:abstractNumId="37">
    <w:nsid w:val="2463B9EA"/>
    <w:multiLevelType w:val="hybridMultilevel"/>
    <w:lvl w:ilvl="0">
      <w:lvlJc w:val="left"/>
      <w:lvlText w:val="9"/>
      <w:numFmt w:val="bullet"/>
      <w:start w:val="1"/>
    </w:lvl>
  </w:abstractNum>
  <w:abstractNum w:abstractNumId="38">
    <w:nsid w:val="5E884AD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2019-12-08T11:40:23Z</dcterms:created>
  <dcterms:modified xsi:type="dcterms:W3CDTF">2019-12-08T11:40:23Z</dcterms:modified>
</cp:coreProperties>
</file>