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82"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6" w:lineRule="exact"/>
        <w:rPr>
          <w:sz w:val="24"/>
          <w:szCs w:val="24"/>
          <w:color w:val="auto"/>
        </w:rPr>
      </w:pPr>
    </w:p>
    <w:p>
      <w:pPr>
        <w:ind w:left="4080"/>
        <w:spacing w:after="0"/>
        <w:rPr>
          <w:sz w:val="20"/>
          <w:szCs w:val="20"/>
          <w:color w:val="auto"/>
        </w:rPr>
      </w:pPr>
      <w:r>
        <w:rPr>
          <w:rFonts w:ascii="Arial" w:cs="Arial" w:eastAsia="Arial" w:hAnsi="Arial"/>
          <w:sz w:val="22"/>
          <w:szCs w:val="22"/>
          <w:b w:val="1"/>
          <w:bCs w:val="1"/>
          <w:color w:val="auto"/>
        </w:rPr>
        <w:t>SCHEDULE 14A INFORMATION</w:t>
      </w:r>
    </w:p>
    <w:p>
      <w:pPr>
        <w:spacing w:after="0" w:line="206"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7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60"/>
          </w:cols>
          <w:pgMar w:left="240" w:top="230" w:right="499" w:bottom="140" w:gutter="0" w:footer="0" w:header="0"/>
        </w:sectPr>
      </w:pPr>
    </w:p>
    <w:p>
      <w:pPr>
        <w:spacing w:after="0" w:line="200" w:lineRule="exact"/>
        <w:rPr>
          <w:sz w:val="24"/>
          <w:szCs w:val="24"/>
          <w:color w:val="auto"/>
        </w:rPr>
      </w:pPr>
    </w:p>
    <w:p>
      <w:pPr>
        <w:spacing w:after="0" w:line="348" w:lineRule="exact"/>
        <w:rPr>
          <w:sz w:val="24"/>
          <w:szCs w:val="24"/>
          <w:color w:val="auto"/>
        </w:rPr>
      </w:pPr>
    </w:p>
    <w:p>
      <w:pPr>
        <w:spacing w:after="0" w:line="207" w:lineRule="exact"/>
        <w:tabs>
          <w:tab w:leader="none" w:pos="27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Filed by a Party other than the Registrant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14" w:lineRule="exact"/>
        <w:rPr>
          <w:sz w:val="24"/>
          <w:szCs w:val="24"/>
          <w:color w:val="auto"/>
        </w:rPr>
      </w:pPr>
    </w:p>
    <w:p>
      <w:pPr>
        <w:sectPr>
          <w:pgSz w:w="11900" w:h="16838" w:orient="portrait"/>
          <w:cols w:equalWidth="0" w:num="2">
            <w:col w:w="5720" w:space="120"/>
            <w:col w:w="5320"/>
          </w:cols>
          <w:pgMar w:left="240" w:top="230" w:right="499" w:bottom="140" w:gutter="0" w:footer="0" w:header="0"/>
          <w:type w:val="continuous"/>
        </w:sect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SERES THERAPEUTICS,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6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66"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38" w:lineRule="exact"/>
        <w:rPr>
          <w:rFonts w:ascii="MS PGothic" w:cs="MS PGothic" w:eastAsia="MS PGothic" w:hAnsi="MS PGothic"/>
          <w:sz w:val="18"/>
          <w:szCs w:val="18"/>
          <w:color w:val="auto"/>
        </w:rPr>
      </w:pPr>
    </w:p>
    <w:p>
      <w:pPr>
        <w:ind w:left="920" w:hanging="33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33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331"/>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33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33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80" w:right="60" w:hanging="572"/>
        <w:spacing w:after="0" w:line="30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2" w:lineRule="exact"/>
        <w:rPr>
          <w:rFonts w:ascii="MS PGothic" w:cs="MS PGothic" w:eastAsia="MS PGothic" w:hAnsi="MS PGothic"/>
          <w:sz w:val="17"/>
          <w:szCs w:val="17"/>
          <w:color w:val="auto"/>
        </w:rPr>
      </w:pPr>
    </w:p>
    <w:p>
      <w:pPr>
        <w:ind w:left="920" w:hanging="331"/>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579755</wp:posOffset>
            </wp:positionH>
            <wp:positionV relativeFrom="paragraph">
              <wp:posOffset>-2848610</wp:posOffset>
            </wp:positionV>
            <wp:extent cx="667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-2402840</wp:posOffset>
            </wp:positionV>
            <wp:extent cx="6671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-1819910</wp:posOffset>
            </wp:positionV>
            <wp:extent cx="667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-1373505</wp:posOffset>
            </wp:positionV>
            <wp:extent cx="6671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-927735</wp:posOffset>
            </wp:positionV>
            <wp:extent cx="66719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579755</wp:posOffset>
            </wp:positionH>
            <wp:positionV relativeFrom="paragraph">
              <wp:posOffset>306705</wp:posOffset>
            </wp:positionV>
            <wp:extent cx="6671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71945" cy="8890"/>
                    </a:xfrm>
                    <a:prstGeom prst="rect">
                      <a:avLst/>
                    </a:prstGeom>
                    <a:noFill/>
                  </pic:spPr>
                </pic:pic>
              </a:graphicData>
            </a:graphic>
          </wp:anchor>
        </w:drawing>
      </w:r>
    </w:p>
    <w:p>
      <w:pPr>
        <w:sectPr>
          <w:pgSz w:w="11900" w:h="16838" w:orient="portrait"/>
          <w:cols w:equalWidth="0" w:num="1">
            <w:col w:w="11160"/>
          </w:cols>
          <w:pgMar w:left="240" w:top="230" w:right="499" w:bottom="140" w:gutter="0" w:footer="0" w:header="0"/>
          <w:type w:val="continuous"/>
        </w:sectPr>
      </w:pPr>
    </w:p>
    <w:bookmarkStart w:id="1" w:name="page2"/>
    <w:bookmarkEnd w:id="1"/>
    <w:p>
      <w:pPr>
        <w:ind w:left="331" w:hanging="331"/>
        <w:spacing w:after="0"/>
        <w:tabs>
          <w:tab w:leader="none" w:pos="331"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331" w:hanging="331"/>
        <w:spacing w:after="0"/>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331" w:hanging="331"/>
        <w:spacing w:after="0"/>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-584835</wp:posOffset>
            </wp:positionV>
            <wp:extent cx="66719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-139065</wp:posOffset>
            </wp:positionV>
            <wp:extent cx="6671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306705</wp:posOffset>
            </wp:positionV>
            <wp:extent cx="66719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7194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409575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452120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30"/>
          </w:cols>
          <w:pgMar w:left="829"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4913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91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auto"/>
        </w:rPr>
        <w:t>Seres Therapeutics, Inc.</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65"/>
          <w:szCs w:val="65"/>
          <w:color w:val="auto"/>
        </w:rPr>
        <w:t>PROXY</w:t>
      </w:r>
    </w:p>
    <w:p>
      <w:pPr>
        <w:ind w:left="660"/>
        <w:spacing w:after="0"/>
        <w:rPr>
          <w:sz w:val="20"/>
          <w:szCs w:val="20"/>
          <w:color w:val="auto"/>
        </w:rPr>
      </w:pPr>
      <w:r>
        <w:rPr>
          <w:rFonts w:ascii="Arial" w:cs="Arial" w:eastAsia="Arial" w:hAnsi="Arial"/>
          <w:sz w:val="65"/>
          <w:szCs w:val="65"/>
          <w:color w:val="auto"/>
        </w:rPr>
        <w:t>STATEMENT</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53"/>
          <w:szCs w:val="53"/>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20"/>
        <w:spacing w:after="0"/>
        <w:rPr>
          <w:sz w:val="20"/>
          <w:szCs w:val="20"/>
          <w:color w:val="auto"/>
        </w:rPr>
      </w:pPr>
      <w:r>
        <w:rPr>
          <w:rFonts w:ascii="Arial" w:cs="Arial" w:eastAsia="Arial" w:hAnsi="Arial"/>
          <w:sz w:val="14"/>
          <w:szCs w:val="14"/>
          <w:color w:val="auto"/>
        </w:rPr>
        <w:t>June 20, 2017</w:t>
      </w:r>
    </w:p>
    <w:p>
      <w:pPr>
        <w:ind w:left="620"/>
        <w:spacing w:after="0"/>
        <w:rPr>
          <w:sz w:val="20"/>
          <w:szCs w:val="20"/>
          <w:color w:val="auto"/>
        </w:rPr>
      </w:pPr>
      <w:r>
        <w:rPr>
          <w:rFonts w:ascii="Arial" w:cs="Arial" w:eastAsia="Arial" w:hAnsi="Arial"/>
          <w:sz w:val="14"/>
          <w:szCs w:val="14"/>
          <w:color w:val="auto"/>
        </w:rPr>
        <w:t>8:00 a.m. (Eastern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May 1, 2017</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7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You are cordially invited to attend the 2017 Annual Meeting of Stockholders of Seres Therapeutics, Inc. at 8:00 a.m. Eastern time, on Tuesday, June 20, 2017, at our principal executive offices located at 200 Sidney Street, Cambridge Massachusetts 02139.</w:t>
      </w:r>
    </w:p>
    <w:p>
      <w:pPr>
        <w:spacing w:after="0" w:line="4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Notice of Meeting and Proxy Statement on the following pages describe the matters to be presented at the Annual Meeting. If you would like to attend the Annual Meeting, you must call 1-617-945-9626 no later than 5:00 p.m. Eastern time on June 16, 2017 to have your name placed on the attendance list. Please see the section called “Who Can Attend the 2017 Annual Meeting of Stockholders?” on page 3 of the proxy statement for more information about how to attend the meeting in person.</w:t>
      </w:r>
    </w:p>
    <w:p>
      <w:pPr>
        <w:spacing w:after="0" w:line="5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in person, even if you have previously submitted your proxy.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support.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46555" cy="5918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655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Roger J. Pomerantz, M.D.</w:t>
      </w:r>
    </w:p>
    <w:p>
      <w:pPr>
        <w:spacing w:after="0"/>
        <w:rPr>
          <w:sz w:val="20"/>
          <w:szCs w:val="20"/>
          <w:color w:val="auto"/>
        </w:rPr>
      </w:pPr>
      <w:r>
        <w:rPr>
          <w:rFonts w:ascii="Arial" w:cs="Arial" w:eastAsia="Arial" w:hAnsi="Arial"/>
          <w:sz w:val="18"/>
          <w:szCs w:val="18"/>
          <w:color w:val="auto"/>
        </w:rPr>
        <w:t>President, Chief Executive Officer and Chairman of the Board</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Proxy Statement</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Proposals</w:t>
        </w:r>
      </w:hyperlink>
    </w:p>
    <w:p>
      <w:pPr>
        <w:ind w:left="580"/>
        <w:spacing w:after="0" w:line="234" w:lineRule="auto"/>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Recommendations of the Board</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Information About This Proxy Statement</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Questions and Answers About the 2017 Annual Meeting of Stockholders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Proposals to be Voted On</w:t>
        </w:r>
      </w:hyperlink>
    </w:p>
    <w:p>
      <w:pPr>
        <w:spacing w:after="0" w:line="13" w:lineRule="exact"/>
        <w:rPr>
          <w:sz w:val="20"/>
          <w:szCs w:val="20"/>
          <w:color w:val="auto"/>
        </w:rPr>
      </w:pPr>
    </w:p>
    <w:p>
      <w:pPr>
        <w:ind w:left="580"/>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 xml:space="preserve">Proposal 1: </w:t>
        </w:r>
        <w:r>
          <w:rPr>
            <w:rFonts w:ascii="Arial" w:cs="Arial" w:eastAsia="Arial" w:hAnsi="Arial"/>
            <w:sz w:val="18"/>
            <w:szCs w:val="18"/>
            <w:u w:val="single" w:color="auto"/>
            <w:color w:val="0000EE"/>
          </w:rPr>
          <w:t>Election of Directors</w:t>
        </w:r>
      </w:hyperlink>
    </w:p>
    <w:p>
      <w:pPr>
        <w:ind w:left="580"/>
        <w:spacing w:after="0"/>
        <w:rPr>
          <w:rFonts w:ascii="Arial" w:cs="Arial" w:eastAsia="Arial" w:hAnsi="Arial"/>
          <w:sz w:val="18"/>
          <w:szCs w:val="18"/>
          <w:b w:val="1"/>
          <w:bCs w:val="1"/>
          <w:u w:val="single" w:color="auto"/>
          <w:color w:val="0000EE"/>
        </w:rPr>
      </w:pPr>
      <w:hyperlink w:anchor="page18">
        <w:r>
          <w:rPr>
            <w:rFonts w:ascii="Arial" w:cs="Arial" w:eastAsia="Arial" w:hAnsi="Arial"/>
            <w:sz w:val="18"/>
            <w:szCs w:val="18"/>
            <w:b w:val="1"/>
            <w:bCs w:val="1"/>
            <w:u w:val="single" w:color="auto"/>
            <w:color w:val="0000EE"/>
          </w:rPr>
          <w:t xml:space="preserve">Proposal 2:  </w:t>
        </w:r>
        <w:r>
          <w:rPr>
            <w:rFonts w:ascii="Arial" w:cs="Arial" w:eastAsia="Arial" w:hAnsi="Arial"/>
            <w:sz w:val="18"/>
            <w:szCs w:val="18"/>
            <w:u w:val="single" w:color="auto"/>
            <w:color w:val="0000EE"/>
          </w:rPr>
          <w:t>Ratification of Appointment of Independent Registered Public Accounting Firm</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9">
        <w:r>
          <w:rPr>
            <w:rFonts w:ascii="Arial" w:cs="Arial" w:eastAsia="Arial" w:hAnsi="Arial"/>
            <w:sz w:val="18"/>
            <w:szCs w:val="18"/>
            <w:b w:val="1"/>
            <w:bCs w:val="1"/>
            <w:u w:val="single" w:color="auto"/>
            <w:color w:val="0000EE"/>
          </w:rPr>
          <w:t>Report of the Audit Committee of the Board of Directors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Independent Registered Public Accounting Firm Fees and Other Matters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Executive Officers</w:t>
        </w:r>
      </w:hyperlink>
    </w:p>
    <w:p>
      <w:pPr>
        <w:spacing w:after="0" w:line="21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Corporate Governance</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General</w:t>
        </w:r>
      </w:hyperlink>
    </w:p>
    <w:p>
      <w:pPr>
        <w:ind w:left="580"/>
        <w:spacing w:after="0" w:line="234"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Board Composition</w:t>
        </w:r>
      </w:hyperlink>
    </w:p>
    <w:p>
      <w:pPr>
        <w:ind w:left="580"/>
        <w:spacing w:after="0" w:line="235" w:lineRule="auto"/>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Director Independence</w:t>
        </w:r>
      </w:hyperlink>
    </w:p>
    <w:p>
      <w:pPr>
        <w:ind w:left="580"/>
        <w:spacing w:after="0" w:line="23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Candidates</w:t>
        </w:r>
      </w:hyperlink>
    </w:p>
    <w:p>
      <w:pPr>
        <w:ind w:left="580"/>
        <w:spacing w:after="0" w:line="235"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Communications from Stockholders</w:t>
        </w:r>
      </w:hyperlink>
    </w:p>
    <w:p>
      <w:pPr>
        <w:ind w:left="580"/>
        <w:spacing w:after="0" w:line="235"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Board Leadership Structure and Role in Risk Oversight</w:t>
        </w:r>
      </w:hyperlink>
    </w:p>
    <w:p>
      <w:pPr>
        <w:ind w:left="5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Annual Board Evaluation</w:t>
        </w:r>
      </w:hyperlink>
    </w:p>
    <w:p>
      <w:pPr>
        <w:ind w:left="580"/>
        <w:spacing w:after="0" w:line="235"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Code of Ethics</w:t>
        </w:r>
      </w:hyperlink>
    </w:p>
    <w:p>
      <w:pPr>
        <w:ind w:left="5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Attendance by Members of the Board of Directors at Meetings</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Committees of the Board</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Audit Committee</w:t>
        </w:r>
      </w:hyperlink>
    </w:p>
    <w:p>
      <w:pPr>
        <w:ind w:left="580"/>
        <w:spacing w:after="0" w:line="234" w:lineRule="auto"/>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Compensation Committee</w:t>
        </w:r>
      </w:hyperlink>
    </w:p>
    <w:p>
      <w:pPr>
        <w:spacing w:after="0" w:line="1" w:lineRule="exact"/>
        <w:rPr>
          <w:sz w:val="20"/>
          <w:szCs w:val="20"/>
          <w:color w:val="auto"/>
        </w:rPr>
      </w:pPr>
    </w:p>
    <w:p>
      <w:pPr>
        <w:ind w:left="5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Nominating and Corporate Governance Committee</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Executive and Director Compensation</w:t>
        </w:r>
      </w:hyperlink>
    </w:p>
    <w:p>
      <w:pPr>
        <w:spacing w:after="0" w:line="13" w:lineRule="exact"/>
        <w:rPr>
          <w:sz w:val="20"/>
          <w:szCs w:val="20"/>
          <w:color w:val="auto"/>
        </w:rPr>
      </w:pPr>
    </w:p>
    <w:p>
      <w:pPr>
        <w:ind w:left="5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Executive Compensation</w:t>
        </w:r>
      </w:hyperlink>
    </w:p>
    <w:p>
      <w:pPr>
        <w:ind w:left="580"/>
        <w:spacing w:after="0" w:line="234"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2016 Summary Compensation Table</w:t>
        </w:r>
      </w:hyperlink>
    </w:p>
    <w:p>
      <w:pPr>
        <w:ind w:left="580"/>
        <w:spacing w:after="0" w:line="235" w:lineRule="auto"/>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Narrative Disclosure to Compensation Table</w:t>
        </w:r>
      </w:hyperlink>
    </w:p>
    <w:p>
      <w:pPr>
        <w:ind w:left="58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Outstanding Equity Awards at 2016 Fiscal Year-End</w:t>
        </w:r>
      </w:hyperlink>
    </w:p>
    <w:p>
      <w:pPr>
        <w:ind w:left="580"/>
        <w:spacing w:after="0" w:line="235" w:lineRule="auto"/>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Employment Agreements</w:t>
        </w:r>
      </w:hyperlink>
    </w:p>
    <w:p>
      <w:pPr>
        <w:ind w:left="580"/>
        <w:spacing w:after="0" w:line="235" w:lineRule="auto"/>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Director Compensation</w:t>
        </w:r>
      </w:hyperlink>
    </w:p>
    <w:p>
      <w:pPr>
        <w:ind w:left="580"/>
        <w:spacing w:after="0" w:line="235" w:lineRule="auto"/>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2016 Director Compensation Table</w:t>
        </w:r>
      </w:hyperlink>
    </w:p>
    <w:p>
      <w:pPr>
        <w:ind w:left="5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Equity Compensation Plan Information</w:t>
        </w:r>
      </w:hyperlink>
    </w:p>
    <w:p>
      <w:pPr>
        <w:spacing w:after="0" w:line="19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Security Ownership of Certain Beneficial Owners and Management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ectPr>
          <w:pgSz w:w="11900" w:h="16838" w:orient="portrait"/>
          <w:cols w:equalWidth="0" w:num="2">
            <w:col w:w="10500" w:space="720"/>
            <w:col w:w="16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of Contents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8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Certain Relationships</w:t>
              </w:r>
            </w:hyperlink>
          </w:p>
        </w:tc>
        <w:tc>
          <w:tcPr>
            <w:tcW w:w="3420" w:type="dxa"/>
            <w:vAlign w:val="bottom"/>
            <w:gridSpan w:val="5"/>
          </w:tcPr>
          <w:p>
            <w:pPr>
              <w:spacing w:after="0"/>
              <w:rPr>
                <w:sz w:val="19"/>
                <w:szCs w:val="19"/>
                <w:color w:val="auto"/>
              </w:rPr>
            </w:pPr>
          </w:p>
        </w:tc>
        <w:tc>
          <w:tcPr>
            <w:tcW w:w="6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99"/>
        </w:trPr>
        <w:tc>
          <w:tcPr>
            <w:tcW w:w="49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Section 16(a) Beneficial Ownership Reporting Compliance</w:t>
              </w:r>
            </w:hyperlink>
          </w:p>
        </w:tc>
        <w:tc>
          <w:tcPr>
            <w:tcW w:w="300" w:type="dxa"/>
            <w:vAlign w:val="bottom"/>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52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Compensation Committee Interlocks and Insider Participation</w:t>
              </w:r>
            </w:hyperlink>
          </w:p>
        </w:tc>
        <w:tc>
          <w:tcPr>
            <w:tcW w:w="6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399"/>
        </w:trPr>
        <w:tc>
          <w:tcPr>
            <w:tcW w:w="212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Stockholders’ Proposals</w:t>
              </w:r>
            </w:hyperlink>
          </w:p>
        </w:tc>
        <w:tc>
          <w:tcPr>
            <w:tcW w:w="3160" w:type="dxa"/>
            <w:vAlign w:val="bottom"/>
            <w:gridSpan w:val="3"/>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18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44">
              <w:r>
                <w:rPr>
                  <w:rFonts w:ascii="Arial" w:cs="Arial" w:eastAsia="Arial" w:hAnsi="Arial"/>
                  <w:sz w:val="18"/>
                  <w:szCs w:val="18"/>
                  <w:b w:val="1"/>
                  <w:bCs w:val="1"/>
                  <w:color w:val="0000EE"/>
                  <w:w w:val="99"/>
                </w:rPr>
                <w:t>Other Matters</w:t>
              </w:r>
            </w:hyperlink>
          </w:p>
        </w:tc>
        <w:tc>
          <w:tcPr>
            <w:tcW w:w="4100" w:type="dxa"/>
            <w:vAlign w:val="bottom"/>
            <w:gridSpan w:val="6"/>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99"/>
        </w:trPr>
        <w:tc>
          <w:tcPr>
            <w:tcW w:w="1900" w:type="dxa"/>
            <w:vAlign w:val="bottom"/>
            <w:tcBorders>
              <w:bottom w:val="single" w:sz="8" w:color="0000EE"/>
            </w:tcBorders>
            <w:gridSpan w:val="3"/>
          </w:tcPr>
          <w:p>
            <w:pPr>
              <w:spacing w:after="0"/>
              <w:rPr>
                <w:rFonts w:ascii="Arial" w:cs="Arial" w:eastAsia="Arial" w:hAnsi="Arial"/>
                <w:sz w:val="18"/>
                <w:szCs w:val="18"/>
                <w:b w:val="1"/>
                <w:bCs w:val="1"/>
                <w:color w:val="0000EE"/>
                <w:w w:val="99"/>
              </w:rPr>
            </w:pPr>
            <w:hyperlink w:anchor="page45">
              <w:r>
                <w:rPr>
                  <w:rFonts w:ascii="Arial" w:cs="Arial" w:eastAsia="Arial" w:hAnsi="Arial"/>
                  <w:sz w:val="18"/>
                  <w:szCs w:val="18"/>
                  <w:b w:val="1"/>
                  <w:bCs w:val="1"/>
                  <w:color w:val="0000EE"/>
                  <w:w w:val="99"/>
                </w:rPr>
                <w:t>Solicitation of Proxies</w:t>
              </w:r>
            </w:hyperlink>
          </w:p>
        </w:tc>
        <w:tc>
          <w:tcPr>
            <w:tcW w:w="3380" w:type="dxa"/>
            <w:vAlign w:val="bottom"/>
            <w:gridSpan w:val="4"/>
          </w:tcPr>
          <w:p>
            <w:pPr>
              <w:spacing w:after="0"/>
              <w:rPr>
                <w:sz w:val="24"/>
                <w:szCs w:val="24"/>
                <w:color w:val="auto"/>
              </w:rPr>
            </w:pPr>
          </w:p>
        </w:tc>
        <w:tc>
          <w:tcPr>
            <w:tcW w:w="61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99"/>
        </w:trPr>
        <w:tc>
          <w:tcPr>
            <w:tcW w:w="5280" w:type="dxa"/>
            <w:vAlign w:val="bottom"/>
            <w:gridSpan w:val="7"/>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Seres Therapeutics, Inc.’s Annual Report on Form 10-K</w:t>
              </w:r>
            </w:hyperlink>
          </w:p>
        </w:tc>
        <w:tc>
          <w:tcPr>
            <w:tcW w:w="61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11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r>
    </w:tbl>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Held Tuesday, June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The Annual Meeting of Stockholders (the “Annual Meeting”) of Seres Therapeutics, Inc., a Delaware corporation (the “Company”), will be held at 8:00 a.m. Eastern time on Tuesday, June 20, 2017, at the Company’s principal executive offices located at 200 Sidney Street, Cambridge, Massachusetts 02139, for the following purposes:</w:t>
      </w:r>
    </w:p>
    <w:p>
      <w:pPr>
        <w:spacing w:after="0" w:line="68" w:lineRule="exact"/>
        <w:rPr>
          <w:sz w:val="20"/>
          <w:szCs w:val="20"/>
          <w:color w:val="auto"/>
        </w:rPr>
      </w:pPr>
    </w:p>
    <w:p>
      <w:pPr>
        <w:ind w:left="360" w:right="320"/>
        <w:spacing w:after="0" w:line="234" w:lineRule="auto"/>
        <w:rPr>
          <w:sz w:val="20"/>
          <w:szCs w:val="20"/>
          <w:color w:val="auto"/>
        </w:rPr>
      </w:pPr>
      <w:r>
        <w:rPr>
          <w:rFonts w:ascii="Arial" w:cs="Arial" w:eastAsia="Arial" w:hAnsi="Arial"/>
          <w:sz w:val="18"/>
          <w:szCs w:val="18"/>
          <w:color w:val="auto"/>
        </w:rPr>
        <w:t>To elect Richard N. Kender and Lorence H. Kim, M.D. as Class II Directors to serve until the 2020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94615" cy="85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85090"/>
                    </a:xfrm>
                    <a:prstGeom prst="rect">
                      <a:avLst/>
                    </a:prstGeom>
                    <a:noFill/>
                  </pic:spPr>
                </pic:pic>
              </a:graphicData>
            </a:graphic>
          </wp:anchor>
        </w:drawing>
      </w:r>
    </w:p>
    <w:p>
      <w:pPr>
        <w:ind w:left="360" w:right="20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0287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360" w:right="22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10287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Holders of record of our Common Stock as of the close of business on April 26, 2017 are entitled to notice of and to vote at the Annual Meeting, or any continuation, postponement or adjournment of the Annual Meeting. A complete list of these stockholders will be open to the examination of any stockholder at the Company’s principal executive offices located at 200 Sidney Street, Cambridge, Massachusetts 02139 for a period of ten days prior to the Annual Meeting and on the day of the Annual Meeting. The Annual Meeting may be continued or adjourned from time to time without notice other than by announcement at the Annual Meeting.</w:t>
      </w:r>
    </w:p>
    <w:p>
      <w:pPr>
        <w:spacing w:after="0" w:line="32"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b w:val="1"/>
          <w:bCs w:val="1"/>
          <w:color w:val="auto"/>
        </w:rPr>
        <w:t>It is important that your shares be represented regardless of the number of shares you may hold. Whether or not you plan to attend the Annual Meeting in person,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20875" cy="4286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w:t>
      </w: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May 1, 2017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SERES THERAPEUTICS, INC.</w:t>
      </w:r>
    </w:p>
    <w:p>
      <w:pPr>
        <w:spacing w:after="0" w:line="226" w:lineRule="auto"/>
        <w:rPr>
          <w:sz w:val="20"/>
          <w:szCs w:val="20"/>
          <w:color w:val="auto"/>
        </w:rPr>
      </w:pPr>
      <w:r>
        <w:rPr>
          <w:rFonts w:ascii="Arial" w:cs="Arial" w:eastAsia="Arial" w:hAnsi="Arial"/>
          <w:sz w:val="14"/>
          <w:szCs w:val="14"/>
          <w:b w:val="1"/>
          <w:bCs w:val="1"/>
          <w:color w:val="auto"/>
        </w:rPr>
        <w:t>200 SIDNEY STREET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proxy statement is furnished in connection with the solicitation by the Board of Directors of Seres Therapeutics, Inc. of proxies to be voted at our Annual Meeting of Stockholders to be held on Tuesday, June 20, 2017 (the “Annual Meeting”), at the Company’s principal executive offices located at 200 Sidney Street, Cambridge, Massachusetts 02139, at 8:00 a.m. Eastern time, and at any continuation, postponement, or adjournment of the Annual Meeting. Holders of record of shares of Common Stock, $0.001 par value (“Common Stock”), as of the close of business on April 26, 2017 (the “Record Date”), will be entitled to notice of and to vote at the Annual Meeting and any continuation, postponement, or adjournment of the Annual Meeting. As of the Record Date, there were 40,390,628 shares of Common Stock outstanding and entitled to vote at the Annual Meeting. Each share of Common Stock is entitled to one vote on any matter presented to stockholders at the Annual Meeting.</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This proxy statement and the Company’s Annual Report to Stockholders for the year ended December 31, 2016 (the “2016 Annual Report”) will be released on or about May 1, 2017 to our stockholders on the Record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“Seres”, “Company”, “we”, “us”, and “our” refer to Seres Therapeutics, Inc.</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STOCKHOLDER MEETING TO BE HELD ON TUESDAY, JUNE 20, 2017</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Proxy Statement and our 2016 Annual Report to Stockholders are available at http://www.proxyvote.com/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Stockholders may receive directions to attend the meeting in person by calling 1-617-945-9626.</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our stockholders will be asked:</w:t>
      </w:r>
    </w:p>
    <w:p>
      <w:pPr>
        <w:spacing w:after="0" w:line="77" w:lineRule="exact"/>
        <w:rPr>
          <w:sz w:val="20"/>
          <w:szCs w:val="20"/>
          <w:color w:val="auto"/>
        </w:rPr>
      </w:pPr>
    </w:p>
    <w:p>
      <w:pPr>
        <w:ind w:left="360" w:right="300"/>
        <w:spacing w:after="0" w:line="234" w:lineRule="auto"/>
        <w:rPr>
          <w:sz w:val="20"/>
          <w:szCs w:val="20"/>
          <w:color w:val="auto"/>
        </w:rPr>
      </w:pPr>
      <w:r>
        <w:rPr>
          <w:rFonts w:ascii="Arial" w:cs="Arial" w:eastAsia="Arial" w:hAnsi="Arial"/>
          <w:sz w:val="18"/>
          <w:szCs w:val="18"/>
          <w:color w:val="auto"/>
        </w:rPr>
        <w:t>To elect Richard N. Kender and Lorence H. Kim, M.D. as Class II Directors to serve until the 2020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94615" cy="94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ind w:left="360" w:right="180"/>
        <w:spacing w:after="0" w:line="234" w:lineRule="auto"/>
        <w:rPr>
          <w:sz w:val="20"/>
          <w:szCs w:val="20"/>
          <w:color w:val="auto"/>
        </w:rPr>
      </w:pPr>
      <w:r>
        <w:rPr>
          <w:rFonts w:ascii="Arial" w:cs="Arial" w:eastAsia="Arial" w:hAnsi="Arial"/>
          <w:sz w:val="18"/>
          <w:szCs w:val="18"/>
          <w:color w:val="auto"/>
        </w:rPr>
        <w:t>To ratify the appointment of PricewaterhouseCoopers LLP as our independent registered public accounting firm for the fiscal year ending December 31, 2017;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0287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ind w:left="360" w:right="200"/>
        <w:spacing w:after="0" w:line="246" w:lineRule="auto"/>
        <w:rPr>
          <w:sz w:val="20"/>
          <w:szCs w:val="20"/>
          <w:color w:val="auto"/>
        </w:rPr>
      </w:pPr>
      <w:r>
        <w:rPr>
          <w:rFonts w:ascii="Arial" w:cs="Arial" w:eastAsia="Arial" w:hAnsi="Arial"/>
          <w:sz w:val="18"/>
          <w:szCs w:val="18"/>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028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and the Board of Directors recommends that you vote: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election of Richard N. Kender and Lorence H. Kim, M.D. as Class II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94615"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615" cy="94615"/>
                    </a:xfrm>
                    <a:prstGeom prst="rect">
                      <a:avLst/>
                    </a:prstGeom>
                    <a:noFill/>
                  </pic:spPr>
                </pic:pic>
              </a:graphicData>
            </a:graphic>
          </wp:anchor>
        </w:drawing>
      </w:r>
    </w:p>
    <w:p>
      <w:pPr>
        <w:ind w:left="360" w:right="60"/>
        <w:spacing w:after="0" w:line="246" w:lineRule="auto"/>
        <w:rPr>
          <w:sz w:val="20"/>
          <w:szCs w:val="20"/>
          <w:color w:val="auto"/>
        </w:rPr>
      </w:pPr>
      <w:r>
        <w:rPr>
          <w:rFonts w:ascii="Arial" w:cs="Arial" w:eastAsia="Arial" w:hAnsi="Arial"/>
          <w:sz w:val="18"/>
          <w:szCs w:val="18"/>
          <w:color w:val="auto"/>
        </w:rPr>
        <w:t>FOR the ratification of the appointment of PricewaterhouseCoopers LLP as our independent registered public accounting firm for the fiscal year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10287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870" cy="102870"/>
                    </a:xfrm>
                    <a:prstGeom prst="rect">
                      <a:avLst/>
                    </a:prstGeom>
                    <a:noFill/>
                  </pic:spPr>
                </pic:pic>
              </a:graphicData>
            </a:graphic>
          </wp:anchor>
        </w:drawing>
      </w:r>
    </w:p>
    <w:p>
      <w:pPr>
        <w:spacing w:after="0" w:line="2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If any other matter properly comes before the stockholders for a vote at the Annual Meeting, the proxy holders named on the Company’s proxy card will vote your shares in accordance with their best judgment.</w:t>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color w:val="auto"/>
        </w:rPr>
        <w:t>Why you received this proxy statement</w:t>
      </w:r>
      <w:r>
        <w:rPr>
          <w:rFonts w:ascii="Arial" w:cs="Arial" w:eastAsia="Arial" w:hAnsi="Arial"/>
          <w:sz w:val="18"/>
          <w:szCs w:val="18"/>
          <w:color w:val="auto"/>
        </w:rPr>
        <w:t>. You are viewing or have received these proxy materials because Seres’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soliciting your proxy to vote your shares at the Annual Meeting. This proxy statement includes information that we are required to provide to you under the rules of the Securities and Exchange Commission (“SEC”) and that is designed to assist you in voting your shares.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r>
        <w:rPr>
          <w:rFonts w:ascii="Arial" w:cs="Arial" w:eastAsia="Arial" w:hAnsi="Arial"/>
          <w:sz w:val="18"/>
          <w:szCs w:val="18"/>
          <w:color w:val="auto"/>
        </w:rPr>
        <w:t>. As permitted by SEC rules, Seres is making this proxy statement and its 2016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available to its stockholders electronically via the Internet. On or about May 1, 2017, we mailed to our stockholders a Notice of Internet Availability of Proxy Materials (the “Internet Notice”) containing instructions on how to access this proxy statement and our 2016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2016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w:t>
      </w:r>
    </w:p>
    <w:p>
      <w:pPr>
        <w:spacing w:after="0" w:line="32"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Printed Copies of Our Proxy Materials. </w:t>
      </w:r>
      <w:r>
        <w:rPr>
          <w:rFonts w:ascii="Arial" w:cs="Arial" w:eastAsia="Arial" w:hAnsi="Arial"/>
          <w:sz w:val="18"/>
          <w:szCs w:val="18"/>
          <w:color w:val="auto"/>
        </w:rPr>
        <w:t>If you received printed copies of our proxy materials, then instructions regarding how you can vote</w:t>
      </w:r>
      <w:r>
        <w:rPr>
          <w:rFonts w:ascii="Arial" w:cs="Arial" w:eastAsia="Arial" w:hAnsi="Arial"/>
          <w:sz w:val="18"/>
          <w:szCs w:val="18"/>
          <w:b w:val="1"/>
          <w:bCs w:val="1"/>
          <w:color w:val="auto"/>
        </w:rPr>
        <w:t xml:space="preserve"> </w:t>
      </w:r>
      <w:r>
        <w:rPr>
          <w:rFonts w:ascii="Arial" w:cs="Arial" w:eastAsia="Arial" w:hAnsi="Arial"/>
          <w:sz w:val="18"/>
          <w:szCs w:val="18"/>
          <w:color w:val="auto"/>
        </w:rPr>
        <w:t>are contained on the proxy card included in the materials.</w:t>
      </w:r>
    </w:p>
    <w:p>
      <w:pPr>
        <w:spacing w:after="0" w:line="19" w:lineRule="exact"/>
        <w:rPr>
          <w:sz w:val="20"/>
          <w:szCs w:val="20"/>
          <w:color w:val="auto"/>
        </w:rPr>
      </w:pPr>
    </w:p>
    <w:p>
      <w:pPr>
        <w:ind w:right="40"/>
        <w:spacing w:after="0"/>
        <w:rPr>
          <w:sz w:val="20"/>
          <w:szCs w:val="20"/>
          <w:color w:val="auto"/>
        </w:rPr>
      </w:pPr>
      <w:r>
        <w:rPr>
          <w:rFonts w:ascii="Arial" w:cs="Arial" w:eastAsia="Arial" w:hAnsi="Arial"/>
          <w:sz w:val="18"/>
          <w:szCs w:val="18"/>
          <w:b w:val="1"/>
          <w:bCs w:val="1"/>
          <w:color w:val="auto"/>
        </w:rPr>
        <w:t>Householding</w:t>
      </w:r>
      <w:r>
        <w:rPr>
          <w:rFonts w:ascii="Arial" w:cs="Arial" w:eastAsia="Arial" w:hAnsi="Arial"/>
          <w:sz w:val="18"/>
          <w:szCs w:val="18"/>
          <w:color w:val="auto"/>
        </w:rPr>
        <w:t>. The SEC’s rules permit us to deliver a single Internet Notice or set of proxy materials to one address shared by two or more of</w:t>
      </w:r>
      <w:r>
        <w:rPr>
          <w:rFonts w:ascii="Arial" w:cs="Arial" w:eastAsia="Arial" w:hAnsi="Arial"/>
          <w:sz w:val="18"/>
          <w:szCs w:val="18"/>
          <w:b w:val="1"/>
          <w:bCs w:val="1"/>
          <w:color w:val="auto"/>
        </w:rPr>
        <w:t xml:space="preserve"> </w:t>
      </w:r>
      <w:r>
        <w:rPr>
          <w:rFonts w:ascii="Arial" w:cs="Arial" w:eastAsia="Arial" w:hAnsi="Arial"/>
          <w:sz w:val="18"/>
          <w:szCs w:val="18"/>
          <w:color w:val="auto"/>
        </w:rPr>
        <w:t>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1-866-540-7095 or in writing at Broadridge, Householding Department, 51 Mercedes Way, Edgewood, New York 11717.</w:t>
      </w:r>
    </w:p>
    <w:p>
      <w:pPr>
        <w:spacing w:after="0" w:line="5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you are currently a stockholder sharing an address with another stockholder and wish to receive only one copy of future Internet Notices or proxy materials for your household, please contact Broadridge at the above phone number or address.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 and Answers about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Record Date for the Annual Meeting is April 26, 2017.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40,390,628 shares of Common Stock outstanding and entitled to vote at the Annual Meeting.</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record holder holds shares in his or her name. Shares held in “street name” means shares that are held in the name of a bank or broker on a person’s behalf.</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in person at the Annual Meeting, unless you obtain a legal proxy from your bank or brokerage firm.</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A quorum must be present at the Annual Meeting for any business to be conducted. The presence at the Annual Meeting, in person or by proxy, of the holders of a majority in voting power of the Common Stock issued and outstanding and entitled to vote on the Record Date will constitute a quorum.</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CAN ATTEND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You may attend the Annual Meeting only if you are a Seres stockholder who is entitled to vote at the Annual Meeting, or if you hold a valid proxy for the Annual Meeting. If you would like to attend the Annual Meeting, you must call 1-617-945-9626 no later than 5:00 p.m. Eastern time on June 16, 2017 to have your name placed on the attendance list. In order to be admitted into the Annual Meeting, your name must appear on the attendance list and you must present government-issued photo identification (such as a driver’s license). If your bank or broker holds your shares in street name, you will also be required to present proof of beneficial ownership of our Common Stock on the Record Date, such as the Internet Notice you received from your bank or broker, or a bank or brokerage statement or a letter from your bank or broker showing that you owned shares of our Common Stock at the close of business on the Record Date.</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If a quorum is not present at the scheduled time of the Annual Meeting, (i) the Chairperson of the Annual Meeting or (ii) a majority in voting power of the stockholders entitled to vote at the Annual Meeting, present in person or represented by proxy, may adjourn the Annual Meeting until a quorum is present or represented.</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2017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recommend that stockholders vote by proxy even if they plan to attend the Annual Meeting and vote in person. If you are a stockholder of record, there are three ways to vote by proxy:</w:t>
      </w:r>
    </w:p>
    <w:p>
      <w:pPr>
        <w:spacing w:after="0" w:line="62" w:lineRule="exact"/>
        <w:rPr>
          <w:sz w:val="20"/>
          <w:szCs w:val="20"/>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Telephone—You can vote by telephone by calling 1-800-690-6903 and following the instructions on the proxy card;</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Internet—You can vote over the Internet at www.proxyvote.com by following the instructions on the Internet Notice or proxy card; or</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Mail—You can vote by mail by signing, dating and mailing the proxy card, which you may have received by mail.</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Telephone and Internet voting facilities for stockholders of record will be available 24 hours a day and will close at 11:59 p.m., Eastern Time, on June 19, 2017.</w:t>
      </w:r>
    </w:p>
    <w:p>
      <w:pPr>
        <w:spacing w:after="0" w:line="48"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in person at the Annual Meeting, you should contact your bank or broker to obtain a legal proxy and bring it to the Annual Meeting in order to vote.</w:t>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Yes.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you are a registered stockholder, you may revoke your proxy and change your vote:</w:t>
      </w:r>
    </w:p>
    <w:p>
      <w:pPr>
        <w:spacing w:after="0" w:line="77" w:lineRule="exact"/>
        <w:rPr>
          <w:sz w:val="20"/>
          <w:szCs w:val="20"/>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granting a subsequent proxy through the Internet or telephone;</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giving written notice of revocation to the Secretary of Seres prior to or at the Annual Meeting; or</w:t>
      </w:r>
    </w:p>
    <w:p>
      <w:pPr>
        <w:spacing w:after="0" w:line="49" w:lineRule="exact"/>
        <w:rPr>
          <w:rFonts w:ascii="Arial" w:cs="Arial" w:eastAsia="Arial" w:hAnsi="Arial"/>
          <w:sz w:val="18"/>
          <w:szCs w:val="18"/>
          <w:color w:val="auto"/>
        </w:rPr>
      </w:pPr>
    </w:p>
    <w:p>
      <w:pPr>
        <w:ind w:left="440" w:hanging="216"/>
        <w:spacing w:after="0"/>
        <w:tabs>
          <w:tab w:leader="none" w:pos="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0"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Your most recent proxy card or telephone or Internet proxy is the one that is counted. Your attendance at the Annual Meeting by itself will not revoke your proxy unless you give written notice of revocation to the Secretary before your proxy is voted or you vote in person at the Annual Meeting.</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held in street name,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A representative of Broadridge Financial Solutions, Inc., our inspector of election, will tabulate and certify the votes.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QUESTIONS AND ANSWERS ABOUT THE 2017 ANNUAL MEETING OF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shd w:val="clear" w:color="auto" w:fill="D8D8D8"/>
          </w:tcPr>
          <w:p>
            <w:pPr>
              <w:spacing w:after="0"/>
              <w:rPr>
                <w:sz w:val="14"/>
                <w:szCs w:val="14"/>
                <w:color w:val="auto"/>
              </w:rPr>
            </w:pPr>
          </w:p>
        </w:tc>
        <w:tc>
          <w:tcPr>
            <w:tcW w:w="4020" w:type="dxa"/>
            <w:vAlign w:val="bottom"/>
            <w:shd w:val="clear" w:color="auto" w:fill="D8D8D8"/>
          </w:tcPr>
          <w:p>
            <w:pPr>
              <w:spacing w:after="0"/>
              <w:rPr>
                <w:sz w:val="14"/>
                <w:szCs w:val="14"/>
                <w:color w:val="auto"/>
              </w:rPr>
            </w:pPr>
          </w:p>
        </w:tc>
        <w:tc>
          <w:tcPr>
            <w:tcW w:w="5120" w:type="dxa"/>
            <w:vAlign w:val="bottom"/>
            <w:shd w:val="clear" w:color="auto" w:fill="D8D8D8"/>
          </w:tcPr>
          <w:p>
            <w:pPr>
              <w:ind w:left="1480"/>
              <w:spacing w:after="0"/>
              <w:rPr>
                <w:sz w:val="20"/>
                <w:szCs w:val="20"/>
                <w:color w:val="auto"/>
              </w:rPr>
            </w:pPr>
            <w:r>
              <w:rPr>
                <w:rFonts w:ascii="Arial" w:cs="Arial" w:eastAsia="Arial" w:hAnsi="Arial"/>
                <w:sz w:val="14"/>
                <w:szCs w:val="14"/>
                <w:b w:val="1"/>
                <w:bCs w:val="1"/>
                <w:color w:val="auto"/>
              </w:rPr>
              <w:t>Effect of Votes Withheld / Abstentions</w:t>
            </w:r>
          </w:p>
        </w:tc>
      </w:tr>
      <w:tr>
        <w:trPr>
          <w:trHeight w:val="175"/>
        </w:trPr>
        <w:tc>
          <w:tcPr>
            <w:tcW w:w="22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Proposal</w:t>
            </w:r>
          </w:p>
        </w:tc>
        <w:tc>
          <w:tcPr>
            <w:tcW w:w="4020" w:type="dxa"/>
            <w:vAlign w:val="bottom"/>
            <w:tcBorders>
              <w:bottom w:val="single" w:sz="8" w:color="auto"/>
            </w:tcBorders>
            <w:shd w:val="clear" w:color="auto" w:fill="D8D8D8"/>
          </w:tcPr>
          <w:p>
            <w:pPr>
              <w:ind w:left="1620"/>
              <w:spacing w:after="0"/>
              <w:rPr>
                <w:sz w:val="20"/>
                <w:szCs w:val="20"/>
                <w:color w:val="auto"/>
              </w:rPr>
            </w:pPr>
            <w:r>
              <w:rPr>
                <w:rFonts w:ascii="Arial" w:cs="Arial" w:eastAsia="Arial" w:hAnsi="Arial"/>
                <w:sz w:val="14"/>
                <w:szCs w:val="14"/>
                <w:b w:val="1"/>
                <w:bCs w:val="1"/>
                <w:color w:val="auto"/>
              </w:rPr>
              <w:t>Votes required</w:t>
            </w:r>
          </w:p>
        </w:tc>
        <w:tc>
          <w:tcPr>
            <w:tcW w:w="5120" w:type="dxa"/>
            <w:vAlign w:val="bottom"/>
            <w:tcBorders>
              <w:bottom w:val="single" w:sz="8" w:color="auto"/>
            </w:tcBorders>
            <w:shd w:val="clear" w:color="auto" w:fill="D8D8D8"/>
          </w:tcPr>
          <w:p>
            <w:pPr>
              <w:ind w:left="1480"/>
              <w:spacing w:after="0"/>
              <w:rPr>
                <w:sz w:val="20"/>
                <w:szCs w:val="20"/>
                <w:color w:val="auto"/>
              </w:rPr>
            </w:pPr>
            <w:r>
              <w:rPr>
                <w:rFonts w:ascii="Arial" w:cs="Arial" w:eastAsia="Arial" w:hAnsi="Arial"/>
                <w:sz w:val="14"/>
                <w:szCs w:val="14"/>
                <w:b w:val="1"/>
                <w:bCs w:val="1"/>
                <w:color w:val="auto"/>
              </w:rPr>
              <w:t>and Broker Non-Votes</w:t>
            </w: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sectPr>
      </w:pPr>
    </w:p>
    <w:tbl>
      <w:tblPr>
        <w:tblLayout w:type="fixed"/>
        <w:tblInd w:w="60" w:type="dxa"/>
        <w:tblCellMar>
          <w:top w:w="0" w:type="dxa"/>
          <w:left w:w="0" w:type="dxa"/>
          <w:bottom w:w="0" w:type="dxa"/>
          <w:right w:w="0" w:type="dxa"/>
        </w:tblCellMar>
      </w:tblPr>
      <w:tr>
        <w:trPr>
          <w:trHeight w:val="149"/>
        </w:trPr>
        <w:tc>
          <w:tcPr>
            <w:tcW w:w="2940" w:type="dxa"/>
            <w:vAlign w:val="bottom"/>
            <w:gridSpan w:val="2"/>
          </w:tcPr>
          <w:p>
            <w:pPr>
              <w:spacing w:after="0" w:line="149" w:lineRule="exact"/>
              <w:rPr>
                <w:sz w:val="20"/>
                <w:szCs w:val="20"/>
                <w:color w:val="auto"/>
              </w:rPr>
            </w:pPr>
            <w:r>
              <w:rPr>
                <w:rFonts w:ascii="Arial" w:cs="Arial" w:eastAsia="Arial" w:hAnsi="Arial"/>
                <w:sz w:val="14"/>
                <w:szCs w:val="14"/>
                <w:color w:val="auto"/>
              </w:rPr>
              <w:t>Proposal 1: Election of Directors</w:t>
            </w:r>
          </w:p>
        </w:tc>
        <w:tc>
          <w:tcPr>
            <w:tcW w:w="4380" w:type="dxa"/>
            <w:vAlign w:val="bottom"/>
          </w:tcPr>
          <w:p>
            <w:pPr>
              <w:ind w:left="900"/>
              <w:spacing w:after="0" w:line="149" w:lineRule="exact"/>
              <w:rPr>
                <w:sz w:val="20"/>
                <w:szCs w:val="20"/>
                <w:color w:val="auto"/>
              </w:rPr>
            </w:pPr>
            <w:r>
              <w:rPr>
                <w:rFonts w:ascii="Arial" w:cs="Arial" w:eastAsia="Arial" w:hAnsi="Arial"/>
                <w:sz w:val="14"/>
                <w:szCs w:val="14"/>
                <w:color w:val="auto"/>
              </w:rPr>
              <w:t>The plurality of the votes cast. This means that the two</w:t>
            </w:r>
          </w:p>
        </w:tc>
      </w:tr>
      <w:tr>
        <w:trPr>
          <w:trHeight w:val="160"/>
        </w:trPr>
        <w:tc>
          <w:tcPr>
            <w:tcW w:w="700" w:type="dxa"/>
            <w:vAlign w:val="bottom"/>
            <w:tcBorders>
              <w:top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4380" w:type="dxa"/>
            <w:vAlign w:val="bottom"/>
          </w:tcPr>
          <w:p>
            <w:pPr>
              <w:ind w:left="900"/>
              <w:spacing w:after="0"/>
              <w:rPr>
                <w:sz w:val="20"/>
                <w:szCs w:val="20"/>
                <w:color w:val="auto"/>
              </w:rPr>
            </w:pPr>
            <w:r>
              <w:rPr>
                <w:rFonts w:ascii="Arial" w:cs="Arial" w:eastAsia="Arial" w:hAnsi="Arial"/>
                <w:sz w:val="14"/>
                <w:szCs w:val="14"/>
                <w:color w:val="auto"/>
              </w:rPr>
              <w:t>nominees receiving the highest number of affirmative</w:t>
            </w:r>
          </w:p>
        </w:tc>
      </w:tr>
      <w:tr>
        <w:trPr>
          <w:trHeight w:val="155"/>
        </w:trPr>
        <w:tc>
          <w:tcPr>
            <w:tcW w:w="7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4380" w:type="dxa"/>
            <w:vAlign w:val="bottom"/>
          </w:tcPr>
          <w:p>
            <w:pPr>
              <w:ind w:left="900"/>
              <w:spacing w:after="0" w:line="155" w:lineRule="exact"/>
              <w:rPr>
                <w:sz w:val="20"/>
                <w:szCs w:val="20"/>
                <w:color w:val="auto"/>
              </w:rPr>
            </w:pPr>
            <w:r>
              <w:rPr>
                <w:rFonts w:ascii="Arial" w:cs="Arial" w:eastAsia="Arial" w:hAnsi="Arial"/>
                <w:sz w:val="14"/>
                <w:szCs w:val="14"/>
                <w:color w:val="auto"/>
              </w:rPr>
              <w:t>“FOR” votes will be elected as Class II Directors.</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Votes withheld and broker non-votes will have no effect.</w:t>
      </w:r>
    </w:p>
    <w:p>
      <w:pPr>
        <w:spacing w:after="0" w:line="319" w:lineRule="exact"/>
        <w:rPr>
          <w:sz w:val="20"/>
          <w:szCs w:val="20"/>
          <w:color w:val="auto"/>
        </w:rPr>
      </w:pPr>
    </w:p>
    <w:p>
      <w:pPr>
        <w:sectPr>
          <w:pgSz w:w="11900" w:h="16838" w:orient="portrait"/>
          <w:cols w:equalWidth="0" w:num="2">
            <w:col w:w="7380" w:space="400"/>
            <w:col w:w="3640"/>
          </w:cols>
          <w:pgMar w:left="240" w:top="459" w:right="239" w:bottom="1440" w:gutter="0" w:footer="0" w:header="0"/>
          <w:type w:val="continuous"/>
        </w:sectPr>
      </w:pPr>
    </w:p>
    <w:tbl>
      <w:tblPr>
        <w:tblLayout w:type="fixed"/>
        <w:tblInd w:w="10" w:type="dxa"/>
        <w:tblCellMar>
          <w:top w:w="0" w:type="dxa"/>
          <w:left w:w="0" w:type="dxa"/>
          <w:bottom w:w="0" w:type="dxa"/>
          <w:right w:w="0" w:type="dxa"/>
        </w:tblCellMar>
      </w:tblPr>
      <w:tr>
        <w:trPr>
          <w:trHeight w:val="151"/>
        </w:trPr>
        <w:tc>
          <w:tcPr>
            <w:tcW w:w="3720" w:type="dxa"/>
            <w:vAlign w:val="bottom"/>
            <w:tcBorders>
              <w:left w:val="single" w:sz="8" w:color="D8D8D8"/>
            </w:tcBorders>
            <w:gridSpan w:val="2"/>
            <w:shd w:val="clear" w:color="auto" w:fill="D8D8D8"/>
          </w:tcPr>
          <w:p>
            <w:pPr>
              <w:ind w:left="60"/>
              <w:spacing w:after="0" w:line="151" w:lineRule="exact"/>
              <w:rPr>
                <w:sz w:val="20"/>
                <w:szCs w:val="20"/>
                <w:color w:val="auto"/>
              </w:rPr>
            </w:pPr>
            <w:r>
              <w:rPr>
                <w:rFonts w:ascii="Arial" w:cs="Arial" w:eastAsia="Arial" w:hAnsi="Arial"/>
                <w:sz w:val="14"/>
                <w:szCs w:val="14"/>
                <w:color w:val="auto"/>
              </w:rPr>
              <w:t>Proposal 2: Ratification of Appointment of Independent</w:t>
            </w:r>
          </w:p>
        </w:tc>
        <w:tc>
          <w:tcPr>
            <w:tcW w:w="3900" w:type="dxa"/>
            <w:vAlign w:val="bottom"/>
            <w:shd w:val="clear" w:color="auto" w:fill="D8D8D8"/>
          </w:tcPr>
          <w:p>
            <w:pPr>
              <w:ind w:left="180"/>
              <w:spacing w:after="0" w:line="151" w:lineRule="exact"/>
              <w:rPr>
                <w:sz w:val="20"/>
                <w:szCs w:val="20"/>
                <w:color w:val="auto"/>
              </w:rPr>
            </w:pPr>
            <w:r>
              <w:rPr>
                <w:rFonts w:ascii="Arial" w:cs="Arial" w:eastAsia="Arial" w:hAnsi="Arial"/>
                <w:sz w:val="14"/>
                <w:szCs w:val="14"/>
                <w:color w:val="auto"/>
              </w:rPr>
              <w:t>The affirmative vote of the holders of a majority in voting</w:t>
            </w:r>
          </w:p>
        </w:tc>
        <w:tc>
          <w:tcPr>
            <w:tcW w:w="3800" w:type="dxa"/>
            <w:vAlign w:val="bottom"/>
            <w:shd w:val="clear" w:color="auto" w:fill="D8D8D8"/>
          </w:tcPr>
          <w:p>
            <w:pPr>
              <w:ind w:left="160"/>
              <w:spacing w:after="0" w:line="151" w:lineRule="exact"/>
              <w:rPr>
                <w:sz w:val="20"/>
                <w:szCs w:val="20"/>
                <w:color w:val="auto"/>
              </w:rPr>
            </w:pPr>
            <w:r>
              <w:rPr>
                <w:rFonts w:ascii="Arial" w:cs="Arial" w:eastAsia="Arial" w:hAnsi="Arial"/>
                <w:sz w:val="14"/>
                <w:szCs w:val="14"/>
                <w:color w:val="auto"/>
              </w:rPr>
              <w:t>Abstentions will have no effect. We do not expect any</w:t>
            </w:r>
          </w:p>
        </w:tc>
        <w:tc>
          <w:tcPr>
            <w:tcW w:w="0" w:type="dxa"/>
            <w:vAlign w:val="bottom"/>
          </w:tcPr>
          <w:p>
            <w:pPr>
              <w:spacing w:after="0"/>
              <w:rPr>
                <w:sz w:val="1"/>
                <w:szCs w:val="1"/>
                <w:color w:val="auto"/>
              </w:rPr>
            </w:pPr>
          </w:p>
        </w:tc>
      </w:tr>
      <w:tr>
        <w:trPr>
          <w:trHeight w:val="20"/>
        </w:trPr>
        <w:tc>
          <w:tcPr>
            <w:tcW w:w="760" w:type="dxa"/>
            <w:vAlign w:val="bottom"/>
            <w:tcBorders>
              <w:left w:val="single" w:sz="8" w:color="D8D8D8"/>
            </w:tcBorders>
            <w:shd w:val="clear" w:color="auto" w:fill="000000"/>
          </w:tcPr>
          <w:p>
            <w:pPr>
              <w:spacing w:after="0" w:line="20" w:lineRule="exact"/>
              <w:rPr>
                <w:sz w:val="1"/>
                <w:szCs w:val="1"/>
                <w:color w:val="auto"/>
              </w:rPr>
            </w:pPr>
          </w:p>
        </w:tc>
        <w:tc>
          <w:tcPr>
            <w:tcW w:w="2960" w:type="dxa"/>
            <w:vAlign w:val="bottom"/>
            <w:shd w:val="clear" w:color="auto" w:fill="D8D8D8"/>
          </w:tcPr>
          <w:p>
            <w:pPr>
              <w:spacing w:after="0" w:line="20" w:lineRule="exact"/>
              <w:rPr>
                <w:sz w:val="1"/>
                <w:szCs w:val="1"/>
                <w:color w:val="auto"/>
              </w:rPr>
            </w:pPr>
          </w:p>
        </w:tc>
        <w:tc>
          <w:tcPr>
            <w:tcW w:w="3900" w:type="dxa"/>
            <w:vAlign w:val="bottom"/>
            <w:vMerge w:val="restart"/>
            <w:shd w:val="clear" w:color="auto" w:fill="D8D8D8"/>
          </w:tcPr>
          <w:p>
            <w:pPr>
              <w:ind w:left="180"/>
              <w:spacing w:after="0"/>
              <w:rPr>
                <w:sz w:val="20"/>
                <w:szCs w:val="20"/>
                <w:color w:val="auto"/>
              </w:rPr>
            </w:pPr>
            <w:r>
              <w:rPr>
                <w:rFonts w:ascii="Arial" w:cs="Arial" w:eastAsia="Arial" w:hAnsi="Arial"/>
                <w:sz w:val="14"/>
                <w:szCs w:val="14"/>
                <w:color w:val="auto"/>
              </w:rPr>
              <w:t>power of the votes cast affirmatively or negatively.</w:t>
            </w:r>
          </w:p>
        </w:tc>
        <w:tc>
          <w:tcPr>
            <w:tcW w:w="3800" w:type="dxa"/>
            <w:vAlign w:val="bottom"/>
            <w:vMerge w:val="restart"/>
            <w:shd w:val="clear" w:color="auto" w:fill="D8D8D8"/>
          </w:tcPr>
          <w:p>
            <w:pPr>
              <w:ind w:left="160"/>
              <w:spacing w:after="0"/>
              <w:rPr>
                <w:sz w:val="20"/>
                <w:szCs w:val="20"/>
                <w:color w:val="auto"/>
              </w:rPr>
            </w:pPr>
            <w:r>
              <w:rPr>
                <w:rFonts w:ascii="Arial" w:cs="Arial" w:eastAsia="Arial" w:hAnsi="Arial"/>
                <w:sz w:val="14"/>
                <w:szCs w:val="14"/>
                <w:color w:val="auto"/>
              </w:rPr>
              <w:t>broker non-votes on this proposal.</w:t>
            </w:r>
          </w:p>
        </w:tc>
        <w:tc>
          <w:tcPr>
            <w:tcW w:w="0" w:type="dxa"/>
            <w:vAlign w:val="bottom"/>
          </w:tcPr>
          <w:p>
            <w:pPr>
              <w:spacing w:after="0" w:line="20" w:lineRule="exact"/>
              <w:rPr>
                <w:sz w:val="1"/>
                <w:szCs w:val="1"/>
                <w:color w:val="auto"/>
              </w:rPr>
            </w:pPr>
          </w:p>
        </w:tc>
      </w:tr>
      <w:tr>
        <w:trPr>
          <w:trHeight w:val="156"/>
        </w:trPr>
        <w:tc>
          <w:tcPr>
            <w:tcW w:w="3720" w:type="dxa"/>
            <w:vAlign w:val="bottom"/>
            <w:tcBorders>
              <w:left w:val="single" w:sz="8" w:color="D8D8D8"/>
            </w:tcBorders>
            <w:gridSpan w:val="2"/>
            <w:shd w:val="clear" w:color="auto" w:fill="D8D8D8"/>
          </w:tcPr>
          <w:p>
            <w:pPr>
              <w:ind w:left="60"/>
              <w:spacing w:after="0" w:line="155" w:lineRule="exact"/>
              <w:rPr>
                <w:sz w:val="20"/>
                <w:szCs w:val="20"/>
                <w:color w:val="auto"/>
              </w:rPr>
            </w:pPr>
            <w:r>
              <w:rPr>
                <w:rFonts w:ascii="Arial" w:cs="Arial" w:eastAsia="Arial" w:hAnsi="Arial"/>
                <w:sz w:val="14"/>
                <w:szCs w:val="14"/>
                <w:color w:val="auto"/>
              </w:rPr>
              <w:t>Registered Public Accounting Firm</w:t>
            </w:r>
          </w:p>
        </w:tc>
        <w:tc>
          <w:tcPr>
            <w:tcW w:w="3900" w:type="dxa"/>
            <w:vAlign w:val="bottom"/>
            <w:vMerge w:val="continue"/>
            <w:shd w:val="clear" w:color="auto" w:fill="D8D8D8"/>
          </w:tcPr>
          <w:p>
            <w:pPr>
              <w:spacing w:after="0"/>
              <w:rPr>
                <w:sz w:val="13"/>
                <w:szCs w:val="13"/>
                <w:color w:val="auto"/>
              </w:rPr>
            </w:pPr>
          </w:p>
        </w:tc>
        <w:tc>
          <w:tcPr>
            <w:tcW w:w="38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 “vote withheld,” in the case of the proposal regarding the election of directors, or an “abstention,” in the case of the proposal regarding the ratification of the appointment of PricewaterhouseCoopers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PricewaterhouseCoopers LLP.</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PricewaterhouseCoopers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WHERE CAN I FIND THE VOTING RESULTS OF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plan to announce preliminary voting results at the Annual Meeting and we will report the final results in a Current Report on Form 8-K, which we intend to file with the SEC after the Annual Meeting.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PROPOSALS TO BE VOTED ON—PROPOSAL 1</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At the Annual Meeting, two (2) Class II Directors are to be elected to hold office until the Annual Meeting of Stockholders to be held in 2020 and until such director’s successor is elected and qualified or until such director’s earlier death, resignation or removal.</w:t>
      </w:r>
    </w:p>
    <w:p>
      <w:pPr>
        <w:spacing w:after="0" w:line="4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currently have eight (8) directors on our Board, including three (3) Class II Directors. Our current Class II Directors are Richard N. Kender, who has served on our Board since October 2014, Lorence H. Kim, M.D., who has served on our Board since October 2014, and Peter Barton Hutt, who has served on our Board since May 2013. Peter Barton Hutt has not been nominated for re-election as a Class II Director at the Annual Meeting following the end of his current term. The Board has nominated two director candidates for election as Class II Directors at the Annual Meeting: Richard N. Kender and Lorence H. Kim, M.D. Proxies cannot be voted for a greater number of persons than the number of nominees named in this proposal. Our Board has approved a reduction in its size from eight to seven directors, effective upon the completion of the Annual Meeting.</w:t>
      </w:r>
    </w:p>
    <w:p>
      <w:pPr>
        <w:spacing w:after="0" w:line="68"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5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2019 Annual Meeting of Stockholders and whose subsequent term will expire at the 2022 Annual Meeting of Stockholders; Class II, whose term expires at the 2017 Annual Meeting of Stockholders and whose new term will expire at the 2020 Annual Meeting of Stockholders; and Class III, whose term will expire at the 2018 Annual Meeting of Stockholders and whose subsequent term will expire at the 2021 Annual Meeting of Stockholders. The current Class I Directors are Dennis A. Ausiello, M.D, and Roger J. Pomerantz, M.D.; the current Class II Directors are Peter Barton Hutt, Richard N. Kender and Lorence H. Kim, M.D.; and the current Class III Directors are Noubar B. Afeyan, Ph.D., Grégory Behar and Kurt C. Graves.</w:t>
      </w:r>
    </w:p>
    <w:p>
      <w:pPr>
        <w:spacing w:after="0" w:line="5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you submit a proxy but do not indicate any voting instructions, the persons named as proxies will vote the shares of Common Stock represented thereby for the election as Class II Directors of the persons whose names and biographies appear below. All of the persons whose names and biographies appear below are currently serving as our directors. In the event any of the nominees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 proposal regarding the election of directors requires the approval of a plurality of the votes cast. This means that the two nominees receiving the highest number of affirmative “FOR” votes will be elected as Class II Directors. Votes withheld and broker non-votes are not considered to be votes cast and, accordingly, will have no effect on the outcome of the vote on this proposal.</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214630"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24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Class II Director nominees.</w:t>
      </w: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NOMINEES FOR CLASS II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The current members of the Board of Directors who are also nominees for election to the Board of Directors as Class II Directors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shd w:val="clear" w:color="auto" w:fill="D8D8D8"/>
          </w:tcPr>
          <w:p>
            <w:pPr>
              <w:spacing w:after="0"/>
              <w:rPr>
                <w:sz w:val="14"/>
                <w:szCs w:val="14"/>
                <w:color w:val="auto"/>
              </w:rPr>
            </w:pPr>
          </w:p>
        </w:tc>
        <w:tc>
          <w:tcPr>
            <w:tcW w:w="1760" w:type="dxa"/>
            <w:vAlign w:val="bottom"/>
            <w:shd w:val="clear" w:color="auto" w:fill="D8D8D8"/>
          </w:tcPr>
          <w:p>
            <w:pPr>
              <w:spacing w:after="0"/>
              <w:rPr>
                <w:sz w:val="14"/>
                <w:szCs w:val="14"/>
                <w:color w:val="auto"/>
              </w:rPr>
            </w:pPr>
          </w:p>
        </w:tc>
        <w:tc>
          <w:tcPr>
            <w:tcW w:w="1480" w:type="dxa"/>
            <w:vAlign w:val="bottom"/>
            <w:shd w:val="clear" w:color="auto" w:fill="D8D8D8"/>
          </w:tcPr>
          <w:p>
            <w:pPr>
              <w:jc w:val="right"/>
              <w:ind w:right="312"/>
              <w:spacing w:after="0"/>
              <w:rPr>
                <w:sz w:val="20"/>
                <w:szCs w:val="20"/>
                <w:color w:val="auto"/>
              </w:rPr>
            </w:pPr>
            <w:r>
              <w:rPr>
                <w:rFonts w:ascii="Arial" w:cs="Arial" w:eastAsia="Arial" w:hAnsi="Arial"/>
                <w:sz w:val="14"/>
                <w:szCs w:val="14"/>
                <w:b w:val="1"/>
                <w:bCs w:val="1"/>
                <w:color w:val="auto"/>
              </w:rPr>
              <w:t>Served as a</w:t>
            </w:r>
          </w:p>
        </w:tc>
        <w:tc>
          <w:tcPr>
            <w:tcW w:w="5600" w:type="dxa"/>
            <w:vAlign w:val="bottom"/>
            <w:shd w:val="clear" w:color="auto" w:fill="D8D8D8"/>
          </w:tcPr>
          <w:p>
            <w:pPr>
              <w:spacing w:after="0"/>
              <w:rPr>
                <w:sz w:val="14"/>
                <w:szCs w:val="14"/>
                <w:color w:val="auto"/>
              </w:rPr>
            </w:pPr>
          </w:p>
        </w:tc>
      </w:tr>
      <w:tr>
        <w:trPr>
          <w:trHeight w:val="179"/>
        </w:trPr>
        <w:tc>
          <w:tcPr>
            <w:tcW w:w="25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176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b w:val="1"/>
                <w:bCs w:val="1"/>
                <w:color w:val="auto"/>
              </w:rPr>
              <w:t>Age</w:t>
            </w:r>
          </w:p>
        </w:tc>
        <w:tc>
          <w:tcPr>
            <w:tcW w:w="1480" w:type="dxa"/>
            <w:vAlign w:val="bottom"/>
            <w:tcBorders>
              <w:bottom w:val="single" w:sz="8" w:color="auto"/>
            </w:tcBorders>
            <w:shd w:val="clear" w:color="auto" w:fill="D8D8D8"/>
          </w:tcPr>
          <w:p>
            <w:pPr>
              <w:jc w:val="right"/>
              <w:ind w:right="212"/>
              <w:spacing w:after="0"/>
              <w:rPr>
                <w:sz w:val="20"/>
                <w:szCs w:val="20"/>
                <w:color w:val="auto"/>
              </w:rPr>
            </w:pPr>
            <w:r>
              <w:rPr>
                <w:rFonts w:ascii="Arial" w:cs="Arial" w:eastAsia="Arial" w:hAnsi="Arial"/>
                <w:sz w:val="14"/>
                <w:szCs w:val="14"/>
                <w:b w:val="1"/>
                <w:bCs w:val="1"/>
                <w:color w:val="auto"/>
              </w:rPr>
              <w:t>Director Since</w:t>
            </w:r>
          </w:p>
        </w:tc>
        <w:tc>
          <w:tcPr>
            <w:tcW w:w="5600" w:type="dxa"/>
            <w:vAlign w:val="bottom"/>
            <w:tcBorders>
              <w:bottom w:val="single" w:sz="8" w:color="auto"/>
            </w:tcBorders>
            <w:shd w:val="clear" w:color="auto" w:fill="D8D8D8"/>
          </w:tcPr>
          <w:p>
            <w:pPr>
              <w:ind w:left="280"/>
              <w:spacing w:after="0"/>
              <w:rPr>
                <w:sz w:val="20"/>
                <w:szCs w:val="20"/>
                <w:color w:val="auto"/>
              </w:rPr>
            </w:pPr>
            <w:r>
              <w:rPr>
                <w:rFonts w:ascii="Arial" w:cs="Arial" w:eastAsia="Arial" w:hAnsi="Arial"/>
                <w:sz w:val="14"/>
                <w:szCs w:val="14"/>
                <w:b w:val="1"/>
                <w:bCs w:val="1"/>
                <w:color w:val="auto"/>
              </w:rPr>
              <w:t>Position(s) with Seres</w:t>
            </w:r>
          </w:p>
        </w:tc>
      </w:tr>
      <w:tr>
        <w:trPr>
          <w:trHeight w:val="196"/>
        </w:trPr>
        <w:tc>
          <w:tcPr>
            <w:tcW w:w="2580" w:type="dxa"/>
            <w:vAlign w:val="bottom"/>
          </w:tcPr>
          <w:p>
            <w:pPr>
              <w:ind w:left="80"/>
              <w:spacing w:after="0"/>
              <w:rPr>
                <w:sz w:val="20"/>
                <w:szCs w:val="20"/>
                <w:color w:val="auto"/>
              </w:rPr>
            </w:pPr>
            <w:r>
              <w:rPr>
                <w:rFonts w:ascii="Arial" w:cs="Arial" w:eastAsia="Arial" w:hAnsi="Arial"/>
                <w:sz w:val="14"/>
                <w:szCs w:val="14"/>
                <w:color w:val="auto"/>
              </w:rPr>
              <w:t>Richard N. Kender</w:t>
            </w:r>
          </w:p>
        </w:tc>
        <w:tc>
          <w:tcPr>
            <w:tcW w:w="1760" w:type="dxa"/>
            <w:vAlign w:val="bottom"/>
          </w:tcPr>
          <w:p>
            <w:pPr>
              <w:jc w:val="right"/>
              <w:ind w:right="232"/>
              <w:spacing w:after="0"/>
              <w:rPr>
                <w:sz w:val="20"/>
                <w:szCs w:val="20"/>
                <w:color w:val="auto"/>
              </w:rPr>
            </w:pPr>
            <w:r>
              <w:rPr>
                <w:rFonts w:ascii="Arial" w:cs="Arial" w:eastAsia="Arial" w:hAnsi="Arial"/>
                <w:sz w:val="14"/>
                <w:szCs w:val="14"/>
                <w:color w:val="auto"/>
              </w:rPr>
              <w:t>61</w:t>
            </w:r>
          </w:p>
        </w:tc>
        <w:tc>
          <w:tcPr>
            <w:tcW w:w="1480" w:type="dxa"/>
            <w:vAlign w:val="bottom"/>
          </w:tcPr>
          <w:p>
            <w:pPr>
              <w:jc w:val="right"/>
              <w:ind w:right="212"/>
              <w:spacing w:after="0"/>
              <w:rPr>
                <w:sz w:val="20"/>
                <w:szCs w:val="20"/>
                <w:color w:val="auto"/>
              </w:rPr>
            </w:pPr>
            <w:r>
              <w:rPr>
                <w:rFonts w:ascii="Arial" w:cs="Arial" w:eastAsia="Arial" w:hAnsi="Arial"/>
                <w:sz w:val="14"/>
                <w:szCs w:val="14"/>
                <w:color w:val="auto"/>
              </w:rPr>
              <w:t>2014</w:t>
            </w:r>
          </w:p>
        </w:tc>
        <w:tc>
          <w:tcPr>
            <w:tcW w:w="5600" w:type="dxa"/>
            <w:vAlign w:val="bottom"/>
          </w:tcPr>
          <w:p>
            <w:pPr>
              <w:ind w:left="280"/>
              <w:spacing w:after="0"/>
              <w:rPr>
                <w:sz w:val="20"/>
                <w:szCs w:val="20"/>
                <w:color w:val="auto"/>
              </w:rPr>
            </w:pPr>
            <w:r>
              <w:rPr>
                <w:rFonts w:ascii="Arial" w:cs="Arial" w:eastAsia="Arial" w:hAnsi="Arial"/>
                <w:sz w:val="14"/>
                <w:szCs w:val="14"/>
                <w:color w:val="auto"/>
              </w:rPr>
              <w:t>Director</w:t>
            </w:r>
          </w:p>
        </w:tc>
      </w:tr>
      <w:tr>
        <w:trPr>
          <w:trHeight w:val="202"/>
        </w:trPr>
        <w:tc>
          <w:tcPr>
            <w:tcW w:w="25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color w:val="auto"/>
              </w:rPr>
              <w:t>Lorence H. Kim, M.D.</w:t>
            </w:r>
          </w:p>
        </w:tc>
        <w:tc>
          <w:tcPr>
            <w:tcW w:w="1760" w:type="dxa"/>
            <w:vAlign w:val="bottom"/>
            <w:tcBorders>
              <w:bottom w:val="single" w:sz="8" w:color="auto"/>
            </w:tcBorders>
            <w:shd w:val="clear" w:color="auto" w:fill="D8D8D8"/>
          </w:tcPr>
          <w:p>
            <w:pPr>
              <w:jc w:val="right"/>
              <w:ind w:right="232"/>
              <w:spacing w:after="0"/>
              <w:rPr>
                <w:sz w:val="20"/>
                <w:szCs w:val="20"/>
                <w:color w:val="auto"/>
              </w:rPr>
            </w:pPr>
            <w:r>
              <w:rPr>
                <w:rFonts w:ascii="Arial" w:cs="Arial" w:eastAsia="Arial" w:hAnsi="Arial"/>
                <w:sz w:val="14"/>
                <w:szCs w:val="14"/>
                <w:color w:val="auto"/>
              </w:rPr>
              <w:t>43</w:t>
            </w:r>
          </w:p>
        </w:tc>
        <w:tc>
          <w:tcPr>
            <w:tcW w:w="1480" w:type="dxa"/>
            <w:vAlign w:val="bottom"/>
            <w:tcBorders>
              <w:bottom w:val="single" w:sz="8" w:color="auto"/>
            </w:tcBorders>
            <w:shd w:val="clear" w:color="auto" w:fill="D8D8D8"/>
          </w:tcPr>
          <w:p>
            <w:pPr>
              <w:jc w:val="right"/>
              <w:ind w:right="212"/>
              <w:spacing w:after="0"/>
              <w:rPr>
                <w:sz w:val="20"/>
                <w:szCs w:val="20"/>
                <w:color w:val="auto"/>
              </w:rPr>
            </w:pPr>
            <w:r>
              <w:rPr>
                <w:rFonts w:ascii="Arial" w:cs="Arial" w:eastAsia="Arial" w:hAnsi="Arial"/>
                <w:sz w:val="14"/>
                <w:szCs w:val="14"/>
                <w:color w:val="auto"/>
              </w:rPr>
              <w:t>2014</w:t>
            </w:r>
          </w:p>
        </w:tc>
        <w:tc>
          <w:tcPr>
            <w:tcW w:w="5600" w:type="dxa"/>
            <w:vAlign w:val="bottom"/>
            <w:tcBorders>
              <w:bottom w:val="single" w:sz="8" w:color="auto"/>
            </w:tcBorders>
            <w:shd w:val="clear" w:color="auto" w:fill="D8D8D8"/>
          </w:tcPr>
          <w:p>
            <w:pPr>
              <w:ind w:left="280"/>
              <w:spacing w:after="0"/>
              <w:rPr>
                <w:sz w:val="20"/>
                <w:szCs w:val="20"/>
                <w:color w:val="auto"/>
              </w:rPr>
            </w:pPr>
            <w:r>
              <w:rPr>
                <w:rFonts w:ascii="Arial" w:cs="Arial" w:eastAsia="Arial" w:hAnsi="Arial"/>
                <w:sz w:val="14"/>
                <w:szCs w:val="14"/>
                <w:color w:val="auto"/>
              </w:rPr>
              <w:t>Director</w:t>
            </w:r>
          </w:p>
        </w:tc>
      </w:tr>
    </w:tbl>
    <w:p>
      <w:pPr>
        <w:spacing w:after="0" w:line="80"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principal occupations and business experience, for at least the past five years, of each Class II Nominee for election at the 2017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RICHARD N. KENDER</w:t>
      </w:r>
      <w:r>
        <w:rPr>
          <w:sz w:val="20"/>
          <w:szCs w:val="20"/>
          <w:color w:val="auto"/>
        </w:rPr>
        <w:tab/>
      </w:r>
      <w:r>
        <w:rPr>
          <w:rFonts w:ascii="Arial" w:cs="Arial" w:eastAsia="Arial" w:hAnsi="Arial"/>
          <w:sz w:val="12"/>
          <w:szCs w:val="12"/>
          <w:i w:val="1"/>
          <w:iCs w:val="1"/>
          <w:color w:val="auto"/>
        </w:rPr>
        <w:t>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6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Richard N. Kender has served as a member of our board of directors since October 2014. From October 1978 to September 2013, Mr. Kender held positions in a variety of corporate areas at Merck &amp; Co., Inc. (“Merck”), a pharmaceutical company, most recently serving as Senior Vice President of Business Development and Corporate Licensing. Mr. Kender has served on the board of directors of INC Research Holdings, Inc. since 2014 and Poxel S.A. since 2015. Mr. Kender received a B.S. from Villanova University and an M.B.A. from Fairleigh Dickinson University. We believe Mr. Kender is qualified to serve on our board of directors because of his extensive business experience and his knowledge of the pharmaceutical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LORENCE H. KIM, M.D.</w:t>
      </w:r>
      <w:r>
        <w:rPr>
          <w:sz w:val="20"/>
          <w:szCs w:val="20"/>
          <w:color w:val="auto"/>
        </w:rPr>
        <w:tab/>
      </w:r>
      <w:r>
        <w:rPr>
          <w:rFonts w:ascii="Arial" w:cs="Arial" w:eastAsia="Arial" w:hAnsi="Arial"/>
          <w:sz w:val="12"/>
          <w:szCs w:val="12"/>
          <w:i w:val="1"/>
          <w:iCs w:val="1"/>
          <w:color w:val="auto"/>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7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Lorence H. Kim, M.D., has served as a member of our board of directors since October 2014. Since April 2014, Dr. Kim has been the Chief Financial Officer of Moderna Therapeutics, a biotechnology company. From July 2000 to April 2014, Dr. Kim held a number of positions at Goldman, Sachs &amp; Co., an investment bank, most recently as Managing Director and Co-Head of Biotechnology Investment Banking. Dr. Kim received an A.B. from Harvard University, an MBA in Healthcare Management from the Wharton School of the University of Pennsylvania, and an M.D. from the University of Pennsylvania’s School of Medicine. We believe Dr. Kim is qualified to serve on our board of directors because of his finance experience and knowledge of the biotechnology industry.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CONTINUING MEMBERS OF THE BOARD OF DIRECTORS: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 DIRECTORS (TERMS TO EXPIRE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 Directors are as follows: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shd w:val="clear" w:color="auto" w:fill="D8D8D8"/>
          </w:tcPr>
          <w:p>
            <w:pPr>
              <w:spacing w:after="0"/>
              <w:rPr>
                <w:sz w:val="14"/>
                <w:szCs w:val="14"/>
                <w:color w:val="auto"/>
              </w:rPr>
            </w:pPr>
          </w:p>
        </w:tc>
        <w:tc>
          <w:tcPr>
            <w:tcW w:w="2320" w:type="dxa"/>
            <w:vAlign w:val="bottom"/>
            <w:shd w:val="clear" w:color="auto" w:fill="D8D8D8"/>
          </w:tcPr>
          <w:p>
            <w:pPr>
              <w:spacing w:after="0"/>
              <w:rPr>
                <w:sz w:val="14"/>
                <w:szCs w:val="14"/>
                <w:color w:val="auto"/>
              </w:rPr>
            </w:pPr>
          </w:p>
        </w:tc>
        <w:tc>
          <w:tcPr>
            <w:tcW w:w="2100" w:type="dxa"/>
            <w:vAlign w:val="bottom"/>
            <w:shd w:val="clear" w:color="auto" w:fill="D8D8D8"/>
          </w:tcPr>
          <w:p>
            <w:pPr>
              <w:jc w:val="right"/>
              <w:ind w:right="452"/>
              <w:spacing w:after="0"/>
              <w:rPr>
                <w:sz w:val="20"/>
                <w:szCs w:val="20"/>
                <w:color w:val="auto"/>
              </w:rPr>
            </w:pPr>
            <w:r>
              <w:rPr>
                <w:rFonts w:ascii="Arial" w:cs="Arial" w:eastAsia="Arial" w:hAnsi="Arial"/>
                <w:sz w:val="14"/>
                <w:szCs w:val="14"/>
                <w:b w:val="1"/>
                <w:bCs w:val="1"/>
                <w:color w:val="auto"/>
              </w:rPr>
              <w:t>Served as a</w:t>
            </w:r>
          </w:p>
        </w:tc>
        <w:tc>
          <w:tcPr>
            <w:tcW w:w="4040" w:type="dxa"/>
            <w:vAlign w:val="bottom"/>
            <w:shd w:val="clear" w:color="auto" w:fill="D8D8D8"/>
          </w:tcPr>
          <w:p>
            <w:pPr>
              <w:spacing w:after="0"/>
              <w:rPr>
                <w:sz w:val="14"/>
                <w:szCs w:val="14"/>
                <w:color w:val="auto"/>
              </w:rPr>
            </w:pPr>
          </w:p>
        </w:tc>
      </w:tr>
      <w:tr>
        <w:trPr>
          <w:trHeight w:val="165"/>
        </w:trPr>
        <w:tc>
          <w:tcPr>
            <w:tcW w:w="296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D8D8D8"/>
          </w:tcPr>
          <w:p>
            <w:pPr>
              <w:jc w:val="right"/>
              <w:ind w:right="652"/>
              <w:spacing w:after="0"/>
              <w:rPr>
                <w:sz w:val="20"/>
                <w:szCs w:val="20"/>
                <w:color w:val="auto"/>
              </w:rPr>
            </w:pPr>
            <w:r>
              <w:rPr>
                <w:rFonts w:ascii="Arial" w:cs="Arial" w:eastAsia="Arial" w:hAnsi="Arial"/>
                <w:sz w:val="14"/>
                <w:szCs w:val="14"/>
                <w:b w:val="1"/>
                <w:bCs w:val="1"/>
                <w:color w:val="auto"/>
              </w:rPr>
              <w:t>Age</w:t>
            </w:r>
          </w:p>
        </w:tc>
        <w:tc>
          <w:tcPr>
            <w:tcW w:w="2100" w:type="dxa"/>
            <w:vAlign w:val="bottom"/>
            <w:tcBorders>
              <w:bottom w:val="single" w:sz="8" w:color="auto"/>
            </w:tcBorders>
            <w:shd w:val="clear" w:color="auto" w:fill="D8D8D8"/>
          </w:tcPr>
          <w:p>
            <w:pPr>
              <w:jc w:val="right"/>
              <w:ind w:right="372"/>
              <w:spacing w:after="0"/>
              <w:rPr>
                <w:sz w:val="20"/>
                <w:szCs w:val="20"/>
                <w:color w:val="auto"/>
              </w:rPr>
            </w:pPr>
            <w:r>
              <w:rPr>
                <w:rFonts w:ascii="Arial" w:cs="Arial" w:eastAsia="Arial" w:hAnsi="Arial"/>
                <w:sz w:val="14"/>
                <w:szCs w:val="14"/>
                <w:b w:val="1"/>
                <w:bCs w:val="1"/>
                <w:color w:val="auto"/>
              </w:rPr>
              <w:t>Director Since</w:t>
            </w:r>
          </w:p>
        </w:tc>
        <w:tc>
          <w:tcPr>
            <w:tcW w:w="404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2960" w:type="dxa"/>
            <w:vAlign w:val="bottom"/>
          </w:tcPr>
          <w:p>
            <w:pPr>
              <w:ind w:left="40"/>
              <w:spacing w:after="0"/>
              <w:rPr>
                <w:sz w:val="20"/>
                <w:szCs w:val="20"/>
                <w:color w:val="auto"/>
              </w:rPr>
            </w:pPr>
            <w:r>
              <w:rPr>
                <w:rFonts w:ascii="Arial" w:cs="Arial" w:eastAsia="Arial" w:hAnsi="Arial"/>
                <w:sz w:val="14"/>
                <w:szCs w:val="14"/>
                <w:color w:val="auto"/>
              </w:rPr>
              <w:t>Dennis A. Ausiello, M.D.</w:t>
            </w:r>
          </w:p>
        </w:tc>
        <w:tc>
          <w:tcPr>
            <w:tcW w:w="2320" w:type="dxa"/>
            <w:vAlign w:val="bottom"/>
          </w:tcPr>
          <w:p>
            <w:pPr>
              <w:jc w:val="right"/>
              <w:ind w:right="692"/>
              <w:spacing w:after="0"/>
              <w:rPr>
                <w:sz w:val="20"/>
                <w:szCs w:val="20"/>
                <w:color w:val="auto"/>
              </w:rPr>
            </w:pPr>
            <w:r>
              <w:rPr>
                <w:rFonts w:ascii="Arial" w:cs="Arial" w:eastAsia="Arial" w:hAnsi="Arial"/>
                <w:sz w:val="14"/>
                <w:szCs w:val="14"/>
                <w:color w:val="auto"/>
              </w:rPr>
              <w:t>71</w:t>
            </w:r>
          </w:p>
        </w:tc>
        <w:tc>
          <w:tcPr>
            <w:tcW w:w="2100" w:type="dxa"/>
            <w:vAlign w:val="bottom"/>
          </w:tcPr>
          <w:p>
            <w:pPr>
              <w:jc w:val="right"/>
              <w:ind w:right="372"/>
              <w:spacing w:after="0"/>
              <w:rPr>
                <w:sz w:val="20"/>
                <w:szCs w:val="20"/>
                <w:color w:val="auto"/>
              </w:rPr>
            </w:pPr>
            <w:r>
              <w:rPr>
                <w:rFonts w:ascii="Arial" w:cs="Arial" w:eastAsia="Arial" w:hAnsi="Arial"/>
                <w:sz w:val="14"/>
                <w:szCs w:val="14"/>
                <w:color w:val="auto"/>
              </w:rPr>
              <w:t>2015</w:t>
            </w:r>
          </w:p>
        </w:tc>
        <w:tc>
          <w:tcPr>
            <w:tcW w:w="4040" w:type="dxa"/>
            <w:vAlign w:val="bottom"/>
          </w:tcPr>
          <w:p>
            <w:pPr>
              <w:ind w:left="440"/>
              <w:spacing w:after="0"/>
              <w:rPr>
                <w:sz w:val="20"/>
                <w:szCs w:val="20"/>
                <w:color w:val="auto"/>
              </w:rPr>
            </w:pPr>
            <w:r>
              <w:rPr>
                <w:rFonts w:ascii="Arial" w:cs="Arial" w:eastAsia="Arial" w:hAnsi="Arial"/>
                <w:sz w:val="14"/>
                <w:szCs w:val="14"/>
                <w:color w:val="auto"/>
              </w:rPr>
              <w:t>Director</w:t>
            </w:r>
          </w:p>
        </w:tc>
      </w:tr>
      <w:tr>
        <w:trPr>
          <w:trHeight w:val="189"/>
        </w:trPr>
        <w:tc>
          <w:tcPr>
            <w:tcW w:w="2960" w:type="dxa"/>
            <w:vAlign w:val="bottom"/>
            <w:shd w:val="clear" w:color="auto" w:fill="D8D8D8"/>
          </w:tcPr>
          <w:p>
            <w:pPr>
              <w:ind w:left="40"/>
              <w:spacing w:after="0"/>
              <w:rPr>
                <w:sz w:val="20"/>
                <w:szCs w:val="20"/>
                <w:color w:val="auto"/>
              </w:rPr>
            </w:pPr>
            <w:r>
              <w:rPr>
                <w:rFonts w:ascii="Arial" w:cs="Arial" w:eastAsia="Arial" w:hAnsi="Arial"/>
                <w:sz w:val="14"/>
                <w:szCs w:val="14"/>
                <w:color w:val="auto"/>
              </w:rPr>
              <w:t>Roger J. Pomerantz, M.D.</w:t>
            </w:r>
          </w:p>
        </w:tc>
        <w:tc>
          <w:tcPr>
            <w:tcW w:w="2320" w:type="dxa"/>
            <w:vAlign w:val="bottom"/>
            <w:shd w:val="clear" w:color="auto" w:fill="D8D8D8"/>
          </w:tcPr>
          <w:p>
            <w:pPr>
              <w:jc w:val="right"/>
              <w:ind w:right="652"/>
              <w:spacing w:after="0"/>
              <w:rPr>
                <w:sz w:val="20"/>
                <w:szCs w:val="20"/>
                <w:color w:val="auto"/>
              </w:rPr>
            </w:pPr>
            <w:r>
              <w:rPr>
                <w:rFonts w:ascii="Arial" w:cs="Arial" w:eastAsia="Arial" w:hAnsi="Arial"/>
                <w:sz w:val="14"/>
                <w:szCs w:val="14"/>
                <w:color w:val="auto"/>
              </w:rPr>
              <w:t>60</w:t>
            </w:r>
          </w:p>
        </w:tc>
        <w:tc>
          <w:tcPr>
            <w:tcW w:w="2100" w:type="dxa"/>
            <w:vAlign w:val="bottom"/>
            <w:shd w:val="clear" w:color="auto" w:fill="D8D8D8"/>
          </w:tcPr>
          <w:p>
            <w:pPr>
              <w:jc w:val="right"/>
              <w:ind w:right="372"/>
              <w:spacing w:after="0"/>
              <w:rPr>
                <w:sz w:val="20"/>
                <w:szCs w:val="20"/>
                <w:color w:val="auto"/>
              </w:rPr>
            </w:pPr>
            <w:r>
              <w:rPr>
                <w:rFonts w:ascii="Arial" w:cs="Arial" w:eastAsia="Arial" w:hAnsi="Arial"/>
                <w:sz w:val="14"/>
                <w:szCs w:val="14"/>
                <w:color w:val="auto"/>
              </w:rPr>
              <w:t>2013</w:t>
            </w:r>
          </w:p>
        </w:tc>
        <w:tc>
          <w:tcPr>
            <w:tcW w:w="4040" w:type="dxa"/>
            <w:vAlign w:val="bottom"/>
            <w:shd w:val="clear" w:color="auto" w:fill="D8D8D8"/>
          </w:tcPr>
          <w:p>
            <w:pPr>
              <w:ind w:left="440"/>
              <w:spacing w:after="0"/>
              <w:rPr>
                <w:sz w:val="20"/>
                <w:szCs w:val="20"/>
                <w:color w:val="auto"/>
              </w:rPr>
            </w:pPr>
            <w:r>
              <w:rPr>
                <w:rFonts w:ascii="Arial" w:cs="Arial" w:eastAsia="Arial" w:hAnsi="Arial"/>
                <w:sz w:val="14"/>
                <w:szCs w:val="14"/>
                <w:color w:val="auto"/>
              </w:rPr>
              <w:t>President, Chief Executive Officer</w:t>
            </w:r>
          </w:p>
        </w:tc>
      </w:tr>
      <w:tr>
        <w:trPr>
          <w:trHeight w:val="162"/>
        </w:trPr>
        <w:tc>
          <w:tcPr>
            <w:tcW w:w="2960" w:type="dxa"/>
            <w:vAlign w:val="bottom"/>
            <w:tcBorders>
              <w:bottom w:val="single" w:sz="8" w:color="auto"/>
            </w:tcBorders>
            <w:shd w:val="clear" w:color="auto" w:fill="D8D8D8"/>
          </w:tcPr>
          <w:p>
            <w:pPr>
              <w:spacing w:after="0"/>
              <w:rPr>
                <w:sz w:val="14"/>
                <w:szCs w:val="14"/>
                <w:color w:val="auto"/>
              </w:rPr>
            </w:pPr>
          </w:p>
        </w:tc>
        <w:tc>
          <w:tcPr>
            <w:tcW w:w="2320" w:type="dxa"/>
            <w:vAlign w:val="bottom"/>
            <w:tcBorders>
              <w:bottom w:val="single" w:sz="8" w:color="auto"/>
            </w:tcBorders>
            <w:shd w:val="clear" w:color="auto" w:fill="D8D8D8"/>
          </w:tcPr>
          <w:p>
            <w:pPr>
              <w:spacing w:after="0"/>
              <w:rPr>
                <w:sz w:val="14"/>
                <w:szCs w:val="14"/>
                <w:color w:val="auto"/>
              </w:rPr>
            </w:pPr>
          </w:p>
        </w:tc>
        <w:tc>
          <w:tcPr>
            <w:tcW w:w="2100" w:type="dxa"/>
            <w:vAlign w:val="bottom"/>
            <w:tcBorders>
              <w:bottom w:val="single" w:sz="8" w:color="auto"/>
            </w:tcBorders>
            <w:shd w:val="clear" w:color="auto" w:fill="D8D8D8"/>
          </w:tcPr>
          <w:p>
            <w:pPr>
              <w:spacing w:after="0"/>
              <w:rPr>
                <w:sz w:val="14"/>
                <w:szCs w:val="14"/>
                <w:color w:val="auto"/>
              </w:rPr>
            </w:pPr>
          </w:p>
        </w:tc>
        <w:tc>
          <w:tcPr>
            <w:tcW w:w="404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color w:val="auto"/>
              </w:rPr>
              <w:t>and Chairman of the Board</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DENNIS A. AUSIELLO, M.D.</w:t>
      </w:r>
      <w:r>
        <w:rPr>
          <w:sz w:val="20"/>
          <w:szCs w:val="20"/>
          <w:color w:val="auto"/>
        </w:rPr>
        <w:tab/>
      </w:r>
      <w:r>
        <w:rPr>
          <w:rFonts w:ascii="Arial" w:cs="Arial" w:eastAsia="Arial" w:hAnsi="Arial"/>
          <w:sz w:val="12"/>
          <w:szCs w:val="12"/>
          <w:i w:val="1"/>
          <w:iCs w:val="1"/>
          <w:color w:val="auto"/>
        </w:rPr>
        <w:t>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Dennis A. Ausiello, M.D., has served as a member of our board of directors since April 2015. Dr. Ausiello serves as the Director of the Center for Assessment Technology and Continuous Health (CATCH),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also served on the board of directors of Pfizer Inc., a pharmaceutical company, since December 2006 and Alnylam Pharmaceuticals since April 2012. Dr. Ausiello received his undergraduate degree from Harvard College and an M.D. from the University of Pennsylvania. We believe that Dr. Ausiello is qualified to serve on our board of directors because of his extensive experience as a physician and as a director of 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ROGER J. POMERANTZ, M.D.</w:t>
      </w:r>
      <w:r>
        <w:rPr>
          <w:sz w:val="20"/>
          <w:szCs w:val="20"/>
          <w:color w:val="auto"/>
        </w:rPr>
        <w:tab/>
      </w:r>
      <w:r>
        <w:rPr>
          <w:rFonts w:ascii="Arial" w:cs="Arial" w:eastAsia="Arial" w:hAnsi="Arial"/>
          <w:sz w:val="12"/>
          <w:szCs w:val="12"/>
          <w:i w:val="1"/>
          <w:iCs w:val="1"/>
          <w:color w:val="auto"/>
        </w:rPr>
        <w:t>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18"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Roger J. Pomerantz, M.D., has served as our President and Chief Executive Officer since June 2014 and as Chairman of our board of directors since November 2013. Since July 2014, Dr. Pomerantz has been a Senior Partner at Flagship Pioneering, formerly known as Flagship Ventures, an early-stage venture capital firm. From January 2011 to September 2013, Dr. Pomerantz was Worldwide Head of Licensing and Acquisitions and Senior Vice President at Merck, where he oversaw licensing and acquisitions for Merck Research Laboratories, the research and development division of Merck. From February 2010 to February 2013, Dr. Pomerantz served as Global Head of Infectious Diseases and Senior Vice President at Merck, where he oversaw pharmaceutical development and discovery of antibiotics, antivirals, antifungals and antiparasitic agents. Prior to Merck, Dr. Pomerantz was Global Head of Infectious Diseases for the pharmaceutical division of Johnson &amp; Johnson, Inc., a multinational medical device, consumer goods and pharmaceutical corporation, where he was responsible for anti-infective agents worldwide. He joined Johnson &amp; Johnson, Inc. in August 2005 as President of Tibotec Pharmaceuticals, Inc., now Janssen Therapeutics and a subsidiary of Johnson &amp; Johnson, Inc., a pharmaceutical company focused on the treatment of infectious diseases.</w:t>
      </w:r>
    </w:p>
    <w:p>
      <w:pPr>
        <w:spacing w:after="0" w:line="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Dr. Pomerantz has developed ten approved infectious disease drugs for diseases including HIV, HCV and tuberculosis. He has served on the board of directors of ContraFect Corporation, a biotech company, since 2014. Dr. Pomerantz received his B.A. in Biochemistry from The Johns Hopkins University and his M.D. from The Johns Hopkins School of Medicine. We believe Dr. Pomerantz’s extensive academic and clinical experience, as well as his knowledge of the pharmaceutical industry, qualifies him to serve on our board of directors.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CLASS III DIRECTORS (TERMS TO EXPIRE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current members of the Board of Directors who are Class III Directors are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shd w:val="clear" w:color="auto" w:fill="D8D8D8"/>
          </w:tcPr>
          <w:p>
            <w:pPr>
              <w:spacing w:after="0"/>
              <w:rPr>
                <w:sz w:val="14"/>
                <w:szCs w:val="14"/>
                <w:color w:val="auto"/>
              </w:rPr>
            </w:pPr>
          </w:p>
        </w:tc>
        <w:tc>
          <w:tcPr>
            <w:tcW w:w="2320" w:type="dxa"/>
            <w:vAlign w:val="bottom"/>
            <w:shd w:val="clear" w:color="auto" w:fill="D8D8D8"/>
          </w:tcPr>
          <w:p>
            <w:pPr>
              <w:spacing w:after="0"/>
              <w:rPr>
                <w:sz w:val="14"/>
                <w:szCs w:val="14"/>
                <w:color w:val="auto"/>
              </w:rPr>
            </w:pP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5"/>
              </w:rPr>
              <w:t>Served as a</w:t>
            </w:r>
          </w:p>
        </w:tc>
        <w:tc>
          <w:tcPr>
            <w:tcW w:w="4140" w:type="dxa"/>
            <w:vAlign w:val="bottom"/>
            <w:shd w:val="clear" w:color="auto" w:fill="D8D8D8"/>
          </w:tcPr>
          <w:p>
            <w:pPr>
              <w:spacing w:after="0"/>
              <w:rPr>
                <w:sz w:val="14"/>
                <w:szCs w:val="14"/>
                <w:color w:val="auto"/>
              </w:rPr>
            </w:pPr>
          </w:p>
        </w:tc>
      </w:tr>
      <w:tr>
        <w:trPr>
          <w:trHeight w:val="179"/>
        </w:trPr>
        <w:tc>
          <w:tcPr>
            <w:tcW w:w="304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2320" w:type="dxa"/>
            <w:vAlign w:val="bottom"/>
            <w:tcBorders>
              <w:bottom w:val="single" w:sz="8" w:color="auto"/>
            </w:tcBorders>
            <w:shd w:val="clear" w:color="auto" w:fill="D8D8D8"/>
          </w:tcPr>
          <w:p>
            <w:pPr>
              <w:jc w:val="center"/>
              <w:ind w:left="872"/>
              <w:spacing w:after="0"/>
              <w:rPr>
                <w:sz w:val="20"/>
                <w:szCs w:val="20"/>
                <w:color w:val="auto"/>
              </w:rPr>
            </w:pPr>
            <w:r>
              <w:rPr>
                <w:rFonts w:ascii="Arial" w:cs="Arial" w:eastAsia="Arial" w:hAnsi="Arial"/>
                <w:sz w:val="14"/>
                <w:szCs w:val="14"/>
                <w:b w:val="1"/>
                <w:bCs w:val="1"/>
                <w:color w:val="auto"/>
                <w:w w:val="98"/>
              </w:rPr>
              <w:t>Age</w:t>
            </w:r>
          </w:p>
        </w:tc>
        <w:tc>
          <w:tcPr>
            <w:tcW w:w="1920" w:type="dxa"/>
            <w:vAlign w:val="bottom"/>
            <w:tcBorders>
              <w:bottom w:val="single" w:sz="8" w:color="auto"/>
            </w:tcBorders>
            <w:shd w:val="clear" w:color="auto" w:fill="D8D8D8"/>
          </w:tcPr>
          <w:p>
            <w:pPr>
              <w:jc w:val="center"/>
              <w:ind w:left="32"/>
              <w:spacing w:after="0"/>
              <w:rPr>
                <w:sz w:val="20"/>
                <w:szCs w:val="20"/>
                <w:color w:val="auto"/>
              </w:rPr>
            </w:pPr>
            <w:r>
              <w:rPr>
                <w:rFonts w:ascii="Arial" w:cs="Arial" w:eastAsia="Arial" w:hAnsi="Arial"/>
                <w:sz w:val="14"/>
                <w:szCs w:val="14"/>
                <w:b w:val="1"/>
                <w:bCs w:val="1"/>
                <w:color w:val="auto"/>
                <w:w w:val="94"/>
              </w:rPr>
              <w:t>Director Since</w:t>
            </w:r>
          </w:p>
        </w:tc>
        <w:tc>
          <w:tcPr>
            <w:tcW w:w="4140" w:type="dxa"/>
            <w:vAlign w:val="bottom"/>
            <w:tcBorders>
              <w:bottom w:val="single" w:sz="8" w:color="auto"/>
            </w:tcBorders>
            <w:shd w:val="clear" w:color="auto" w:fill="D8D8D8"/>
          </w:tcPr>
          <w:p>
            <w:pPr>
              <w:ind w:left="440"/>
              <w:spacing w:after="0"/>
              <w:rPr>
                <w:sz w:val="20"/>
                <w:szCs w:val="20"/>
                <w:color w:val="auto"/>
              </w:rPr>
            </w:pPr>
            <w:r>
              <w:rPr>
                <w:rFonts w:ascii="Arial" w:cs="Arial" w:eastAsia="Arial" w:hAnsi="Arial"/>
                <w:sz w:val="14"/>
                <w:szCs w:val="14"/>
                <w:b w:val="1"/>
                <w:bCs w:val="1"/>
                <w:color w:val="auto"/>
              </w:rPr>
              <w:t>Position with Seres</w:t>
            </w:r>
          </w:p>
        </w:tc>
      </w:tr>
      <w:tr>
        <w:trPr>
          <w:trHeight w:val="196"/>
        </w:trPr>
        <w:tc>
          <w:tcPr>
            <w:tcW w:w="3040" w:type="dxa"/>
            <w:vAlign w:val="bottom"/>
          </w:tcPr>
          <w:p>
            <w:pPr>
              <w:ind w:left="40"/>
              <w:spacing w:after="0"/>
              <w:rPr>
                <w:sz w:val="20"/>
                <w:szCs w:val="20"/>
                <w:color w:val="auto"/>
              </w:rPr>
            </w:pPr>
            <w:r>
              <w:rPr>
                <w:rFonts w:ascii="Arial" w:cs="Arial" w:eastAsia="Arial" w:hAnsi="Arial"/>
                <w:sz w:val="14"/>
                <w:szCs w:val="14"/>
                <w:color w:val="auto"/>
              </w:rPr>
              <w:t>Noubar B. Afeyan, Ph.D.</w:t>
            </w:r>
          </w:p>
        </w:tc>
        <w:tc>
          <w:tcPr>
            <w:tcW w:w="2320" w:type="dxa"/>
            <w:vAlign w:val="bottom"/>
          </w:tcPr>
          <w:p>
            <w:pPr>
              <w:jc w:val="center"/>
              <w:ind w:left="872"/>
              <w:spacing w:after="0"/>
              <w:rPr>
                <w:sz w:val="20"/>
                <w:szCs w:val="20"/>
                <w:color w:val="auto"/>
              </w:rPr>
            </w:pPr>
            <w:r>
              <w:rPr>
                <w:rFonts w:ascii="Arial" w:cs="Arial" w:eastAsia="Arial" w:hAnsi="Arial"/>
                <w:sz w:val="14"/>
                <w:szCs w:val="14"/>
                <w:color w:val="auto"/>
                <w:w w:val="89"/>
              </w:rPr>
              <w:t>54</w:t>
            </w:r>
          </w:p>
        </w:tc>
        <w:tc>
          <w:tcPr>
            <w:tcW w:w="1920" w:type="dxa"/>
            <w:vAlign w:val="bottom"/>
          </w:tcPr>
          <w:p>
            <w:pPr>
              <w:jc w:val="center"/>
              <w:ind w:left="32"/>
              <w:spacing w:after="0"/>
              <w:rPr>
                <w:sz w:val="20"/>
                <w:szCs w:val="20"/>
                <w:color w:val="auto"/>
              </w:rPr>
            </w:pPr>
            <w:r>
              <w:rPr>
                <w:rFonts w:ascii="Arial" w:cs="Arial" w:eastAsia="Arial" w:hAnsi="Arial"/>
                <w:sz w:val="14"/>
                <w:szCs w:val="14"/>
                <w:color w:val="auto"/>
                <w:w w:val="96"/>
              </w:rPr>
              <w:t>2010</w:t>
            </w:r>
          </w:p>
        </w:tc>
        <w:tc>
          <w:tcPr>
            <w:tcW w:w="4140" w:type="dxa"/>
            <w:vAlign w:val="bottom"/>
          </w:tcPr>
          <w:p>
            <w:pPr>
              <w:ind w:left="440"/>
              <w:spacing w:after="0"/>
              <w:rPr>
                <w:sz w:val="20"/>
                <w:szCs w:val="20"/>
                <w:color w:val="auto"/>
              </w:rPr>
            </w:pPr>
            <w:r>
              <w:rPr>
                <w:rFonts w:ascii="Arial" w:cs="Arial" w:eastAsia="Arial" w:hAnsi="Arial"/>
                <w:sz w:val="14"/>
                <w:szCs w:val="14"/>
                <w:color w:val="auto"/>
              </w:rPr>
              <w:t>Director</w:t>
            </w:r>
          </w:p>
        </w:tc>
      </w:tr>
      <w:tr>
        <w:trPr>
          <w:trHeight w:val="203"/>
        </w:trPr>
        <w:tc>
          <w:tcPr>
            <w:tcW w:w="3040" w:type="dxa"/>
            <w:vAlign w:val="bottom"/>
            <w:shd w:val="clear" w:color="auto" w:fill="D8D8D8"/>
          </w:tcPr>
          <w:p>
            <w:pPr>
              <w:ind w:left="40"/>
              <w:spacing w:after="0"/>
              <w:rPr>
                <w:sz w:val="20"/>
                <w:szCs w:val="20"/>
                <w:color w:val="auto"/>
              </w:rPr>
            </w:pPr>
            <w:r>
              <w:rPr>
                <w:rFonts w:ascii="Arial" w:cs="Arial" w:eastAsia="Arial" w:hAnsi="Arial"/>
                <w:sz w:val="14"/>
                <w:szCs w:val="14"/>
                <w:color w:val="auto"/>
              </w:rPr>
              <w:t>Grégory Behar</w:t>
            </w:r>
          </w:p>
        </w:tc>
        <w:tc>
          <w:tcPr>
            <w:tcW w:w="2320" w:type="dxa"/>
            <w:vAlign w:val="bottom"/>
            <w:shd w:val="clear" w:color="auto" w:fill="D8D8D8"/>
          </w:tcPr>
          <w:p>
            <w:pPr>
              <w:jc w:val="center"/>
              <w:ind w:left="872"/>
              <w:spacing w:after="0"/>
              <w:rPr>
                <w:sz w:val="20"/>
                <w:szCs w:val="20"/>
                <w:color w:val="auto"/>
              </w:rPr>
            </w:pPr>
            <w:r>
              <w:rPr>
                <w:rFonts w:ascii="Arial" w:cs="Arial" w:eastAsia="Arial" w:hAnsi="Arial"/>
                <w:sz w:val="14"/>
                <w:szCs w:val="14"/>
                <w:color w:val="auto"/>
                <w:w w:val="89"/>
              </w:rPr>
              <w:t>47</w:t>
            </w:r>
          </w:p>
        </w:tc>
        <w:tc>
          <w:tcPr>
            <w:tcW w:w="1920" w:type="dxa"/>
            <w:vAlign w:val="bottom"/>
            <w:shd w:val="clear" w:color="auto" w:fill="D8D8D8"/>
          </w:tcPr>
          <w:p>
            <w:pPr>
              <w:jc w:val="center"/>
              <w:ind w:left="32"/>
              <w:spacing w:after="0"/>
              <w:rPr>
                <w:sz w:val="20"/>
                <w:szCs w:val="20"/>
                <w:color w:val="auto"/>
              </w:rPr>
            </w:pPr>
            <w:r>
              <w:rPr>
                <w:rFonts w:ascii="Arial" w:cs="Arial" w:eastAsia="Arial" w:hAnsi="Arial"/>
                <w:sz w:val="14"/>
                <w:szCs w:val="14"/>
                <w:color w:val="auto"/>
                <w:w w:val="96"/>
              </w:rPr>
              <w:t>2014</w:t>
            </w:r>
          </w:p>
        </w:tc>
        <w:tc>
          <w:tcPr>
            <w:tcW w:w="4140" w:type="dxa"/>
            <w:vAlign w:val="bottom"/>
            <w:shd w:val="clear" w:color="auto" w:fill="D8D8D8"/>
          </w:tcPr>
          <w:p>
            <w:pPr>
              <w:ind w:left="440"/>
              <w:spacing w:after="0"/>
              <w:rPr>
                <w:sz w:val="20"/>
                <w:szCs w:val="20"/>
                <w:color w:val="auto"/>
              </w:rPr>
            </w:pPr>
            <w:r>
              <w:rPr>
                <w:rFonts w:ascii="Arial" w:cs="Arial" w:eastAsia="Arial" w:hAnsi="Arial"/>
                <w:sz w:val="14"/>
                <w:szCs w:val="14"/>
                <w:color w:val="auto"/>
              </w:rPr>
              <w:t>Director</w:t>
            </w:r>
          </w:p>
        </w:tc>
      </w:tr>
      <w:tr>
        <w:trPr>
          <w:trHeight w:val="202"/>
        </w:trPr>
        <w:tc>
          <w:tcPr>
            <w:tcW w:w="3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Kurt C. Graves</w:t>
            </w:r>
          </w:p>
        </w:tc>
        <w:tc>
          <w:tcPr>
            <w:tcW w:w="2320" w:type="dxa"/>
            <w:vAlign w:val="bottom"/>
            <w:tcBorders>
              <w:bottom w:val="single" w:sz="8" w:color="auto"/>
            </w:tcBorders>
          </w:tcPr>
          <w:p>
            <w:pPr>
              <w:jc w:val="center"/>
              <w:ind w:left="872"/>
              <w:spacing w:after="0"/>
              <w:rPr>
                <w:sz w:val="20"/>
                <w:szCs w:val="20"/>
                <w:color w:val="auto"/>
              </w:rPr>
            </w:pPr>
            <w:r>
              <w:rPr>
                <w:rFonts w:ascii="Arial" w:cs="Arial" w:eastAsia="Arial" w:hAnsi="Arial"/>
                <w:sz w:val="14"/>
                <w:szCs w:val="14"/>
                <w:color w:val="auto"/>
                <w:w w:val="89"/>
              </w:rPr>
              <w:t>49</w:t>
            </w:r>
          </w:p>
        </w:tc>
        <w:tc>
          <w:tcPr>
            <w:tcW w:w="192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96"/>
              </w:rPr>
              <w:t>2015</w:t>
            </w:r>
          </w:p>
        </w:tc>
        <w:tc>
          <w:tcPr>
            <w:tcW w:w="41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NOUBAR B. AFEYAN, PH.D.</w:t>
      </w:r>
      <w:r>
        <w:rPr>
          <w:sz w:val="20"/>
          <w:szCs w:val="20"/>
          <w:color w:val="auto"/>
        </w:rPr>
        <w:tab/>
      </w:r>
      <w:r>
        <w:rPr>
          <w:rFonts w:ascii="Arial" w:cs="Arial" w:eastAsia="Arial" w:hAnsi="Arial"/>
          <w:sz w:val="12"/>
          <w:szCs w:val="12"/>
          <w:i w:val="1"/>
          <w:iCs w:val="1"/>
          <w:color w:val="auto"/>
        </w:rPr>
        <w:t>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3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Noubar B. Afeyan, Ph.D., has served as a member of our board of directors since October 2010. Since 1999, Dr. Afeyan has served as the Managing Partner and Chief Executive Officer of Flagship Pioneering, formerly known as Flagship Ventures, an early-stage venture capital firm that he co-founded. Dr. Afeyan serves on the board of directors of numerous private companies, including Moderna Therapeutics, Inc. and Axcella Health, Inc., and has previously served on the board of directors of several public companies, including BG Medicine, Inc., BIND Therapeutics, Inc., Eleven Biotherapeutics, Inc., and Helicos Biosciences. Dr. Afeyan received a B.S. from McGill University and a Ph.D. in Biochemical Engineering from the Massachusetts Institute of Technology. We believe Dr. Afeyan is qualified to serve on our board of directors because of his extensive investment experience and his knowledge of the biotechnology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GRÉGORY BEHAR</w:t>
      </w:r>
      <w:r>
        <w:rPr>
          <w:sz w:val="20"/>
          <w:szCs w:val="20"/>
          <w:color w:val="auto"/>
        </w:rPr>
        <w:tab/>
      </w:r>
      <w:r>
        <w:rPr>
          <w:rFonts w:ascii="Arial" w:cs="Arial" w:eastAsia="Arial" w:hAnsi="Arial"/>
          <w:sz w:val="12"/>
          <w:szCs w:val="12"/>
          <w:i w:val="1"/>
          <w:iCs w:val="1"/>
          <w:color w:val="auto"/>
        </w:rPr>
        <w:t>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Grégory Behar has served as a member of our board of directors since December 2014. Mr. Behar has served as Chief Executive Officer of Nestlé Health Science S.A., a health sciences company, since October 2014. From July 2011 to July 2014, Mr. Behar was President and Chief Executive Officer of Boehringer Ingelheim Pharmaceuticals Inc. (USA), a pharmaceutical company. From 2010 to July 2011, Mr. Behar was Corporate Vice President Region NECAR (North European Union, Canada and Australasia) for Boehringer-Ingelheim GmbH, a pharmaceutical company. Mr. Behar also serves on the board of directors of Aimmune Therapeutics, Inc. Mr. Behar received his B.S. from the University of California, Los Angeles, an M.S. in Mechanical Engineering and Manufacturing from EPFL in Switzerland and an MBA from INSEAD in France. We believe that Mr. Behar is qualified to serve on our board of directors because of his extensive business experience in the health sciences and pharmaceutical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60"/>
        <w:spacing w:after="0"/>
        <w:tabs>
          <w:tab w:leader="none" w:pos="10920" w:val="left"/>
        </w:tabs>
        <w:rPr>
          <w:sz w:val="20"/>
          <w:szCs w:val="20"/>
          <w:color w:val="auto"/>
        </w:rPr>
      </w:pPr>
      <w:r>
        <w:rPr>
          <w:rFonts w:ascii="Arial" w:cs="Arial" w:eastAsia="Arial" w:hAnsi="Arial"/>
          <w:sz w:val="14"/>
          <w:szCs w:val="14"/>
          <w:b w:val="1"/>
          <w:bCs w:val="1"/>
          <w:color w:val="auto"/>
        </w:rPr>
        <w:t>KURT C. GRAVES</w:t>
      </w:r>
      <w:r>
        <w:rPr>
          <w:sz w:val="20"/>
          <w:szCs w:val="20"/>
          <w:color w:val="auto"/>
        </w:rPr>
        <w:tab/>
      </w:r>
      <w:r>
        <w:rPr>
          <w:rFonts w:ascii="Arial" w:cs="Arial" w:eastAsia="Arial" w:hAnsi="Arial"/>
          <w:sz w:val="12"/>
          <w:szCs w:val="12"/>
          <w:i w:val="1"/>
          <w:iCs w:val="1"/>
          <w:color w:val="auto"/>
        </w:rPr>
        <w:t>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111760" cy="1117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pacing w:after="0" w:line="13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Kurt C. Graves has served as a member of our board of directors since November 2015. Mr. Graves has been the Chairman, President and Chief Executive Officer of Intarcia Therapeutics, a biotechnology company, since April 2012. Mr. Graves served as Executive Chairman of Biolex Therapeutics, a biotechnology company, from November 2010 to March 2012, and served as Executive Chairman of Intarcia Therapeutics from August 2010 to April 2012. Previously, he served as Executive Vice President, Chief Commercial Officer and Head of Strategic Development at Vertex Pharmaceuticals Inc. from July 2007 to October 2009. Prior to joining Vertex, Mr. Graves held various leadership positions at Novartis Pharmaceuticals from 1999 to June 2007. He was also the first Chief Marketing Officer for the Pharmaceuticals division from September 2003 to June 2007. He has served as a director of Intarcia Therapeutics, Inc. since 2012, Radius Health, Inc. since 2011, and Achillion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PROPOSAL 1—ELECTION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Pharmaceuticals, Inc. since 2012. Mr. Graves received a B.S. in Biology from Hillsdale College. We believe Mr. Graves is qualified to serve as a member of our board of directors because of his extensive experience in the life sciences industry, membership on various boards of directors and his leadership and management experience.</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80"/>
          </w:cols>
          <w:pgMar w:left="240" w:top="459" w:right="3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PROPOSAL 2</w:t>
      </w:r>
    </w:p>
    <w:p>
      <w:pPr>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Audit Committee has appointed PricewaterhouseCoopers LLP as our independent registered public accounting firm for the fiscal year ending December 31, 2017. Our Board has directed that this appointment be submitted to our stockholders for ratification. Although ratification of our appointment of PricewaterhouseCoopers LLP is not required, we value the opinions of our stockholders and believe that stockholder ratification of our appointment is a good corporate governance practice.</w:t>
      </w:r>
    </w:p>
    <w:p>
      <w:pPr>
        <w:spacing w:after="0" w:line="6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PricewaterhouseCoopers LLP also served as our independent registered public accounting firm for the fiscal year ended December 31, 2016. Neither the accounting firm nor any of its members has any direct or indirect financial interest in or any connection with us in any capacity other than as our auditors, providing audit and non-audit related services. A representative of PricewaterhouseCoopers LLP is expected to attend the Annual Meeting and to have an opportunity to make a statement and be available to respond to appropriate questions from stockholders.</w:t>
      </w:r>
    </w:p>
    <w:p>
      <w:pPr>
        <w:spacing w:after="0" w:line="5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event that the appointment of PricewaterhouseCoopers LLP is not ratified by the stockholders, the Audit Committee will consider this fact when it appoints the independent auditors for the fiscal year ending December 31, 2018. Even if the appointment of PricewaterhouseCoopers LLP is ratified, the Audit Committee retains the discretion to appoint a different independent auditor at any time if it determines that such a change is in the interest of the Company.</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PricewaterhouseCoopers LLP, we do not expect any broker non-votes in connection with this proposal.</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6" w:lineRule="exact"/>
        <w:rPr>
          <w:sz w:val="20"/>
          <w:szCs w:val="20"/>
          <w:color w:val="auto"/>
        </w:rPr>
      </w:pPr>
    </w:p>
    <w:p>
      <w:pPr>
        <w:ind w:left="700" w:right="2160"/>
        <w:spacing w:after="0" w:line="271"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PricewaterhouseCoopers LLP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214630" cy="2146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Audit Committee has reviewed the Company’s audited financial statements for the fiscal year ended December 31, 2016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Company’s independent registered public accounting firm also provided the Audit Committee with a formal written statement required by PCAOB Rule 3526 (</w:t>
      </w:r>
      <w:r>
        <w:rPr>
          <w:rFonts w:ascii="Arial" w:cs="Arial" w:eastAsia="Arial" w:hAnsi="Arial"/>
          <w:sz w:val="18"/>
          <w:szCs w:val="18"/>
          <w:i w:val="1"/>
          <w:iCs w:val="1"/>
          <w:color w:val="auto"/>
        </w:rPr>
        <w:t>Communications with Audit Committees Concerning Independence</w:t>
      </w:r>
      <w:r>
        <w:rPr>
          <w:rFonts w:ascii="Arial" w:cs="Arial" w:eastAsia="Arial" w:hAnsi="Arial"/>
          <w:sz w:val="18"/>
          <w:szCs w:val="18"/>
          <w:color w:val="auto"/>
        </w:rPr>
        <w:t>)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Seres Therapeutics, Inc. The Audit Committee also considered whether the independent registered public accounting firm’s provision of certain other non-audit related services to the Company is compatible with maintaining such firm’s independence.</w:t>
      </w:r>
    </w:p>
    <w:p>
      <w:pPr>
        <w:spacing w:after="0" w:line="5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Richard N. Kender (Chair)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Dennis A. Ausiello</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Kurt C. Graves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following table summarizes the fees of PricewaterhouseCoopers LLP, our independent registered public accounting firm, billed to us for each of the last two fiscal years for audit services and billed to us in each of the last two fiscal years for other 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Fee Category</w:t>
            </w:r>
          </w:p>
        </w:tc>
        <w:tc>
          <w:tcPr>
            <w:tcW w:w="4260" w:type="dxa"/>
            <w:vAlign w:val="bottom"/>
            <w:tcBorders>
              <w:bottom w:val="single" w:sz="8" w:color="auto"/>
            </w:tcBorders>
            <w:shd w:val="clear" w:color="auto" w:fill="D8D8D8"/>
          </w:tcPr>
          <w:p>
            <w:pPr>
              <w:spacing w:after="0"/>
              <w:rPr>
                <w:sz w:val="14"/>
                <w:szCs w:val="14"/>
                <w:color w:val="auto"/>
              </w:rPr>
            </w:pPr>
          </w:p>
        </w:tc>
        <w:tc>
          <w:tcPr>
            <w:tcW w:w="780" w:type="dxa"/>
            <w:vAlign w:val="bottom"/>
            <w:tcBorders>
              <w:bottom w:val="single" w:sz="8" w:color="auto"/>
            </w:tcBorders>
            <w:shd w:val="clear" w:color="auto" w:fill="D8D8D8"/>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shd w:val="clear" w:color="auto" w:fill="D8D8D8"/>
          </w:tcPr>
          <w:p>
            <w:pPr>
              <w:spacing w:after="0"/>
              <w:rPr>
                <w:sz w:val="14"/>
                <w:szCs w:val="14"/>
                <w:color w:val="auto"/>
              </w:rPr>
            </w:pPr>
          </w:p>
        </w:tc>
        <w:tc>
          <w:tcPr>
            <w:tcW w:w="7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4"/>
                <w:szCs w:val="14"/>
                <w:b w:val="1"/>
                <w:bCs w:val="1"/>
                <w:color w:val="auto"/>
              </w:rPr>
              <w:t>2015</w:t>
            </w:r>
          </w:p>
        </w:tc>
      </w:tr>
      <w:tr>
        <w:trPr>
          <w:trHeight w:val="196"/>
        </w:trPr>
        <w:tc>
          <w:tcPr>
            <w:tcW w:w="5280" w:type="dxa"/>
            <w:vAlign w:val="bottom"/>
          </w:tcPr>
          <w:p>
            <w:pPr>
              <w:ind w:left="40"/>
              <w:spacing w:after="0"/>
              <w:rPr>
                <w:sz w:val="20"/>
                <w:szCs w:val="20"/>
                <w:color w:val="auto"/>
              </w:rPr>
            </w:pPr>
            <w:r>
              <w:rPr>
                <w:rFonts w:ascii="Arial" w:cs="Arial" w:eastAsia="Arial" w:hAnsi="Arial"/>
                <w:sz w:val="14"/>
                <w:szCs w:val="14"/>
                <w:color w:val="auto"/>
              </w:rPr>
              <w:t>Audit Fees</w:t>
            </w:r>
          </w:p>
        </w:tc>
        <w:tc>
          <w:tcPr>
            <w:tcW w:w="42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478,000</w:t>
            </w:r>
          </w:p>
        </w:tc>
        <w:tc>
          <w:tcPr>
            <w:tcW w:w="40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820,000</w:t>
            </w:r>
          </w:p>
        </w:tc>
      </w:tr>
      <w:tr>
        <w:trPr>
          <w:trHeight w:val="203"/>
        </w:trPr>
        <w:tc>
          <w:tcPr>
            <w:tcW w:w="5280" w:type="dxa"/>
            <w:vAlign w:val="bottom"/>
            <w:shd w:val="clear" w:color="auto" w:fill="D8D8D8"/>
          </w:tcPr>
          <w:p>
            <w:pPr>
              <w:ind w:left="40"/>
              <w:spacing w:after="0"/>
              <w:rPr>
                <w:sz w:val="20"/>
                <w:szCs w:val="20"/>
                <w:color w:val="auto"/>
              </w:rPr>
            </w:pPr>
            <w:r>
              <w:rPr>
                <w:rFonts w:ascii="Arial" w:cs="Arial" w:eastAsia="Arial" w:hAnsi="Arial"/>
                <w:sz w:val="14"/>
                <w:szCs w:val="14"/>
                <w:color w:val="auto"/>
              </w:rPr>
              <w:t>Audit-Related Fees</w:t>
            </w:r>
          </w:p>
        </w:tc>
        <w:tc>
          <w:tcPr>
            <w:tcW w:w="4260" w:type="dxa"/>
            <w:vAlign w:val="bottom"/>
            <w:shd w:val="clear" w:color="auto" w:fill="D8D8D8"/>
          </w:tcPr>
          <w:p>
            <w:pPr>
              <w:spacing w:after="0"/>
              <w:rPr>
                <w:sz w:val="17"/>
                <w:szCs w:val="17"/>
                <w:color w:val="auto"/>
              </w:rPr>
            </w:pP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r>
      <w:tr>
        <w:trPr>
          <w:trHeight w:val="202"/>
        </w:trPr>
        <w:tc>
          <w:tcPr>
            <w:tcW w:w="5280" w:type="dxa"/>
            <w:vAlign w:val="bottom"/>
          </w:tcPr>
          <w:p>
            <w:pPr>
              <w:ind w:left="40"/>
              <w:spacing w:after="0"/>
              <w:rPr>
                <w:sz w:val="20"/>
                <w:szCs w:val="20"/>
                <w:color w:val="auto"/>
              </w:rPr>
            </w:pPr>
            <w:r>
              <w:rPr>
                <w:rFonts w:ascii="Arial" w:cs="Arial" w:eastAsia="Arial" w:hAnsi="Arial"/>
                <w:sz w:val="14"/>
                <w:szCs w:val="14"/>
                <w:color w:val="auto"/>
              </w:rPr>
              <w:t>Tax Fees</w:t>
            </w:r>
          </w:p>
        </w:tc>
        <w:tc>
          <w:tcPr>
            <w:tcW w:w="4260" w:type="dxa"/>
            <w:vAlign w:val="bottom"/>
          </w:tcPr>
          <w:p>
            <w:pPr>
              <w:spacing w:after="0"/>
              <w:rPr>
                <w:sz w:val="17"/>
                <w:szCs w:val="17"/>
                <w:color w:val="auto"/>
              </w:rPr>
            </w:pPr>
          </w:p>
        </w:tc>
        <w:tc>
          <w:tcPr>
            <w:tcW w:w="7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03"/>
        </w:trPr>
        <w:tc>
          <w:tcPr>
            <w:tcW w:w="5280" w:type="dxa"/>
            <w:vAlign w:val="bottom"/>
            <w:shd w:val="clear" w:color="auto" w:fill="D8D8D8"/>
          </w:tcPr>
          <w:p>
            <w:pPr>
              <w:ind w:left="40"/>
              <w:spacing w:after="0"/>
              <w:rPr>
                <w:sz w:val="20"/>
                <w:szCs w:val="20"/>
                <w:color w:val="auto"/>
              </w:rPr>
            </w:pPr>
            <w:r>
              <w:rPr>
                <w:rFonts w:ascii="Arial" w:cs="Arial" w:eastAsia="Arial" w:hAnsi="Arial"/>
                <w:sz w:val="14"/>
                <w:szCs w:val="14"/>
                <w:color w:val="auto"/>
              </w:rPr>
              <w:t>All Other Fees</w:t>
            </w:r>
          </w:p>
        </w:tc>
        <w:tc>
          <w:tcPr>
            <w:tcW w:w="4260" w:type="dxa"/>
            <w:vAlign w:val="bottom"/>
            <w:shd w:val="clear" w:color="auto" w:fill="D8D8D8"/>
          </w:tcPr>
          <w:p>
            <w:pPr>
              <w:spacing w:after="0"/>
              <w:rPr>
                <w:sz w:val="17"/>
                <w:szCs w:val="17"/>
                <w:color w:val="auto"/>
              </w:rPr>
            </w:pPr>
          </w:p>
        </w:tc>
        <w:tc>
          <w:tcPr>
            <w:tcW w:w="78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w:t>
            </w:r>
          </w:p>
        </w:tc>
      </w:tr>
      <w:tr>
        <w:trPr>
          <w:trHeight w:val="202"/>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Fees</w:t>
            </w:r>
          </w:p>
        </w:tc>
        <w:tc>
          <w:tcPr>
            <w:tcW w:w="42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478,000</w:t>
            </w:r>
          </w:p>
        </w:tc>
        <w:tc>
          <w:tcPr>
            <w:tcW w:w="4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820,000</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Audit fees consist of fees billed for the audit of our annual consolidated financial statements, the review of the interim consolidated financial statements, and related services that are normally provided in connection with registration statements, including the registration statement for our initial public offering. Included in the 2015 audit fees is $420,000 of fees billed in connection with our initial public offering in July 2015.</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such fees incurred in 2016 or 2015.</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Tax fees consist of fees for professional services, including tax consulting and compliance performed by PricewaterhouseCoopers LLP. There were no such fees incurred in 2016 or 2015.</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We did not incur any other fees in 2016 or 2015.</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PricewaterhouseCoopers LLP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PricewaterhouseCoopers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INDEPENDENT REGISTERED PUBLIC ACCOUNTING FIRM FEES AND OTHER MATTERS</w:t>
      </w:r>
    </w:p>
    <w:p>
      <w:pPr>
        <w:spacing w:after="0" w:line="13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PricewaterhouseCoopers LLP without first obtaining specific pre-approval from the Audit Committee. The Audit Committee may revise the list of general pre-approved services from time to time, based on subsequent determinations.</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180"/>
          </w:cols>
          <w:pgMar w:left="24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executive officers: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192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4"/>
                <w:szCs w:val="14"/>
                <w:b w:val="1"/>
                <w:bCs w:val="1"/>
                <w:color w:val="auto"/>
              </w:rPr>
              <w:t>Age</w:t>
            </w:r>
          </w:p>
        </w:tc>
        <w:tc>
          <w:tcPr>
            <w:tcW w:w="6080" w:type="dxa"/>
            <w:vAlign w:val="bottom"/>
            <w:tcBorders>
              <w:bottom w:val="single" w:sz="8" w:color="auto"/>
            </w:tcBorders>
            <w:shd w:val="clear" w:color="auto" w:fill="D8D8D8"/>
          </w:tcPr>
          <w:p>
            <w:pPr>
              <w:ind w:left="20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3420" w:type="dxa"/>
            <w:vAlign w:val="bottom"/>
          </w:tcPr>
          <w:p>
            <w:pPr>
              <w:ind w:left="40"/>
              <w:spacing w:after="0"/>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1920" w:type="dxa"/>
            <w:vAlign w:val="bottom"/>
          </w:tcPr>
          <w:p>
            <w:pPr>
              <w:jc w:val="right"/>
              <w:ind w:right="112"/>
              <w:spacing w:after="0"/>
              <w:rPr>
                <w:sz w:val="20"/>
                <w:szCs w:val="20"/>
                <w:color w:val="auto"/>
              </w:rPr>
            </w:pPr>
            <w:r>
              <w:rPr>
                <w:rFonts w:ascii="Arial" w:cs="Arial" w:eastAsia="Arial" w:hAnsi="Arial"/>
                <w:sz w:val="14"/>
                <w:szCs w:val="14"/>
                <w:color w:val="auto"/>
              </w:rPr>
              <w:t>60</w:t>
            </w:r>
          </w:p>
        </w:tc>
        <w:tc>
          <w:tcPr>
            <w:tcW w:w="6080" w:type="dxa"/>
            <w:vAlign w:val="bottom"/>
          </w:tcPr>
          <w:p>
            <w:pPr>
              <w:ind w:left="200"/>
              <w:spacing w:after="0"/>
              <w:rPr>
                <w:sz w:val="20"/>
                <w:szCs w:val="20"/>
                <w:color w:val="auto"/>
              </w:rPr>
            </w:pPr>
            <w:r>
              <w:rPr>
                <w:rFonts w:ascii="Arial" w:cs="Arial" w:eastAsia="Arial" w:hAnsi="Arial"/>
                <w:sz w:val="14"/>
                <w:szCs w:val="14"/>
                <w:color w:val="auto"/>
              </w:rPr>
              <w:t>President, Chief Executive Officer and Chairman of the Board</w:t>
            </w:r>
          </w:p>
        </w:tc>
      </w:tr>
      <w:tr>
        <w:trPr>
          <w:trHeight w:val="203"/>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John G. Aunins, Ph.D.</w:t>
            </w:r>
            <w:r>
              <w:rPr>
                <w:rFonts w:ascii="Arial" w:cs="Arial" w:eastAsia="Arial" w:hAnsi="Arial"/>
                <w:sz w:val="11"/>
                <w:szCs w:val="11"/>
                <w:color w:val="auto"/>
              </w:rPr>
              <w:t>(2)</w:t>
            </w:r>
          </w:p>
        </w:tc>
        <w:tc>
          <w:tcPr>
            <w:tcW w:w="192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56</w:t>
            </w:r>
          </w:p>
        </w:tc>
        <w:tc>
          <w:tcPr>
            <w:tcW w:w="6080" w:type="dxa"/>
            <w:vAlign w:val="bottom"/>
            <w:shd w:val="clear" w:color="auto" w:fill="D8D8D8"/>
          </w:tcPr>
          <w:p>
            <w:pPr>
              <w:ind w:left="200"/>
              <w:spacing w:after="0"/>
              <w:rPr>
                <w:sz w:val="20"/>
                <w:szCs w:val="20"/>
                <w:color w:val="auto"/>
              </w:rPr>
            </w:pPr>
            <w:r>
              <w:rPr>
                <w:rFonts w:ascii="Arial" w:cs="Arial" w:eastAsia="Arial" w:hAnsi="Arial"/>
                <w:sz w:val="14"/>
                <w:szCs w:val="14"/>
                <w:color w:val="auto"/>
              </w:rPr>
              <w:t>Executive Vice President of Bioprocess &amp; Manufacturing and Chief Technology Officer</w:t>
            </w:r>
          </w:p>
        </w:tc>
      </w:tr>
      <w:tr>
        <w:trPr>
          <w:trHeight w:val="202"/>
        </w:trPr>
        <w:tc>
          <w:tcPr>
            <w:tcW w:w="3420" w:type="dxa"/>
            <w:vAlign w:val="bottom"/>
          </w:tcPr>
          <w:p>
            <w:pPr>
              <w:ind w:left="40"/>
              <w:spacing w:after="0"/>
              <w:rPr>
                <w:sz w:val="20"/>
                <w:szCs w:val="20"/>
                <w:color w:val="auto"/>
              </w:rPr>
            </w:pPr>
            <w:r>
              <w:rPr>
                <w:rFonts w:ascii="Arial" w:cs="Arial" w:eastAsia="Arial" w:hAnsi="Arial"/>
                <w:sz w:val="14"/>
                <w:szCs w:val="14"/>
                <w:color w:val="auto"/>
              </w:rPr>
              <w:t>David N. Cook, Ph.D.</w:t>
            </w:r>
            <w:r>
              <w:rPr>
                <w:rFonts w:ascii="Arial" w:cs="Arial" w:eastAsia="Arial" w:hAnsi="Arial"/>
                <w:sz w:val="11"/>
                <w:szCs w:val="11"/>
                <w:color w:val="auto"/>
              </w:rPr>
              <w:t>(3)</w:t>
            </w:r>
          </w:p>
        </w:tc>
        <w:tc>
          <w:tcPr>
            <w:tcW w:w="1920" w:type="dxa"/>
            <w:vAlign w:val="bottom"/>
          </w:tcPr>
          <w:p>
            <w:pPr>
              <w:jc w:val="right"/>
              <w:ind w:right="112"/>
              <w:spacing w:after="0"/>
              <w:rPr>
                <w:sz w:val="20"/>
                <w:szCs w:val="20"/>
                <w:color w:val="auto"/>
              </w:rPr>
            </w:pPr>
            <w:r>
              <w:rPr>
                <w:rFonts w:ascii="Arial" w:cs="Arial" w:eastAsia="Arial" w:hAnsi="Arial"/>
                <w:sz w:val="14"/>
                <w:szCs w:val="14"/>
                <w:color w:val="auto"/>
              </w:rPr>
              <w:t>59</w:t>
            </w:r>
          </w:p>
        </w:tc>
        <w:tc>
          <w:tcPr>
            <w:tcW w:w="6080" w:type="dxa"/>
            <w:vAlign w:val="bottom"/>
          </w:tcPr>
          <w:p>
            <w:pPr>
              <w:ind w:left="200"/>
              <w:spacing w:after="0"/>
              <w:rPr>
                <w:sz w:val="20"/>
                <w:szCs w:val="20"/>
                <w:color w:val="auto"/>
              </w:rPr>
            </w:pPr>
            <w:r>
              <w:rPr>
                <w:rFonts w:ascii="Arial" w:cs="Arial" w:eastAsia="Arial" w:hAnsi="Arial"/>
                <w:sz w:val="14"/>
                <w:szCs w:val="14"/>
                <w:color w:val="auto"/>
              </w:rPr>
              <w:t>Executive Vice President of Research &amp; Development and Chief Scientific Officer</w:t>
            </w:r>
          </w:p>
        </w:tc>
      </w:tr>
      <w:tr>
        <w:trPr>
          <w:trHeight w:val="203"/>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Thomas J. DesRosier</w:t>
            </w:r>
            <w:r>
              <w:rPr>
                <w:rFonts w:ascii="Arial" w:cs="Arial" w:eastAsia="Arial" w:hAnsi="Arial"/>
                <w:sz w:val="11"/>
                <w:szCs w:val="11"/>
                <w:color w:val="auto"/>
              </w:rPr>
              <w:t>(4)</w:t>
            </w:r>
          </w:p>
        </w:tc>
        <w:tc>
          <w:tcPr>
            <w:tcW w:w="192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62</w:t>
            </w:r>
          </w:p>
        </w:tc>
        <w:tc>
          <w:tcPr>
            <w:tcW w:w="6080" w:type="dxa"/>
            <w:vAlign w:val="bottom"/>
            <w:shd w:val="clear" w:color="auto" w:fill="D8D8D8"/>
          </w:tcPr>
          <w:p>
            <w:pPr>
              <w:ind w:left="200"/>
              <w:spacing w:after="0"/>
              <w:rPr>
                <w:sz w:val="20"/>
                <w:szCs w:val="20"/>
                <w:color w:val="auto"/>
              </w:rPr>
            </w:pPr>
            <w:r>
              <w:rPr>
                <w:rFonts w:ascii="Arial" w:cs="Arial" w:eastAsia="Arial" w:hAnsi="Arial"/>
                <w:sz w:val="14"/>
                <w:szCs w:val="14"/>
                <w:color w:val="auto"/>
              </w:rPr>
              <w:t>Executive Vice President and Chief Legal Officer</w:t>
            </w:r>
          </w:p>
        </w:tc>
      </w:tr>
      <w:tr>
        <w:trPr>
          <w:trHeight w:val="203"/>
        </w:trPr>
        <w:tc>
          <w:tcPr>
            <w:tcW w:w="3420" w:type="dxa"/>
            <w:vAlign w:val="bottom"/>
          </w:tcPr>
          <w:p>
            <w:pPr>
              <w:ind w:left="40"/>
              <w:spacing w:after="0"/>
              <w:rPr>
                <w:sz w:val="20"/>
                <w:szCs w:val="20"/>
                <w:color w:val="auto"/>
              </w:rPr>
            </w:pPr>
            <w:r>
              <w:rPr>
                <w:rFonts w:ascii="Arial" w:cs="Arial" w:eastAsia="Arial" w:hAnsi="Arial"/>
                <w:sz w:val="14"/>
                <w:szCs w:val="14"/>
                <w:color w:val="auto"/>
              </w:rPr>
              <w:t>Wael Hashad</w:t>
            </w:r>
            <w:r>
              <w:rPr>
                <w:rFonts w:ascii="Arial" w:cs="Arial" w:eastAsia="Arial" w:hAnsi="Arial"/>
                <w:sz w:val="11"/>
                <w:szCs w:val="11"/>
                <w:color w:val="auto"/>
              </w:rPr>
              <w:t>(5)</w:t>
            </w:r>
          </w:p>
        </w:tc>
        <w:tc>
          <w:tcPr>
            <w:tcW w:w="1920" w:type="dxa"/>
            <w:vAlign w:val="bottom"/>
          </w:tcPr>
          <w:p>
            <w:pPr>
              <w:jc w:val="right"/>
              <w:ind w:right="112"/>
              <w:spacing w:after="0"/>
              <w:rPr>
                <w:sz w:val="20"/>
                <w:szCs w:val="20"/>
                <w:color w:val="auto"/>
              </w:rPr>
            </w:pPr>
            <w:r>
              <w:rPr>
                <w:rFonts w:ascii="Arial" w:cs="Arial" w:eastAsia="Arial" w:hAnsi="Arial"/>
                <w:sz w:val="14"/>
                <w:szCs w:val="14"/>
                <w:color w:val="auto"/>
              </w:rPr>
              <w:t>54</w:t>
            </w:r>
          </w:p>
        </w:tc>
        <w:tc>
          <w:tcPr>
            <w:tcW w:w="6080" w:type="dxa"/>
            <w:vAlign w:val="bottom"/>
          </w:tcPr>
          <w:p>
            <w:pPr>
              <w:ind w:left="200"/>
              <w:spacing w:after="0"/>
              <w:rPr>
                <w:sz w:val="20"/>
                <w:szCs w:val="20"/>
                <w:color w:val="auto"/>
              </w:rPr>
            </w:pPr>
            <w:r>
              <w:rPr>
                <w:rFonts w:ascii="Arial" w:cs="Arial" w:eastAsia="Arial" w:hAnsi="Arial"/>
                <w:sz w:val="14"/>
                <w:szCs w:val="14"/>
                <w:color w:val="auto"/>
              </w:rPr>
              <w:t>Executive Vice President and Chief Commercial Officer</w:t>
            </w:r>
          </w:p>
        </w:tc>
      </w:tr>
      <w:tr>
        <w:trPr>
          <w:trHeight w:val="203"/>
        </w:trPr>
        <w:tc>
          <w:tcPr>
            <w:tcW w:w="3420" w:type="dxa"/>
            <w:vAlign w:val="bottom"/>
            <w:shd w:val="clear" w:color="auto" w:fill="D8D8D8"/>
          </w:tcPr>
          <w:p>
            <w:pPr>
              <w:ind w:left="40"/>
              <w:spacing w:after="0"/>
              <w:rPr>
                <w:sz w:val="20"/>
                <w:szCs w:val="20"/>
                <w:color w:val="auto"/>
              </w:rPr>
            </w:pPr>
            <w:r>
              <w:rPr>
                <w:rFonts w:ascii="Arial" w:cs="Arial" w:eastAsia="Arial" w:hAnsi="Arial"/>
                <w:sz w:val="14"/>
                <w:szCs w:val="14"/>
                <w:color w:val="auto"/>
              </w:rPr>
              <w:t>Eric D. Shaff</w:t>
            </w:r>
            <w:r>
              <w:rPr>
                <w:rFonts w:ascii="Arial" w:cs="Arial" w:eastAsia="Arial" w:hAnsi="Arial"/>
                <w:sz w:val="11"/>
                <w:szCs w:val="11"/>
                <w:color w:val="auto"/>
              </w:rPr>
              <w:t>(6)</w:t>
            </w:r>
          </w:p>
        </w:tc>
        <w:tc>
          <w:tcPr>
            <w:tcW w:w="192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41</w:t>
            </w:r>
          </w:p>
        </w:tc>
        <w:tc>
          <w:tcPr>
            <w:tcW w:w="6080" w:type="dxa"/>
            <w:vAlign w:val="bottom"/>
            <w:shd w:val="clear" w:color="auto" w:fill="D8D8D8"/>
          </w:tcPr>
          <w:p>
            <w:pPr>
              <w:ind w:left="200"/>
              <w:spacing w:after="0"/>
              <w:rPr>
                <w:sz w:val="20"/>
                <w:szCs w:val="20"/>
                <w:color w:val="auto"/>
              </w:rPr>
            </w:pPr>
            <w:r>
              <w:rPr>
                <w:rFonts w:ascii="Arial" w:cs="Arial" w:eastAsia="Arial" w:hAnsi="Arial"/>
                <w:sz w:val="14"/>
                <w:szCs w:val="14"/>
                <w:color w:val="auto"/>
              </w:rPr>
              <w:t>Executive Vice President and Chief Financial Officer</w:t>
            </w:r>
          </w:p>
        </w:tc>
      </w:tr>
      <w:tr>
        <w:trPr>
          <w:trHeight w:val="203"/>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Michele Trucksis, Ph.D., M.D.</w:t>
            </w:r>
            <w:r>
              <w:rPr>
                <w:rFonts w:ascii="Arial" w:cs="Arial" w:eastAsia="Arial" w:hAnsi="Arial"/>
                <w:sz w:val="11"/>
                <w:szCs w:val="11"/>
                <w:color w:val="auto"/>
              </w:rPr>
              <w:t>(7)</w:t>
            </w:r>
          </w:p>
        </w:tc>
        <w:tc>
          <w:tcPr>
            <w:tcW w:w="1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64</w:t>
            </w:r>
          </w:p>
        </w:tc>
        <w:tc>
          <w:tcPr>
            <w:tcW w:w="608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Executive Vice President and Chief Medical Officer</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8"/>
          <w:szCs w:val="18"/>
          <w:color w:val="auto"/>
        </w:rPr>
        <w:t>See biography on page 8 of this proxy statement.</w:t>
      </w:r>
    </w:p>
    <w:p>
      <w:pPr>
        <w:spacing w:after="0" w:line="66" w:lineRule="exact"/>
        <w:rPr>
          <w:sz w:val="20"/>
          <w:szCs w:val="20"/>
          <w:color w:val="auto"/>
        </w:rPr>
      </w:pPr>
    </w:p>
    <w:p>
      <w:pPr>
        <w:ind w:firstLine="8"/>
        <w:spacing w:after="0" w:line="248" w:lineRule="auto"/>
        <w:tabs>
          <w:tab w:leader="none" w:pos="135" w:val="left"/>
        </w:tabs>
        <w:numPr>
          <w:ilvl w:val="0"/>
          <w:numId w:val="9"/>
        </w:numPr>
        <w:rPr>
          <w:rFonts w:ascii="Arial" w:cs="Arial" w:eastAsia="Arial" w:hAnsi="Arial"/>
          <w:sz w:val="14"/>
          <w:szCs w:val="14"/>
          <w:color w:val="auto"/>
        </w:rPr>
      </w:pPr>
      <w:r>
        <w:rPr>
          <w:rFonts w:ascii="Arial" w:cs="Arial" w:eastAsia="Arial" w:hAnsi="Arial"/>
          <w:sz w:val="17"/>
          <w:szCs w:val="17"/>
          <w:color w:val="auto"/>
        </w:rPr>
        <w:t>John G. Aunins, Ph.D., has served as our Chief Technology Officer and Executive Vice President of Bioprocess Development since December 2012. Prior to joining our company, Dr. Aunins served on our Scientific Advisory Board from February 2012 to December 2012. From April 1989 to November 2011, Dr. Aunins served in various roles at Merck, most recently as Executive Science Director. At Merck, Dr. Aunins led process and product development teams for six licensed vaccines and multiple vaccine candidates. He is a Fellow of the American Institute for Medical and Biological Engineering and an adjunct Full Professor at the Instituto de Tecnologia Quimica e Biologica in Oeiras, Portugal.</w:t>
      </w:r>
    </w:p>
    <w:p>
      <w:pPr>
        <w:spacing w:after="0" w:line="2" w:lineRule="exact"/>
        <w:rPr>
          <w:rFonts w:ascii="Arial" w:cs="Arial" w:eastAsia="Arial" w:hAnsi="Arial"/>
          <w:sz w:val="14"/>
          <w:szCs w:val="14"/>
          <w:color w:val="auto"/>
        </w:rPr>
      </w:pPr>
    </w:p>
    <w:p>
      <w:pPr>
        <w:ind w:right="820"/>
        <w:spacing w:after="0" w:line="246" w:lineRule="auto"/>
        <w:rPr>
          <w:rFonts w:ascii="Arial" w:cs="Arial" w:eastAsia="Arial" w:hAnsi="Arial"/>
          <w:sz w:val="14"/>
          <w:szCs w:val="14"/>
          <w:color w:val="auto"/>
        </w:rPr>
      </w:pPr>
      <w:r>
        <w:rPr>
          <w:rFonts w:ascii="Arial" w:cs="Arial" w:eastAsia="Arial" w:hAnsi="Arial"/>
          <w:sz w:val="18"/>
          <w:szCs w:val="18"/>
          <w:color w:val="auto"/>
        </w:rPr>
        <w:t>Dr. Aunins received his B.S. from the University of Kansas and his Ph.D. in Chemical Engineering from the Massachusetts Institute of Technology.</w:t>
      </w:r>
    </w:p>
    <w:p>
      <w:pPr>
        <w:spacing w:after="0" w:line="48" w:lineRule="exact"/>
        <w:rPr>
          <w:sz w:val="20"/>
          <w:szCs w:val="20"/>
          <w:color w:val="auto"/>
        </w:rPr>
      </w:pPr>
    </w:p>
    <w:p>
      <w:pPr>
        <w:ind w:right="20" w:firstLine="8"/>
        <w:spacing w:after="0" w:line="238" w:lineRule="auto"/>
        <w:tabs>
          <w:tab w:leader="none" w:pos="135" w:val="left"/>
        </w:tabs>
        <w:numPr>
          <w:ilvl w:val="0"/>
          <w:numId w:val="10"/>
        </w:numPr>
        <w:rPr>
          <w:rFonts w:ascii="Arial" w:cs="Arial" w:eastAsia="Arial" w:hAnsi="Arial"/>
          <w:sz w:val="15"/>
          <w:szCs w:val="15"/>
          <w:color w:val="auto"/>
        </w:rPr>
      </w:pPr>
      <w:r>
        <w:rPr>
          <w:rFonts w:ascii="Arial" w:cs="Arial" w:eastAsia="Arial" w:hAnsi="Arial"/>
          <w:sz w:val="18"/>
          <w:szCs w:val="18"/>
          <w:color w:val="auto"/>
        </w:rPr>
        <w:t>David N. Cook, Ph.D., has served as our Chief Scientific Officer and Executive Vice President of Research &amp; Development since October 2012. From February 2010 to October 2012, Dr. Cook was the Chief Operating Officer at the International AIDS Vaccine Initiative, a global not-for-profit, research and development organization focused on the development of a safe and accessible vaccine for HIV. As Chief Operating Officer, Dr. Cook acted as the head of operations, overseeing seven international offices and research facilities. Dr. Cook received his A.B. from Harvard College and his Ph.D. in Chemistry from the University of California, Berkeley.</w:t>
      </w:r>
    </w:p>
    <w:p>
      <w:pPr>
        <w:spacing w:after="0" w:line="68" w:lineRule="exact"/>
        <w:rPr>
          <w:sz w:val="20"/>
          <w:szCs w:val="20"/>
          <w:color w:val="auto"/>
        </w:rPr>
      </w:pPr>
    </w:p>
    <w:p>
      <w:pPr>
        <w:ind w:right="120" w:firstLine="8"/>
        <w:spacing w:after="0" w:line="248" w:lineRule="auto"/>
        <w:tabs>
          <w:tab w:leader="none" w:pos="135" w:val="left"/>
        </w:tabs>
        <w:numPr>
          <w:ilvl w:val="0"/>
          <w:numId w:val="11"/>
        </w:numPr>
        <w:rPr>
          <w:rFonts w:ascii="Arial" w:cs="Arial" w:eastAsia="Arial" w:hAnsi="Arial"/>
          <w:sz w:val="14"/>
          <w:szCs w:val="14"/>
          <w:color w:val="auto"/>
        </w:rPr>
      </w:pPr>
      <w:r>
        <w:rPr>
          <w:rFonts w:ascii="Arial" w:cs="Arial" w:eastAsia="Arial" w:hAnsi="Arial"/>
          <w:sz w:val="17"/>
          <w:szCs w:val="17"/>
          <w:color w:val="auto"/>
        </w:rPr>
        <w:t>Thomas J. DesRosier has served as our Chief Legal Officer, Executive Vice President, and Secretary since May 2016. Previously, he served as Executive Vice President, Chief Legal and Administrative Officer and Secretary of ARIAD Pharmaceuticals, Inc., a biopharmaceutical company, from 2015 to 2016, as Executive Vice President, Chief Legal and Administrative Officer and Secretary of Cubist Pharmaceuticals, Inc., or Cubist, a biopharmaceutical company, from 2014 to 2015 and as Senior Vice President, Chief Legal Officer and Secretary of Cubist from 2013 to 2014. Before that, Mr. DesRosier served as Senior Vice President, General Counsel North America of Sanofi, a global biopharmaceutical company, from 2011 to 2013. From 1999 to 2011, Mr. DesRosier held leadership roles of increasing importance within the legal group of Genzyme Corporation, a biotechnology company, culminating in his role as Senior Vice President, Chief Legal Officer.</w:t>
      </w:r>
    </w:p>
    <w:p>
      <w:pPr>
        <w:spacing w:after="0" w:line="4"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8"/>
          <w:szCs w:val="18"/>
          <w:color w:val="auto"/>
        </w:rPr>
        <w:t>Mr. DesRosier earned a B.A. in chemistry from the University of Vermont and a J.D. from Wake Forest University School of Law.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OFFICERS</w:t>
      </w:r>
    </w:p>
    <w:p>
      <w:pPr>
        <w:spacing w:after="0" w:line="136" w:lineRule="exact"/>
        <w:rPr>
          <w:sz w:val="20"/>
          <w:szCs w:val="20"/>
          <w:color w:val="auto"/>
        </w:rPr>
      </w:pPr>
    </w:p>
    <w:p>
      <w:pPr>
        <w:ind w:right="40" w:firstLine="8"/>
        <w:spacing w:after="0" w:line="236" w:lineRule="auto"/>
        <w:tabs>
          <w:tab w:leader="none" w:pos="135" w:val="left"/>
        </w:tabs>
        <w:numPr>
          <w:ilvl w:val="0"/>
          <w:numId w:val="12"/>
        </w:numPr>
        <w:rPr>
          <w:rFonts w:ascii="Arial" w:cs="Arial" w:eastAsia="Arial" w:hAnsi="Arial"/>
          <w:sz w:val="15"/>
          <w:szCs w:val="15"/>
          <w:color w:val="auto"/>
        </w:rPr>
      </w:pPr>
      <w:r>
        <w:rPr>
          <w:rFonts w:ascii="Arial" w:cs="Arial" w:eastAsia="Arial" w:hAnsi="Arial"/>
          <w:sz w:val="18"/>
          <w:szCs w:val="18"/>
          <w:color w:val="auto"/>
        </w:rPr>
        <w:t>Wael Hashad has served as our Chief Commercial Officer since January 2016. Prior to joining our company, from July 2013 to September 2015, he served as Vice President and General Manager for Middle East and Africa at Amgen, Inc., a pharmaceutical company, where he expanded markets, launched new products and grew existing products. Prior to that he served as Vice President – Regional Commercial Head for Japan, China and Asia Pacific at Amgen, from October 2012 to June 2013, where he expanded commercial opportunities through strategic partnerships and implementation of go-to-market strategies. From August 2011 to June 2013, Mr. Hashad was Vice President – Head of Global Marketing for General Medicine at Amgen, where he optimized the launch of Repatha (Evolocumab). Prior to Amgen, Mr. Hashad worked at Boehringer Ingelheim, a pharmaceutical company, from April 2009 to August 2011, as Vice President- US Cardiovascular and Metabolic Disorders. Mr. Hashad earned a B.Sc. in Pharmacy and Pharmaceutical Sciences from the University of Cairo and an M.B.A. from the University of Akron.</w:t>
      </w:r>
    </w:p>
    <w:p>
      <w:pPr>
        <w:spacing w:after="0" w:line="72" w:lineRule="exact"/>
        <w:rPr>
          <w:sz w:val="20"/>
          <w:szCs w:val="20"/>
          <w:color w:val="auto"/>
        </w:rPr>
      </w:pPr>
    </w:p>
    <w:p>
      <w:pPr>
        <w:ind w:firstLine="8"/>
        <w:spacing w:after="0" w:line="237" w:lineRule="auto"/>
        <w:tabs>
          <w:tab w:leader="none" w:pos="135" w:val="left"/>
        </w:tabs>
        <w:numPr>
          <w:ilvl w:val="0"/>
          <w:numId w:val="13"/>
        </w:numPr>
        <w:rPr>
          <w:rFonts w:ascii="Arial" w:cs="Arial" w:eastAsia="Arial" w:hAnsi="Arial"/>
          <w:sz w:val="15"/>
          <w:szCs w:val="15"/>
          <w:color w:val="auto"/>
        </w:rPr>
      </w:pPr>
      <w:r>
        <w:rPr>
          <w:rFonts w:ascii="Arial" w:cs="Arial" w:eastAsia="Arial" w:hAnsi="Arial"/>
          <w:sz w:val="18"/>
          <w:szCs w:val="18"/>
          <w:color w:val="auto"/>
        </w:rPr>
        <w:t>Eric D. Shaff has served as our Chief Financial Officer and Executive Vice President since November 2014. From January 2012 to November 2014, Mr. Shaff was Vice President of Corporate Finance for Momenta Pharmaceuticals, a biotechnology company, where he helped manage Momenta’s accounting, finance, planning, and procurement functions, as well as contributing to Momenta’s investor relations efforts. From June 2004 to December 2011, Mr. Shaff held a number of corporate development and finance positions with Genzyme Corporation, most recently as Vice President of Finance/Controller for the Personalized Genetic Health division. Mr. Shaff received his B.A. from the University of Pennsylvania and his MBA from Cornell University.</w:t>
      </w:r>
    </w:p>
    <w:p>
      <w:pPr>
        <w:spacing w:after="0" w:line="57" w:lineRule="exact"/>
        <w:rPr>
          <w:sz w:val="20"/>
          <w:szCs w:val="20"/>
          <w:color w:val="auto"/>
        </w:rPr>
      </w:pPr>
    </w:p>
    <w:p>
      <w:pPr>
        <w:ind w:firstLine="8"/>
        <w:spacing w:after="0" w:line="234" w:lineRule="auto"/>
        <w:tabs>
          <w:tab w:leader="none" w:pos="135" w:val="left"/>
        </w:tabs>
        <w:numPr>
          <w:ilvl w:val="0"/>
          <w:numId w:val="14"/>
        </w:numPr>
        <w:rPr>
          <w:rFonts w:ascii="Arial" w:cs="Arial" w:eastAsia="Arial" w:hAnsi="Arial"/>
          <w:sz w:val="15"/>
          <w:szCs w:val="15"/>
          <w:color w:val="auto"/>
        </w:rPr>
      </w:pPr>
      <w:r>
        <w:rPr>
          <w:rFonts w:ascii="Arial" w:cs="Arial" w:eastAsia="Arial" w:hAnsi="Arial"/>
          <w:sz w:val="18"/>
          <w:szCs w:val="18"/>
          <w:color w:val="auto"/>
        </w:rPr>
        <w:t>Michele Trucksis, Ph.D., M.D., has served as our Chief Medical Officer and Executive Vice President since January 2015. Dr. Trucksis was an Associate Clinical Professor at Harvard Medical School from January 2005 to April 2015. From December 2006 to December 2014,</w:t>
      </w:r>
    </w:p>
    <w:p>
      <w:pPr>
        <w:spacing w:after="0" w:line="1" w:lineRule="exact"/>
        <w:rPr>
          <w:rFonts w:ascii="Arial" w:cs="Arial" w:eastAsia="Arial" w:hAnsi="Arial"/>
          <w:sz w:val="15"/>
          <w:szCs w:val="15"/>
          <w:color w:val="auto"/>
        </w:rPr>
      </w:pPr>
    </w:p>
    <w:p>
      <w:pPr>
        <w:ind w:right="300"/>
        <w:spacing w:after="0" w:line="237" w:lineRule="auto"/>
        <w:rPr>
          <w:rFonts w:ascii="Arial" w:cs="Arial" w:eastAsia="Arial" w:hAnsi="Arial"/>
          <w:sz w:val="15"/>
          <w:szCs w:val="15"/>
          <w:color w:val="auto"/>
        </w:rPr>
      </w:pPr>
      <w:r>
        <w:rPr>
          <w:rFonts w:ascii="Arial" w:cs="Arial" w:eastAsia="Arial" w:hAnsi="Arial"/>
          <w:sz w:val="18"/>
          <w:szCs w:val="18"/>
          <w:color w:val="auto"/>
        </w:rPr>
        <w:t>Dr. Trucksis held various positions of increasing seniority at Merck Research Laboratories, the research and development division of Merck. Most recently, from June 2014 to December 2014, Dr. Trucksis served as Executive Director, Team Leader &amp; Clinical Lead, Antifungals and Antibacterials where she was responsible for medical, clinical and global product development and strategy. From July 2011 to June 2014, Dr. Trucksis was Project Leader, Antifungals and Antibacterials, and from December 2006 to July 2011, she was Director in Clinical Pharmacology. Dr. Trucksis received her B.S. in Medical Technology from Youngstown State University, her Ph.D. in Biochemistry from Kent State University and her M.D. from Case Western Reserve University School of Medicine.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is related to any other executive officer or to any of our directors.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www.serestherapeutics.com, or by writing to our Secretary at our offices at 200 Sidney Street, Cambridge, MA 02139.</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of Directors currently consists of eight members: Roger J. Pomerantz, M.D., Noubar B. Afeyan, Ph.D., Dennis A. Ausiello, M.D., Grégory Behar, Peter Barton Hutt, Richard N. Kender, Lorence H. Kim, M.D. and Kurt C. Graves.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in voting power of the outstanding shares of our capital stock entitled to vote in the election of directors.</w:t>
      </w:r>
    </w:p>
    <w:p>
      <w:pPr>
        <w:spacing w:after="0" w:line="2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All of our directors, other than Roger J. Pomerantz,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Pomerantz is not independent because he is the President and Chief Executive Officer of our Company. There are no family relationships among any of our directors or executive officers.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 Both Richard N. Kender and Lorence H. Kim, Class II Directors elected to the Board in 2014, were recommended by our President, Chief Executive Officer and Chairman of the Board.</w:t>
      </w:r>
    </w:p>
    <w:p>
      <w:pPr>
        <w:spacing w:after="0" w:line="5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Secretary, Seres Therapeutics, Inc., 200 Sidney Street, Cambridge, MA 02142.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The Board will give appropriate attention to written communications that are submitted by stockholders, and will respond if and as appropriate. Our Secretary is primarily responsible for monitoring communications from stockholders and for providing copies or summaries to the directors as he considers appropriate.</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Communications are forwarded to all directors if they relate to important substantive matters and include suggestions or comments that our Secretary, Lead Director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Secretary, Seres Therapeutics, Inc., 200 Sidney Street, Cambridge, MA 02139.</w:t>
      </w: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At the current time, Roger J. Pomerantz, M.D., our President and Chief Executive Officer, serves as Chairman of the Board. Our Board of Directors has determined that combining the roles of Chairman of the Board and Chief Executive Officer is best for our company and our stockholders at this time because it promotes unified leadership by Dr. Pomerantz and allows for a single, clear focus for management to execute the Company’s strategy and business plans. If the Chairman of the Board is a member of management or does not otherwise qualify as independent, our Corporate Governance Guidelines provide for the appointment by the independent directors of a Lead Director. Since our Chairman of the Board is a member of management, the independent directors elected Noubar B. Afeyan, Ph.D., as the Lead Director. The Lead Director’s responsibilities include, but are not limited to, presiding over all 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with the biotechnology and pharmaceutical industries and, with the exception of Dr. Pomerantz, is comprised of directors who meet the independence standards of NASDAQ. For these reasons and because of the strong leadership of Dr. Pomerantz as Chairman of the Board and Chief Executive Officer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66"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CORPORATE GOVERNANCE</w:t>
      </w:r>
    </w:p>
    <w:p>
      <w:pPr>
        <w:spacing w:after="0" w:line="136"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Corporate Governance Guidelines require the Nominating and Corporate Governance Committee to oversee an annual assessment of the Board and its committees. Our outside counsel, Latham &amp; Watkins, LLP, or Latham, distributed board evaluations to our Board and each board member returned an evaluation anonymously. Latham tabulated the results and presented them to the Nominating and Corporate Governance Committee for review.</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www.serestherapeutics.com. In addition, we intend to post on our website all disclosures that are required by law or the rules of NASDAQ concerning any amendments to, or waivers from, any provision of the code.</w:t>
      </w: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There were twelve meetings of the Board of Directors during the fiscal year ended December 31, 2016. During the fiscal year ended December 31, 2016, each director attended at least 75% of the aggregate of all meetings of the Board of Directors and meetings of the committees on which the Director served during the period in which he or she served as a director, except for Peter Barton Hutt, who attended 66.67% of the meetings.</w:t>
      </w:r>
    </w:p>
    <w:p>
      <w:pPr>
        <w:spacing w:after="0" w:line="67"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Currently, we do not maintain a formal policy regarding director attendance at the Annual Meeting; however, it is expected that absent compelling circumstances directors will attend.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Board has established three standing committees—Audit, Compensation and Nominating and Corporate Governance—each of which operates under a written charter that has been approved by our Board. All of the members of each of the Board’s three standing committees are independent as defined under the NASDAQ rules. Our Board of Directors has determined that Richard N. Kender, Dennis A. Ausiello, and Kurt Graves meet the independence requirements of Rule 10A-3 under the Securities Exchange Act of 1934, as amended, or the Exchange Act. From March 2013 to June 2016, Werner Cautreels, Ph.D., served on our board of directors and on its Audit Committee. In connection with his service on the Audit Committee, our Board of Directors determined that Dr. Cautreels met the independence requirements of Rule 10A-3. All members of the Compensation Committee meet the heightened standard for independence specific to members of a compensation committee under the NASDAQ rules. All members of the Nominating and Corporate Governance Committee are independent under the NASDAQ rules.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each of the Board committees and committee Chairs are set forth in the following chart.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shd w:val="clear" w:color="auto" w:fill="D8D8D8"/>
          </w:tcPr>
          <w:p>
            <w:pPr>
              <w:spacing w:after="0"/>
              <w:rPr>
                <w:sz w:val="14"/>
                <w:szCs w:val="14"/>
                <w:color w:val="auto"/>
              </w:rPr>
            </w:pPr>
          </w:p>
        </w:tc>
        <w:tc>
          <w:tcPr>
            <w:tcW w:w="1620" w:type="dxa"/>
            <w:vAlign w:val="bottom"/>
            <w:shd w:val="clear" w:color="auto" w:fill="D8D8D8"/>
          </w:tcPr>
          <w:p>
            <w:pPr>
              <w:ind w:left="320"/>
              <w:spacing w:after="0"/>
              <w:rPr>
                <w:sz w:val="20"/>
                <w:szCs w:val="20"/>
                <w:color w:val="auto"/>
              </w:rPr>
            </w:pPr>
            <w:r>
              <w:rPr>
                <w:rFonts w:ascii="Arial" w:cs="Arial" w:eastAsia="Arial" w:hAnsi="Arial"/>
                <w:sz w:val="14"/>
                <w:szCs w:val="14"/>
                <w:b w:val="1"/>
                <w:bCs w:val="1"/>
                <w:color w:val="auto"/>
              </w:rPr>
              <w:t>Audit</w:t>
            </w:r>
          </w:p>
        </w:tc>
        <w:tc>
          <w:tcPr>
            <w:tcW w:w="2760" w:type="dxa"/>
            <w:vAlign w:val="bottom"/>
            <w:shd w:val="clear" w:color="auto" w:fill="D8D8D8"/>
          </w:tcPr>
          <w:p>
            <w:pPr>
              <w:ind w:left="960"/>
              <w:spacing w:after="0"/>
              <w:rPr>
                <w:sz w:val="20"/>
                <w:szCs w:val="20"/>
                <w:color w:val="auto"/>
              </w:rPr>
            </w:pPr>
            <w:r>
              <w:rPr>
                <w:rFonts w:ascii="Arial" w:cs="Arial" w:eastAsia="Arial" w:hAnsi="Arial"/>
                <w:sz w:val="14"/>
                <w:szCs w:val="14"/>
                <w:b w:val="1"/>
                <w:bCs w:val="1"/>
                <w:color w:val="auto"/>
              </w:rPr>
              <w:t>Compensation</w:t>
            </w:r>
          </w:p>
        </w:tc>
        <w:tc>
          <w:tcPr>
            <w:tcW w:w="3020" w:type="dxa"/>
            <w:vAlign w:val="bottom"/>
            <w:shd w:val="clear" w:color="auto" w:fill="D8D8D8"/>
          </w:tcPr>
          <w:p>
            <w:pPr>
              <w:jc w:val="center"/>
              <w:ind w:left="491"/>
              <w:spacing w:after="0"/>
              <w:rPr>
                <w:sz w:val="20"/>
                <w:szCs w:val="20"/>
                <w:color w:val="auto"/>
              </w:rPr>
            </w:pPr>
            <w:r>
              <w:rPr>
                <w:rFonts w:ascii="Arial" w:cs="Arial" w:eastAsia="Arial" w:hAnsi="Arial"/>
                <w:sz w:val="14"/>
                <w:szCs w:val="14"/>
                <w:b w:val="1"/>
                <w:bCs w:val="1"/>
                <w:color w:val="auto"/>
              </w:rPr>
              <w:t>Nominating and Corporate</w:t>
            </w:r>
          </w:p>
        </w:tc>
      </w:tr>
      <w:tr>
        <w:trPr>
          <w:trHeight w:val="175"/>
        </w:trPr>
        <w:tc>
          <w:tcPr>
            <w:tcW w:w="402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1620" w:type="dxa"/>
            <w:vAlign w:val="bottom"/>
            <w:tcBorders>
              <w:bottom w:val="single" w:sz="8" w:color="auto"/>
            </w:tcBorders>
            <w:shd w:val="clear" w:color="auto" w:fill="D8D8D8"/>
          </w:tcPr>
          <w:p>
            <w:pPr>
              <w:spacing w:after="0"/>
              <w:rPr>
                <w:sz w:val="15"/>
                <w:szCs w:val="15"/>
                <w:color w:val="auto"/>
              </w:rPr>
            </w:pPr>
          </w:p>
        </w:tc>
        <w:tc>
          <w:tcPr>
            <w:tcW w:w="2760" w:type="dxa"/>
            <w:vAlign w:val="bottom"/>
            <w:tcBorders>
              <w:bottom w:val="single" w:sz="8" w:color="auto"/>
            </w:tcBorders>
            <w:shd w:val="clear" w:color="auto" w:fill="D8D8D8"/>
          </w:tcPr>
          <w:p>
            <w:pPr>
              <w:spacing w:after="0"/>
              <w:rPr>
                <w:sz w:val="15"/>
                <w:szCs w:val="15"/>
                <w:color w:val="auto"/>
              </w:rPr>
            </w:pPr>
          </w:p>
        </w:tc>
        <w:tc>
          <w:tcPr>
            <w:tcW w:w="3020" w:type="dxa"/>
            <w:vAlign w:val="bottom"/>
            <w:tcBorders>
              <w:bottom w:val="single" w:sz="8" w:color="auto"/>
            </w:tcBorders>
            <w:shd w:val="clear" w:color="auto" w:fill="D8D8D8"/>
          </w:tcPr>
          <w:p>
            <w:pPr>
              <w:jc w:val="center"/>
              <w:ind w:left="491"/>
              <w:spacing w:after="0"/>
              <w:rPr>
                <w:sz w:val="20"/>
                <w:szCs w:val="20"/>
                <w:color w:val="auto"/>
              </w:rPr>
            </w:pPr>
            <w:r>
              <w:rPr>
                <w:rFonts w:ascii="Arial" w:cs="Arial" w:eastAsia="Arial" w:hAnsi="Arial"/>
                <w:sz w:val="14"/>
                <w:szCs w:val="14"/>
                <w:b w:val="1"/>
                <w:bCs w:val="1"/>
                <w:color w:val="auto"/>
              </w:rPr>
              <w:t>Governance</w:t>
            </w:r>
          </w:p>
        </w:tc>
      </w:tr>
      <w:tr>
        <w:trPr>
          <w:trHeight w:val="196"/>
        </w:trPr>
        <w:tc>
          <w:tcPr>
            <w:tcW w:w="4020" w:type="dxa"/>
            <w:vAlign w:val="bottom"/>
          </w:tcPr>
          <w:p>
            <w:pPr>
              <w:ind w:left="40"/>
              <w:spacing w:after="0"/>
              <w:rPr>
                <w:sz w:val="20"/>
                <w:szCs w:val="20"/>
                <w:color w:val="auto"/>
              </w:rPr>
            </w:pPr>
            <w:r>
              <w:rPr>
                <w:rFonts w:ascii="Arial" w:cs="Arial" w:eastAsia="Arial" w:hAnsi="Arial"/>
                <w:sz w:val="14"/>
                <w:szCs w:val="14"/>
                <w:color w:val="auto"/>
              </w:rPr>
              <w:t>Noubar B. Afeyan, Ph.D.</w:t>
            </w:r>
          </w:p>
        </w:tc>
        <w:tc>
          <w:tcPr>
            <w:tcW w:w="1620" w:type="dxa"/>
            <w:vAlign w:val="bottom"/>
          </w:tcPr>
          <w:p>
            <w:pPr>
              <w:spacing w:after="0"/>
              <w:rPr>
                <w:sz w:val="17"/>
                <w:szCs w:val="17"/>
                <w:color w:val="auto"/>
              </w:rPr>
            </w:pPr>
          </w:p>
        </w:tc>
        <w:tc>
          <w:tcPr>
            <w:tcW w:w="2760" w:type="dxa"/>
            <w:vAlign w:val="bottom"/>
          </w:tcPr>
          <w:p>
            <w:pPr>
              <w:jc w:val="center"/>
              <w:spacing w:after="0"/>
              <w:rPr>
                <w:sz w:val="20"/>
                <w:szCs w:val="20"/>
                <w:color w:val="auto"/>
              </w:rPr>
            </w:pPr>
            <w:r>
              <w:rPr>
                <w:rFonts w:ascii="Arial" w:cs="Arial" w:eastAsia="Arial" w:hAnsi="Arial"/>
                <w:sz w:val="14"/>
                <w:szCs w:val="14"/>
                <w:color w:val="auto"/>
                <w:w w:val="95"/>
              </w:rPr>
              <w:t>Chair</w:t>
            </w:r>
          </w:p>
        </w:tc>
        <w:tc>
          <w:tcPr>
            <w:tcW w:w="3020" w:type="dxa"/>
            <w:vAlign w:val="bottom"/>
          </w:tcPr>
          <w:p>
            <w:pPr>
              <w:jc w:val="center"/>
              <w:ind w:left="491"/>
              <w:spacing w:after="0"/>
              <w:rPr>
                <w:sz w:val="20"/>
                <w:szCs w:val="20"/>
                <w:color w:val="auto"/>
              </w:rPr>
            </w:pPr>
            <w:r>
              <w:rPr>
                <w:rFonts w:ascii="Arial" w:cs="Arial" w:eastAsia="Arial" w:hAnsi="Arial"/>
                <w:sz w:val="14"/>
                <w:szCs w:val="14"/>
                <w:color w:val="auto"/>
              </w:rPr>
              <w:t>X</w:t>
            </w:r>
          </w:p>
        </w:tc>
      </w:tr>
      <w:tr>
        <w:trPr>
          <w:trHeight w:val="223"/>
        </w:trPr>
        <w:tc>
          <w:tcPr>
            <w:tcW w:w="4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rPr>
              <w:t>Dennis A. Ausiello, M.D.</w:t>
            </w:r>
          </w:p>
        </w:tc>
        <w:tc>
          <w:tcPr>
            <w:tcW w:w="1620" w:type="dxa"/>
            <w:vAlign w:val="bottom"/>
            <w:tcBorders>
              <w:bottom w:val="single" w:sz="8" w:color="D8D8D8"/>
            </w:tcBorders>
            <w:shd w:val="clear" w:color="auto" w:fill="D8D8D8"/>
          </w:tcPr>
          <w:p>
            <w:pPr>
              <w:jc w:val="center"/>
              <w:ind w:right="652"/>
              <w:spacing w:after="0"/>
              <w:rPr>
                <w:sz w:val="20"/>
                <w:szCs w:val="20"/>
                <w:color w:val="auto"/>
              </w:rPr>
            </w:pPr>
            <w:r>
              <w:rPr>
                <w:rFonts w:ascii="Arial" w:cs="Arial" w:eastAsia="Arial" w:hAnsi="Arial"/>
                <w:sz w:val="14"/>
                <w:szCs w:val="14"/>
                <w:color w:val="auto"/>
              </w:rPr>
              <w:t>X</w:t>
            </w:r>
          </w:p>
        </w:tc>
        <w:tc>
          <w:tcPr>
            <w:tcW w:w="2760" w:type="dxa"/>
            <w:vAlign w:val="bottom"/>
            <w:tcBorders>
              <w:bottom w:val="single" w:sz="8" w:color="D8D8D8"/>
            </w:tcBorders>
            <w:shd w:val="clear" w:color="auto" w:fill="D8D8D8"/>
          </w:tcPr>
          <w:p>
            <w:pPr>
              <w:spacing w:after="0"/>
              <w:rPr>
                <w:sz w:val="19"/>
                <w:szCs w:val="19"/>
                <w:color w:val="auto"/>
              </w:rPr>
            </w:pPr>
          </w:p>
        </w:tc>
        <w:tc>
          <w:tcPr>
            <w:tcW w:w="3020" w:type="dxa"/>
            <w:vAlign w:val="bottom"/>
            <w:tcBorders>
              <w:bottom w:val="single" w:sz="8" w:color="D8D8D8"/>
            </w:tcBorders>
            <w:shd w:val="clear" w:color="auto" w:fill="D8D8D8"/>
          </w:tcPr>
          <w:p>
            <w:pPr>
              <w:jc w:val="center"/>
              <w:ind w:left="491"/>
              <w:spacing w:after="0"/>
              <w:rPr>
                <w:sz w:val="20"/>
                <w:szCs w:val="20"/>
                <w:color w:val="auto"/>
              </w:rPr>
            </w:pPr>
            <w:r>
              <w:rPr>
                <w:rFonts w:ascii="Arial" w:cs="Arial" w:eastAsia="Arial" w:hAnsi="Arial"/>
                <w:sz w:val="14"/>
                <w:szCs w:val="14"/>
                <w:color w:val="auto"/>
              </w:rPr>
              <w:t>X</w:t>
            </w:r>
          </w:p>
        </w:tc>
      </w:tr>
      <w:tr>
        <w:trPr>
          <w:trHeight w:val="202"/>
        </w:trPr>
        <w:tc>
          <w:tcPr>
            <w:tcW w:w="4020" w:type="dxa"/>
            <w:vAlign w:val="bottom"/>
          </w:tcPr>
          <w:p>
            <w:pPr>
              <w:ind w:left="40"/>
              <w:spacing w:after="0"/>
              <w:rPr>
                <w:sz w:val="20"/>
                <w:szCs w:val="20"/>
                <w:color w:val="auto"/>
              </w:rPr>
            </w:pPr>
            <w:r>
              <w:rPr>
                <w:rFonts w:ascii="Arial" w:cs="Arial" w:eastAsia="Arial" w:hAnsi="Arial"/>
                <w:sz w:val="14"/>
                <w:szCs w:val="14"/>
                <w:color w:val="auto"/>
              </w:rPr>
              <w:t>Kurt Graves</w:t>
            </w:r>
          </w:p>
        </w:tc>
        <w:tc>
          <w:tcPr>
            <w:tcW w:w="1620" w:type="dxa"/>
            <w:vAlign w:val="bottom"/>
          </w:tcPr>
          <w:p>
            <w:pPr>
              <w:jc w:val="center"/>
              <w:ind w:right="652"/>
              <w:spacing w:after="0"/>
              <w:rPr>
                <w:sz w:val="20"/>
                <w:szCs w:val="20"/>
                <w:color w:val="auto"/>
              </w:rPr>
            </w:pPr>
            <w:r>
              <w:rPr>
                <w:rFonts w:ascii="Arial" w:cs="Arial" w:eastAsia="Arial" w:hAnsi="Arial"/>
                <w:sz w:val="14"/>
                <w:szCs w:val="14"/>
                <w:color w:val="auto"/>
              </w:rPr>
              <w:t>X</w:t>
            </w:r>
          </w:p>
        </w:tc>
        <w:tc>
          <w:tcPr>
            <w:tcW w:w="27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41"/>
        </w:trPr>
        <w:tc>
          <w:tcPr>
            <w:tcW w:w="4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20" w:type="dxa"/>
            <w:vAlign w:val="bottom"/>
          </w:tcPr>
          <w:p>
            <w:pPr>
              <w:spacing w:after="0"/>
              <w:rPr>
                <w:sz w:val="3"/>
                <w:szCs w:val="3"/>
                <w:color w:val="auto"/>
              </w:rPr>
            </w:pPr>
          </w:p>
        </w:tc>
      </w:tr>
      <w:tr>
        <w:trPr>
          <w:trHeight w:val="223"/>
        </w:trPr>
        <w:tc>
          <w:tcPr>
            <w:tcW w:w="4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rPr>
              <w:t>Peter Barton Hutt</w:t>
            </w:r>
          </w:p>
        </w:tc>
        <w:tc>
          <w:tcPr>
            <w:tcW w:w="1620" w:type="dxa"/>
            <w:vAlign w:val="bottom"/>
            <w:tcBorders>
              <w:bottom w:val="single" w:sz="8" w:color="D8D8D8"/>
            </w:tcBorders>
            <w:shd w:val="clear" w:color="auto" w:fill="D8D8D8"/>
          </w:tcPr>
          <w:p>
            <w:pPr>
              <w:spacing w:after="0"/>
              <w:rPr>
                <w:sz w:val="19"/>
                <w:szCs w:val="19"/>
                <w:color w:val="auto"/>
              </w:rPr>
            </w:pPr>
          </w:p>
        </w:tc>
        <w:tc>
          <w:tcPr>
            <w:tcW w:w="27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w w:val="85"/>
              </w:rPr>
              <w:t>X</w:t>
            </w:r>
          </w:p>
        </w:tc>
        <w:tc>
          <w:tcPr>
            <w:tcW w:w="3020" w:type="dxa"/>
            <w:vAlign w:val="bottom"/>
            <w:tcBorders>
              <w:bottom w:val="single" w:sz="8" w:color="D8D8D8"/>
            </w:tcBorders>
            <w:shd w:val="clear" w:color="auto" w:fill="D8D8D8"/>
          </w:tcPr>
          <w:p>
            <w:pPr>
              <w:jc w:val="center"/>
              <w:ind w:left="491"/>
              <w:spacing w:after="0"/>
              <w:rPr>
                <w:sz w:val="20"/>
                <w:szCs w:val="20"/>
                <w:color w:val="auto"/>
              </w:rPr>
            </w:pPr>
            <w:r>
              <w:rPr>
                <w:rFonts w:ascii="Arial" w:cs="Arial" w:eastAsia="Arial" w:hAnsi="Arial"/>
                <w:sz w:val="14"/>
                <w:szCs w:val="14"/>
                <w:color w:val="auto"/>
              </w:rPr>
              <w:t>Chair</w:t>
            </w:r>
          </w:p>
        </w:tc>
      </w:tr>
      <w:tr>
        <w:trPr>
          <w:trHeight w:val="202"/>
        </w:trPr>
        <w:tc>
          <w:tcPr>
            <w:tcW w:w="4020" w:type="dxa"/>
            <w:vAlign w:val="bottom"/>
          </w:tcPr>
          <w:p>
            <w:pPr>
              <w:ind w:left="40"/>
              <w:spacing w:after="0"/>
              <w:rPr>
                <w:sz w:val="20"/>
                <w:szCs w:val="20"/>
                <w:color w:val="auto"/>
              </w:rPr>
            </w:pPr>
            <w:r>
              <w:rPr>
                <w:rFonts w:ascii="Arial" w:cs="Arial" w:eastAsia="Arial" w:hAnsi="Arial"/>
                <w:sz w:val="14"/>
                <w:szCs w:val="14"/>
                <w:color w:val="auto"/>
              </w:rPr>
              <w:t>Richard N. Kender</w:t>
            </w:r>
          </w:p>
        </w:tc>
        <w:tc>
          <w:tcPr>
            <w:tcW w:w="1620" w:type="dxa"/>
            <w:vAlign w:val="bottom"/>
          </w:tcPr>
          <w:p>
            <w:pPr>
              <w:jc w:val="center"/>
              <w:ind w:right="632"/>
              <w:spacing w:after="0"/>
              <w:rPr>
                <w:sz w:val="20"/>
                <w:szCs w:val="20"/>
                <w:color w:val="auto"/>
              </w:rPr>
            </w:pPr>
            <w:r>
              <w:rPr>
                <w:rFonts w:ascii="Arial" w:cs="Arial" w:eastAsia="Arial" w:hAnsi="Arial"/>
                <w:sz w:val="14"/>
                <w:szCs w:val="14"/>
                <w:color w:val="auto"/>
                <w:w w:val="95"/>
              </w:rPr>
              <w:t>Chair</w:t>
            </w:r>
          </w:p>
        </w:tc>
        <w:tc>
          <w:tcPr>
            <w:tcW w:w="2760" w:type="dxa"/>
            <w:vAlign w:val="bottom"/>
          </w:tcPr>
          <w:p>
            <w:pPr>
              <w:jc w:val="center"/>
              <w:spacing w:after="0"/>
              <w:rPr>
                <w:sz w:val="20"/>
                <w:szCs w:val="20"/>
                <w:color w:val="auto"/>
              </w:rPr>
            </w:pPr>
            <w:r>
              <w:rPr>
                <w:rFonts w:ascii="Arial" w:cs="Arial" w:eastAsia="Arial" w:hAnsi="Arial"/>
                <w:sz w:val="14"/>
                <w:szCs w:val="14"/>
                <w:color w:val="auto"/>
                <w:w w:val="85"/>
              </w:rPr>
              <w:t>X</w:t>
            </w:r>
          </w:p>
        </w:tc>
        <w:tc>
          <w:tcPr>
            <w:tcW w:w="3020" w:type="dxa"/>
            <w:vAlign w:val="bottom"/>
          </w:tcPr>
          <w:p>
            <w:pPr>
              <w:spacing w:after="0"/>
              <w:rPr>
                <w:sz w:val="17"/>
                <w:szCs w:val="17"/>
                <w:color w:val="auto"/>
              </w:rPr>
            </w:pPr>
          </w:p>
        </w:tc>
      </w:tr>
      <w:tr>
        <w:trPr>
          <w:trHeight w:val="41"/>
        </w:trPr>
        <w:tc>
          <w:tcPr>
            <w:tcW w:w="4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3020" w:type="dxa"/>
            <w:vAlign w:val="bottom"/>
          </w:tcPr>
          <w:p>
            <w:pPr>
              <w:spacing w:after="0"/>
              <w:rPr>
                <w:sz w:val="3"/>
                <w:szCs w:val="3"/>
                <w:color w:val="auto"/>
              </w:rPr>
            </w:pPr>
          </w:p>
        </w:tc>
      </w:tr>
      <w:tr>
        <w:trPr>
          <w:trHeight w:val="248"/>
        </w:trPr>
        <w:tc>
          <w:tcPr>
            <w:tcW w:w="4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4"/>
                <w:szCs w:val="14"/>
                <w:color w:val="auto"/>
              </w:rPr>
              <w:t>Lorence H. Kim, M.D.</w:t>
            </w:r>
          </w:p>
        </w:tc>
        <w:tc>
          <w:tcPr>
            <w:tcW w:w="1620" w:type="dxa"/>
            <w:vAlign w:val="bottom"/>
            <w:tcBorders>
              <w:bottom w:val="single" w:sz="8" w:color="D8D8D8"/>
            </w:tcBorders>
            <w:shd w:val="clear" w:color="auto" w:fill="D8D8D8"/>
          </w:tcPr>
          <w:p>
            <w:pPr>
              <w:spacing w:after="0"/>
              <w:rPr>
                <w:sz w:val="21"/>
                <w:szCs w:val="21"/>
                <w:color w:val="auto"/>
              </w:rPr>
            </w:pPr>
          </w:p>
        </w:tc>
        <w:tc>
          <w:tcPr>
            <w:tcW w:w="2760" w:type="dxa"/>
            <w:vAlign w:val="bottom"/>
            <w:tcBorders>
              <w:bottom w:val="single" w:sz="8" w:color="D8D8D8"/>
            </w:tcBorders>
            <w:shd w:val="clear" w:color="auto" w:fill="D8D8D8"/>
          </w:tcPr>
          <w:p>
            <w:pPr>
              <w:spacing w:after="0"/>
              <w:rPr>
                <w:sz w:val="21"/>
                <w:szCs w:val="21"/>
                <w:color w:val="auto"/>
              </w:rPr>
            </w:pPr>
          </w:p>
        </w:tc>
        <w:tc>
          <w:tcPr>
            <w:tcW w:w="3020" w:type="dxa"/>
            <w:vAlign w:val="bottom"/>
            <w:tcBorders>
              <w:bottom w:val="single" w:sz="8" w:color="D8D8D8"/>
            </w:tcBorders>
            <w:shd w:val="clear" w:color="auto" w:fill="D8D8D8"/>
          </w:tcPr>
          <w:p>
            <w:pPr>
              <w:jc w:val="center"/>
              <w:ind w:left="491"/>
              <w:spacing w:after="0"/>
              <w:rPr>
                <w:sz w:val="20"/>
                <w:szCs w:val="20"/>
                <w:color w:val="auto"/>
              </w:rPr>
            </w:pPr>
            <w:r>
              <w:rPr>
                <w:rFonts w:ascii="Arial" w:cs="Arial" w:eastAsia="Arial" w:hAnsi="Arial"/>
                <w:sz w:val="14"/>
                <w:szCs w:val="14"/>
                <w:color w:val="auto"/>
              </w:rPr>
              <w:t>X</w:t>
            </w:r>
          </w:p>
        </w:tc>
      </w:tr>
      <w:tr>
        <w:trPr>
          <w:trHeight w:val="479"/>
        </w:trPr>
        <w:tc>
          <w:tcPr>
            <w:tcW w:w="402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AUDIT COMMITTEE</w:t>
            </w:r>
          </w:p>
        </w:tc>
        <w:tc>
          <w:tcPr>
            <w:tcW w:w="162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r>
      <w:tr>
        <w:trPr>
          <w:trHeight w:val="41"/>
        </w:trPr>
        <w:tc>
          <w:tcPr>
            <w:tcW w:w="4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tcPr>
          <w:p>
            <w:pPr>
              <w:spacing w:after="0"/>
              <w:rPr>
                <w:sz w:val="3"/>
                <w:szCs w:val="3"/>
                <w:color w:val="auto"/>
              </w:rPr>
            </w:pPr>
          </w:p>
        </w:tc>
      </w:tr>
      <w:tr>
        <w:trPr>
          <w:trHeight w:val="237"/>
        </w:trPr>
        <w:tc>
          <w:tcPr>
            <w:tcW w:w="4020" w:type="dxa"/>
            <w:vAlign w:val="bottom"/>
          </w:tcPr>
          <w:p>
            <w:pPr>
              <w:spacing w:after="0"/>
              <w:rPr>
                <w:sz w:val="20"/>
                <w:szCs w:val="20"/>
                <w:color w:val="auto"/>
              </w:rPr>
            </w:pPr>
            <w:r>
              <w:rPr>
                <w:rFonts w:ascii="Arial" w:cs="Arial" w:eastAsia="Arial" w:hAnsi="Arial"/>
                <w:sz w:val="18"/>
                <w:szCs w:val="18"/>
                <w:color w:val="auto"/>
              </w:rPr>
              <w:t>Our Audit Committee’s responsibilities include:</w:t>
            </w:r>
          </w:p>
        </w:tc>
        <w:tc>
          <w:tcPr>
            <w:tcW w:w="16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3020" w:type="dxa"/>
            <w:vAlign w:val="bottom"/>
          </w:tcPr>
          <w:p>
            <w:pPr>
              <w:spacing w:after="0"/>
              <w:rPr>
                <w:sz w:val="20"/>
                <w:szCs w:val="20"/>
                <w:color w:val="auto"/>
              </w:rPr>
            </w:pPr>
          </w:p>
        </w:tc>
      </w:tr>
    </w:tbl>
    <w:p>
      <w:pPr>
        <w:spacing w:after="0" w:line="67" w:lineRule="exact"/>
        <w:rPr>
          <w:sz w:val="20"/>
          <w:szCs w:val="20"/>
          <w:color w:val="auto"/>
        </w:rPr>
      </w:pPr>
    </w:p>
    <w:p>
      <w:pPr>
        <w:ind w:left="1120" w:right="320" w:hanging="437"/>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independent registered public accounting firm;</w:t>
      </w:r>
    </w:p>
    <w:p>
      <w:pPr>
        <w:spacing w:after="0" w:line="21" w:lineRule="exact"/>
        <w:rPr>
          <w:rFonts w:ascii="Arial" w:cs="Arial" w:eastAsia="Arial" w:hAnsi="Arial"/>
          <w:sz w:val="18"/>
          <w:szCs w:val="18"/>
          <w:color w:val="auto"/>
        </w:rPr>
      </w:pPr>
    </w:p>
    <w:p>
      <w:pPr>
        <w:ind w:left="1120" w:right="460" w:hanging="437"/>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such firm;</w:t>
      </w:r>
    </w:p>
    <w:p>
      <w:pPr>
        <w:spacing w:after="0" w:line="21" w:lineRule="exact"/>
        <w:rPr>
          <w:rFonts w:ascii="Arial" w:cs="Arial" w:eastAsia="Arial" w:hAnsi="Arial"/>
          <w:sz w:val="18"/>
          <w:szCs w:val="18"/>
          <w:color w:val="auto"/>
        </w:rPr>
      </w:pPr>
    </w:p>
    <w:p>
      <w:pPr>
        <w:ind w:left="1120" w:right="480" w:hanging="437"/>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w:t>
      </w:r>
    </w:p>
    <w:p>
      <w:pPr>
        <w:spacing w:after="0" w:line="21" w:lineRule="exact"/>
        <w:rPr>
          <w:rFonts w:ascii="Arial" w:cs="Arial" w:eastAsia="Arial" w:hAnsi="Arial"/>
          <w:sz w:val="18"/>
          <w:szCs w:val="18"/>
          <w:color w:val="auto"/>
        </w:rPr>
      </w:pPr>
    </w:p>
    <w:p>
      <w:pPr>
        <w:ind w:left="1120" w:right="360" w:hanging="437"/>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disclosure controls and procedures and code of business conduct and ethics;</w:t>
      </w:r>
    </w:p>
    <w:p>
      <w:pPr>
        <w:spacing w:after="0" w:line="21" w:lineRule="exact"/>
        <w:rPr>
          <w:rFonts w:ascii="Arial" w:cs="Arial" w:eastAsia="Arial" w:hAnsi="Arial"/>
          <w:sz w:val="18"/>
          <w:szCs w:val="18"/>
          <w:color w:val="auto"/>
        </w:rPr>
      </w:pPr>
    </w:p>
    <w:p>
      <w:pPr>
        <w:ind w:left="1120" w:hanging="43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our risk management policies;</w:t>
      </w:r>
    </w:p>
    <w:p>
      <w:pPr>
        <w:spacing w:after="0" w:line="49" w:lineRule="exact"/>
        <w:rPr>
          <w:rFonts w:ascii="Arial" w:cs="Arial" w:eastAsia="Arial" w:hAnsi="Arial"/>
          <w:sz w:val="18"/>
          <w:szCs w:val="18"/>
          <w:color w:val="auto"/>
        </w:rPr>
      </w:pPr>
    </w:p>
    <w:p>
      <w:pPr>
        <w:ind w:left="1120" w:right="220" w:hanging="437"/>
        <w:spacing w:after="0" w:line="246" w:lineRule="auto"/>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the independent registered public accounting firm and procedures for the receipt and retention of accounting related complaints and concerns;</w:t>
      </w:r>
    </w:p>
    <w:p>
      <w:pPr>
        <w:spacing w:after="0" w:line="21" w:lineRule="exact"/>
        <w:rPr>
          <w:rFonts w:ascii="Arial" w:cs="Arial" w:eastAsia="Arial" w:hAnsi="Arial"/>
          <w:sz w:val="18"/>
          <w:szCs w:val="18"/>
          <w:color w:val="auto"/>
        </w:rPr>
      </w:pPr>
    </w:p>
    <w:p>
      <w:pPr>
        <w:ind w:left="1120" w:hanging="43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independent registered public accounting firm and management;</w:t>
      </w:r>
    </w:p>
    <w:p>
      <w:pPr>
        <w:spacing w:after="0" w:line="49" w:lineRule="exact"/>
        <w:rPr>
          <w:rFonts w:ascii="Arial" w:cs="Arial" w:eastAsia="Arial" w:hAnsi="Arial"/>
          <w:sz w:val="18"/>
          <w:szCs w:val="18"/>
          <w:color w:val="auto"/>
        </w:rPr>
      </w:pPr>
    </w:p>
    <w:p>
      <w:pPr>
        <w:ind w:left="1120" w:hanging="43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49" w:lineRule="exact"/>
        <w:rPr>
          <w:rFonts w:ascii="Arial" w:cs="Arial" w:eastAsia="Arial" w:hAnsi="Arial"/>
          <w:sz w:val="18"/>
          <w:szCs w:val="18"/>
          <w:color w:val="auto"/>
        </w:rPr>
      </w:pPr>
    </w:p>
    <w:p>
      <w:pPr>
        <w:ind w:left="1120" w:hanging="437"/>
        <w:spacing w:after="0"/>
        <w:tabs>
          <w:tab w:leader="none" w:pos="11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 (which is included on page 11 of this proxy statement).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COMMITTEES OF THE BOARD</w:t>
      </w:r>
    </w:p>
    <w:p>
      <w:pPr>
        <w:spacing w:after="0" w:line="136"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members of the Audit Committee are Messrs. Kender and Graves and Dr. Ausiello. Mr. Kender serves as the Chairperson of the committee. The members of our Audit Committee meet the requirements for financial literacy under the applicable rules of the SEC and NASDAQ. Our board of directors has determined that Mr. Kender is an “audit committee financial expert” as defined by Item 407(d)(5)(ii) of Regulation S-K.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met eight times in 2016.</w:t>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62" w:lineRule="exact"/>
        <w:rPr>
          <w:sz w:val="20"/>
          <w:szCs w:val="20"/>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CEO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determining our CEO’s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the Board with respect to, the compensation of our other executive officers;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and administering our cash and equity incentive plans;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director compensation;</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required; and</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if required by SEC rules.</w:t>
      </w:r>
    </w:p>
    <w:p>
      <w:pPr>
        <w:spacing w:after="0" w:line="9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has the authority to retain or obtain the advice of compensation consultants, legal counsel and other advisors to assist in carrying out its responsibilities.</w:t>
      </w:r>
    </w:p>
    <w:p>
      <w:pPr>
        <w:spacing w:after="0" w:line="4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Compensation Committee may delegate its authority under its charter to one or more subcommittees as it deems appropriate from time to time as further described in its charter, which is available on our website at www.serestherapeutics.com. The Compensation Committee may also delegate to an officer the authority to grant equity awards to certain employees, as further described in its charter and subject to the terms of our equity plans.</w:t>
      </w:r>
    </w:p>
    <w:p>
      <w:pPr>
        <w:spacing w:after="0" w:line="5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2016, the Compensation Committee engaged Radford (“Radford”), a compensation consulting firm,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including the Chief Executive Officer, and to receive input and advice. The Compensation Committee has considered the adviser independence factors required under SEC rules as they relate to Radford and does not believe Radford’s work in 2016 raised a conflict of interest.</w:t>
      </w:r>
    </w:p>
    <w:p>
      <w:pPr>
        <w:spacing w:after="0" w:line="7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members of our Compensation Committee are Dr. Afeyan and Messrs. Hutt and Kender. Dr. Afeyan serves as the Chairperson of the Compensation Committee.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met three times during 2016.</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COMMITTEES OF THE BOARD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Our Nominating and Corporate Governance Committee’s responsibilities include:</w:t>
      </w:r>
    </w:p>
    <w:p>
      <w:pPr>
        <w:spacing w:after="0" w:line="77" w:lineRule="exact"/>
        <w:rPr>
          <w:sz w:val="20"/>
          <w:szCs w:val="20"/>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individuals qualified to become board members;</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recommending to the Board of Directors the persons to be nominated for election as directors and to each board committee;</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corporate governance principles; and</w:t>
      </w:r>
    </w:p>
    <w:p>
      <w:pPr>
        <w:spacing w:after="0" w:line="49" w:lineRule="exact"/>
        <w:rPr>
          <w:rFonts w:ascii="Arial" w:cs="Arial" w:eastAsia="Arial" w:hAnsi="Arial"/>
          <w:sz w:val="18"/>
          <w:szCs w:val="18"/>
          <w:color w:val="auto"/>
        </w:rPr>
      </w:pPr>
    </w:p>
    <w:p>
      <w:pPr>
        <w:ind w:left="800" w:hanging="45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overseeing an annual evaluation of the Board of Directors.</w:t>
      </w:r>
    </w:p>
    <w:p>
      <w:pPr>
        <w:spacing w:after="0" w:line="7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members of our Nominating and Corporate Governance Committee are Mr. Hutt and Drs. Afeyan, Ausiello, and Kim. Mr. Hutt serves as the Chairperson of the Nominating and Corporate Governance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and Corporate Governance Committee met twice in 2016.</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This section discusses the material components of the executive compensation program offered to our named executive officers, or NEOs, identified below. For 2016, our NEOs were:</w:t>
      </w:r>
    </w:p>
    <w:p>
      <w:pPr>
        <w:spacing w:after="0" w:line="6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Roger J. Pomerantz, M.D., President and Chief Executive Officer;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Thomas DesRosier, Executive Vice President, Chief Legal Officer and Secretary;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Wael Hashad, Executive Vice President and Chief Commercial Officer.</w:t>
      </w:r>
    </w:p>
    <w:p>
      <w:pPr>
        <w:spacing w:after="0" w:line="77" w:lineRule="exact"/>
        <w:rPr>
          <w:sz w:val="20"/>
          <w:szCs w:val="20"/>
          <w:color w:val="auto"/>
        </w:rPr>
      </w:pPr>
    </w:p>
    <w:p>
      <w:pPr>
        <w:jc w:val="both"/>
        <w:ind w:right="5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shd w:val="clear" w:color="auto" w:fill="D8D8D8"/>
          </w:tcPr>
          <w:p>
            <w:pPr>
              <w:spacing w:after="0"/>
              <w:rPr>
                <w:sz w:val="14"/>
                <w:szCs w:val="14"/>
                <w:color w:val="auto"/>
              </w:rPr>
            </w:pPr>
          </w:p>
        </w:tc>
        <w:tc>
          <w:tcPr>
            <w:tcW w:w="2640" w:type="dxa"/>
            <w:vAlign w:val="bottom"/>
            <w:shd w:val="clear" w:color="auto" w:fill="D8D8D8"/>
          </w:tcPr>
          <w:p>
            <w:pPr>
              <w:spacing w:after="0"/>
              <w:rPr>
                <w:sz w:val="14"/>
                <w:szCs w:val="14"/>
                <w:color w:val="auto"/>
              </w:rPr>
            </w:pPr>
          </w:p>
        </w:tc>
        <w:tc>
          <w:tcPr>
            <w:tcW w:w="70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360" w:type="dxa"/>
            <w:vAlign w:val="bottom"/>
            <w:shd w:val="clear" w:color="auto" w:fill="D8D8D8"/>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4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r>
      <w:tr>
        <w:trPr>
          <w:trHeight w:val="149"/>
        </w:trPr>
        <w:tc>
          <w:tcPr>
            <w:tcW w:w="238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900" w:type="dxa"/>
            <w:vAlign w:val="bottom"/>
            <w:shd w:val="clear" w:color="auto" w:fill="D8D8D8"/>
          </w:tcPr>
          <w:p>
            <w:pPr>
              <w:spacing w:after="0"/>
              <w:rPr>
                <w:sz w:val="12"/>
                <w:szCs w:val="12"/>
                <w:color w:val="auto"/>
              </w:rPr>
            </w:pPr>
          </w:p>
        </w:tc>
        <w:tc>
          <w:tcPr>
            <w:tcW w:w="1020" w:type="dxa"/>
            <w:vAlign w:val="bottom"/>
            <w:shd w:val="clear" w:color="auto" w:fill="D8D8D8"/>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Option</w:t>
            </w:r>
          </w:p>
        </w:tc>
        <w:tc>
          <w:tcPr>
            <w:tcW w:w="13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340" w:type="dxa"/>
            <w:vAlign w:val="bottom"/>
            <w:shd w:val="clear" w:color="auto" w:fill="D8D8D8"/>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All Other</w:t>
            </w:r>
          </w:p>
        </w:tc>
        <w:tc>
          <w:tcPr>
            <w:tcW w:w="1080" w:type="dxa"/>
            <w:vAlign w:val="bottom"/>
            <w:shd w:val="clear" w:color="auto" w:fill="D8D8D8"/>
          </w:tcPr>
          <w:p>
            <w:pPr>
              <w:spacing w:after="0"/>
              <w:rPr>
                <w:sz w:val="12"/>
                <w:szCs w:val="12"/>
                <w:color w:val="auto"/>
              </w:rPr>
            </w:pPr>
          </w:p>
        </w:tc>
      </w:tr>
      <w:tr>
        <w:trPr>
          <w:trHeight w:val="149"/>
        </w:trPr>
        <w:tc>
          <w:tcPr>
            <w:tcW w:w="2380" w:type="dxa"/>
            <w:vAlign w:val="bottom"/>
            <w:shd w:val="clear" w:color="auto" w:fill="D8D8D8"/>
          </w:tcPr>
          <w:p>
            <w:pPr>
              <w:spacing w:after="0"/>
              <w:rPr>
                <w:sz w:val="12"/>
                <w:szCs w:val="12"/>
                <w:color w:val="auto"/>
              </w:rPr>
            </w:pPr>
          </w:p>
        </w:tc>
        <w:tc>
          <w:tcPr>
            <w:tcW w:w="2640" w:type="dxa"/>
            <w:vAlign w:val="bottom"/>
            <w:shd w:val="clear" w:color="auto" w:fill="D8D8D8"/>
          </w:tcPr>
          <w:p>
            <w:pPr>
              <w:spacing w:after="0"/>
              <w:rPr>
                <w:sz w:val="12"/>
                <w:szCs w:val="12"/>
                <w:color w:val="auto"/>
              </w:rPr>
            </w:pPr>
          </w:p>
        </w:tc>
        <w:tc>
          <w:tcPr>
            <w:tcW w:w="700" w:type="dxa"/>
            <w:vAlign w:val="bottom"/>
            <w:shd w:val="clear" w:color="auto" w:fill="D8D8D8"/>
          </w:tcPr>
          <w:p>
            <w:pPr>
              <w:spacing w:after="0"/>
              <w:rPr>
                <w:sz w:val="12"/>
                <w:szCs w:val="12"/>
                <w:color w:val="auto"/>
              </w:rPr>
            </w:pPr>
          </w:p>
        </w:tc>
        <w:tc>
          <w:tcPr>
            <w:tcW w:w="900" w:type="dxa"/>
            <w:vAlign w:val="bottom"/>
            <w:shd w:val="clear" w:color="auto" w:fill="D8D8D8"/>
          </w:tcPr>
          <w:p>
            <w:pPr>
              <w:jc w:val="right"/>
              <w:ind w:right="252"/>
              <w:spacing w:after="0" w:line="149" w:lineRule="exact"/>
              <w:rPr>
                <w:sz w:val="20"/>
                <w:szCs w:val="20"/>
                <w:color w:val="auto"/>
              </w:rPr>
            </w:pPr>
            <w:r>
              <w:rPr>
                <w:rFonts w:ascii="Arial" w:cs="Arial" w:eastAsia="Arial" w:hAnsi="Arial"/>
                <w:sz w:val="14"/>
                <w:szCs w:val="14"/>
                <w:b w:val="1"/>
                <w:bCs w:val="1"/>
                <w:color w:val="auto"/>
              </w:rPr>
              <w:t>Salary</w:t>
            </w:r>
          </w:p>
        </w:tc>
        <w:tc>
          <w:tcPr>
            <w:tcW w:w="1020" w:type="dxa"/>
            <w:vAlign w:val="bottom"/>
            <w:shd w:val="clear" w:color="auto" w:fill="D8D8D8"/>
          </w:tcPr>
          <w:p>
            <w:pPr>
              <w:jc w:val="center"/>
              <w:ind w:right="52"/>
              <w:spacing w:after="0" w:line="149" w:lineRule="exact"/>
              <w:rPr>
                <w:sz w:val="20"/>
                <w:szCs w:val="20"/>
                <w:color w:val="auto"/>
              </w:rPr>
            </w:pPr>
            <w:r>
              <w:rPr>
                <w:rFonts w:ascii="Arial" w:cs="Arial" w:eastAsia="Arial" w:hAnsi="Arial"/>
                <w:sz w:val="14"/>
                <w:szCs w:val="14"/>
                <w:b w:val="1"/>
                <w:bCs w:val="1"/>
                <w:color w:val="auto"/>
                <w:w w:val="98"/>
              </w:rPr>
              <w:t>Awards</w:t>
            </w:r>
          </w:p>
        </w:tc>
        <w:tc>
          <w:tcPr>
            <w:tcW w:w="1360" w:type="dxa"/>
            <w:vAlign w:val="bottom"/>
            <w:shd w:val="clear" w:color="auto" w:fill="D8D8D8"/>
          </w:tcPr>
          <w:p>
            <w:pPr>
              <w:jc w:val="center"/>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340" w:type="dxa"/>
            <w:vAlign w:val="bottom"/>
            <w:shd w:val="clear" w:color="auto" w:fill="D8D8D8"/>
          </w:tcPr>
          <w:p>
            <w:pPr>
              <w:jc w:val="center"/>
              <w:ind w:right="92"/>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080" w:type="dxa"/>
            <w:vAlign w:val="bottom"/>
            <w:shd w:val="clear" w:color="auto" w:fill="D8D8D8"/>
          </w:tcPr>
          <w:p>
            <w:pPr>
              <w:spacing w:after="0"/>
              <w:rPr>
                <w:sz w:val="12"/>
                <w:szCs w:val="12"/>
                <w:color w:val="auto"/>
              </w:rPr>
            </w:pPr>
          </w:p>
        </w:tc>
      </w:tr>
      <w:tr>
        <w:trPr>
          <w:trHeight w:val="165"/>
        </w:trPr>
        <w:tc>
          <w:tcPr>
            <w:tcW w:w="23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 and Principal Position</w:t>
            </w:r>
          </w:p>
        </w:tc>
        <w:tc>
          <w:tcPr>
            <w:tcW w:w="2640" w:type="dxa"/>
            <w:vAlign w:val="bottom"/>
            <w:tcBorders>
              <w:bottom w:val="single" w:sz="8" w:color="auto"/>
            </w:tcBorders>
            <w:shd w:val="clear" w:color="auto" w:fill="D8D8D8"/>
          </w:tcPr>
          <w:p>
            <w:pPr>
              <w:spacing w:after="0"/>
              <w:rPr>
                <w:sz w:val="14"/>
                <w:szCs w:val="14"/>
                <w:color w:val="auto"/>
              </w:rPr>
            </w:pPr>
          </w:p>
        </w:tc>
        <w:tc>
          <w:tcPr>
            <w:tcW w:w="700" w:type="dxa"/>
            <w:vAlign w:val="bottom"/>
            <w:tcBorders>
              <w:bottom w:val="single" w:sz="8" w:color="auto"/>
            </w:tcBorders>
            <w:shd w:val="clear" w:color="auto" w:fill="D8D8D8"/>
          </w:tcPr>
          <w:p>
            <w:pPr>
              <w:jc w:val="right"/>
              <w:ind w:right="172"/>
              <w:spacing w:after="0"/>
              <w:rPr>
                <w:sz w:val="20"/>
                <w:szCs w:val="20"/>
                <w:color w:val="auto"/>
              </w:rPr>
            </w:pPr>
            <w:r>
              <w:rPr>
                <w:rFonts w:ascii="Arial" w:cs="Arial" w:eastAsia="Arial" w:hAnsi="Arial"/>
                <w:sz w:val="14"/>
                <w:szCs w:val="14"/>
                <w:b w:val="1"/>
                <w:bCs w:val="1"/>
                <w:color w:val="auto"/>
              </w:rPr>
              <w:t>Year</w:t>
            </w:r>
          </w:p>
        </w:tc>
        <w:tc>
          <w:tcPr>
            <w:tcW w:w="900" w:type="dxa"/>
            <w:vAlign w:val="bottom"/>
            <w:tcBorders>
              <w:bottom w:val="single" w:sz="8" w:color="auto"/>
            </w:tcBorders>
            <w:shd w:val="clear" w:color="auto" w:fill="D8D8D8"/>
          </w:tcPr>
          <w:p>
            <w:pPr>
              <w:jc w:val="right"/>
              <w:ind w:right="372"/>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D8D8D8"/>
          </w:tcPr>
          <w:p>
            <w:pPr>
              <w:jc w:val="center"/>
              <w:ind w:right="52"/>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136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(5)</w:t>
            </w:r>
          </w:p>
        </w:tc>
        <w:tc>
          <w:tcPr>
            <w:tcW w:w="1340" w:type="dxa"/>
            <w:vAlign w:val="bottom"/>
            <w:tcBorders>
              <w:bottom w:val="single" w:sz="8" w:color="auto"/>
            </w:tcBorders>
            <w:shd w:val="clear" w:color="auto" w:fill="D8D8D8"/>
          </w:tcPr>
          <w:p>
            <w:pPr>
              <w:jc w:val="center"/>
              <w:ind w:right="72"/>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4"/>
                <w:szCs w:val="14"/>
                <w:b w:val="1"/>
                <w:bCs w:val="1"/>
                <w:color w:val="auto"/>
              </w:rPr>
              <w:t>Total ($)</w:t>
            </w:r>
          </w:p>
        </w:tc>
      </w:tr>
      <w:tr>
        <w:trPr>
          <w:trHeight w:val="127"/>
        </w:trPr>
        <w:tc>
          <w:tcPr>
            <w:tcW w:w="2380" w:type="dxa"/>
            <w:vAlign w:val="bottom"/>
          </w:tcPr>
          <w:p>
            <w:pPr>
              <w:ind w:left="80"/>
              <w:spacing w:after="0" w:line="127" w:lineRule="exact"/>
              <w:rPr>
                <w:sz w:val="20"/>
                <w:szCs w:val="20"/>
                <w:color w:val="auto"/>
              </w:rPr>
            </w:pPr>
            <w:r>
              <w:rPr>
                <w:rFonts w:ascii="Arial" w:cs="Arial" w:eastAsia="Arial" w:hAnsi="Arial"/>
                <w:sz w:val="14"/>
                <w:szCs w:val="14"/>
                <w:color w:val="auto"/>
              </w:rPr>
              <w:t>Roger J. Pomerantz, M.D.</w:t>
            </w:r>
            <w:r>
              <w:rPr>
                <w:rFonts w:ascii="Arial" w:cs="Arial" w:eastAsia="Arial" w:hAnsi="Arial"/>
                <w:sz w:val="11"/>
                <w:szCs w:val="11"/>
                <w:color w:val="auto"/>
              </w:rPr>
              <w:t>(1)</w:t>
            </w:r>
          </w:p>
        </w:tc>
        <w:tc>
          <w:tcPr>
            <w:tcW w:w="3340" w:type="dxa"/>
            <w:vAlign w:val="bottom"/>
            <w:gridSpan w:val="2"/>
          </w:tcPr>
          <w:p>
            <w:pPr>
              <w:jc w:val="right"/>
              <w:ind w:right="112"/>
              <w:spacing w:after="0" w:line="127" w:lineRule="exact"/>
              <w:rPr>
                <w:sz w:val="20"/>
                <w:szCs w:val="20"/>
                <w:color w:val="auto"/>
              </w:rPr>
            </w:pPr>
            <w:r>
              <w:rPr>
                <w:rFonts w:ascii="Arial" w:cs="Arial" w:eastAsia="Arial" w:hAnsi="Arial"/>
                <w:sz w:val="14"/>
                <w:szCs w:val="14"/>
                <w:color w:val="auto"/>
              </w:rPr>
              <w:t>2016</w:t>
            </w:r>
          </w:p>
        </w:tc>
        <w:tc>
          <w:tcPr>
            <w:tcW w:w="900" w:type="dxa"/>
            <w:vAlign w:val="bottom"/>
          </w:tcPr>
          <w:p>
            <w:pPr>
              <w:jc w:val="right"/>
              <w:ind w:right="132"/>
              <w:spacing w:after="0" w:line="127" w:lineRule="exact"/>
              <w:rPr>
                <w:sz w:val="20"/>
                <w:szCs w:val="20"/>
                <w:color w:val="auto"/>
              </w:rPr>
            </w:pPr>
            <w:r>
              <w:rPr>
                <w:rFonts w:ascii="Arial" w:cs="Arial" w:eastAsia="Arial" w:hAnsi="Arial"/>
                <w:sz w:val="14"/>
                <w:szCs w:val="14"/>
                <w:color w:val="auto"/>
              </w:rPr>
              <w:t>564,500</w:t>
            </w:r>
          </w:p>
        </w:tc>
        <w:tc>
          <w:tcPr>
            <w:tcW w:w="1020" w:type="dxa"/>
            <w:vAlign w:val="bottom"/>
          </w:tcPr>
          <w:p>
            <w:pPr>
              <w:jc w:val="right"/>
              <w:ind w:right="112"/>
              <w:spacing w:after="0" w:line="127" w:lineRule="exact"/>
              <w:rPr>
                <w:sz w:val="20"/>
                <w:szCs w:val="20"/>
                <w:color w:val="auto"/>
              </w:rPr>
            </w:pPr>
            <w:r>
              <w:rPr>
                <w:rFonts w:ascii="Arial" w:cs="Arial" w:eastAsia="Arial" w:hAnsi="Arial"/>
                <w:sz w:val="14"/>
                <w:szCs w:val="14"/>
                <w:color w:val="auto"/>
              </w:rPr>
              <w:t>3,289,572</w:t>
            </w:r>
          </w:p>
        </w:tc>
        <w:tc>
          <w:tcPr>
            <w:tcW w:w="1360" w:type="dxa"/>
            <w:vAlign w:val="bottom"/>
          </w:tcPr>
          <w:p>
            <w:pPr>
              <w:jc w:val="right"/>
              <w:ind w:right="72"/>
              <w:spacing w:after="0" w:line="127" w:lineRule="exact"/>
              <w:rPr>
                <w:sz w:val="20"/>
                <w:szCs w:val="20"/>
                <w:color w:val="auto"/>
              </w:rPr>
            </w:pPr>
            <w:r>
              <w:rPr>
                <w:rFonts w:ascii="Arial" w:cs="Arial" w:eastAsia="Arial" w:hAnsi="Arial"/>
                <w:sz w:val="14"/>
                <w:szCs w:val="14"/>
                <w:color w:val="auto"/>
              </w:rPr>
              <w:t>225,800</w:t>
            </w:r>
          </w:p>
        </w:tc>
        <w:tc>
          <w:tcPr>
            <w:tcW w:w="1340" w:type="dxa"/>
            <w:vAlign w:val="bottom"/>
          </w:tcPr>
          <w:p>
            <w:pPr>
              <w:jc w:val="right"/>
              <w:ind w:right="92"/>
              <w:spacing w:after="0" w:line="127" w:lineRule="exact"/>
              <w:rPr>
                <w:sz w:val="20"/>
                <w:szCs w:val="20"/>
                <w:color w:val="auto"/>
              </w:rPr>
            </w:pPr>
            <w:r>
              <w:rPr>
                <w:rFonts w:ascii="Arial" w:cs="Arial" w:eastAsia="Arial" w:hAnsi="Arial"/>
                <w:sz w:val="14"/>
                <w:szCs w:val="14"/>
                <w:color w:val="auto"/>
              </w:rPr>
              <w:t>176,835</w:t>
            </w:r>
            <w:r>
              <w:rPr>
                <w:rFonts w:ascii="Arial" w:cs="Arial" w:eastAsia="Arial" w:hAnsi="Arial"/>
                <w:sz w:val="11"/>
                <w:szCs w:val="11"/>
                <w:color w:val="auto"/>
              </w:rPr>
              <w:t>(6)</w:t>
            </w:r>
          </w:p>
        </w:tc>
        <w:tc>
          <w:tcPr>
            <w:tcW w:w="1080" w:type="dxa"/>
            <w:vAlign w:val="bottom"/>
          </w:tcPr>
          <w:p>
            <w:pPr>
              <w:jc w:val="right"/>
              <w:spacing w:after="0" w:line="127" w:lineRule="exact"/>
              <w:rPr>
                <w:sz w:val="20"/>
                <w:szCs w:val="20"/>
                <w:color w:val="auto"/>
              </w:rPr>
            </w:pPr>
            <w:r>
              <w:rPr>
                <w:rFonts w:ascii="Arial" w:cs="Arial" w:eastAsia="Arial" w:hAnsi="Arial"/>
                <w:sz w:val="14"/>
                <w:szCs w:val="14"/>
                <w:color w:val="auto"/>
              </w:rPr>
              <w:t>$   4,256,707</w:t>
            </w:r>
          </w:p>
        </w:tc>
      </w:tr>
      <w:tr>
        <w:trPr>
          <w:trHeight w:val="163"/>
        </w:trPr>
        <w:tc>
          <w:tcPr>
            <w:tcW w:w="2380" w:type="dxa"/>
            <w:vAlign w:val="bottom"/>
          </w:tcPr>
          <w:p>
            <w:pPr>
              <w:ind w:left="80"/>
              <w:spacing w:after="0"/>
              <w:rPr>
                <w:sz w:val="20"/>
                <w:szCs w:val="20"/>
                <w:color w:val="auto"/>
              </w:rPr>
            </w:pPr>
            <w:r>
              <w:rPr>
                <w:rFonts w:ascii="Arial" w:cs="Arial" w:eastAsia="Arial" w:hAnsi="Arial"/>
                <w:sz w:val="14"/>
                <w:szCs w:val="14"/>
                <w:i w:val="1"/>
                <w:iCs w:val="1"/>
                <w:color w:val="auto"/>
                <w:w w:val="97"/>
              </w:rPr>
              <w:t>President and Chief Executive Officer</w:t>
            </w:r>
          </w:p>
        </w:tc>
        <w:tc>
          <w:tcPr>
            <w:tcW w:w="3340" w:type="dxa"/>
            <w:vAlign w:val="bottom"/>
            <w:gridSpan w:val="2"/>
          </w:tcPr>
          <w:p>
            <w:pPr>
              <w:jc w:val="right"/>
              <w:ind w:right="112"/>
              <w:spacing w:after="0"/>
              <w:rPr>
                <w:sz w:val="20"/>
                <w:szCs w:val="20"/>
                <w:color w:val="auto"/>
              </w:rPr>
            </w:pPr>
            <w:r>
              <w:rPr>
                <w:rFonts w:ascii="Arial" w:cs="Arial" w:eastAsia="Arial" w:hAnsi="Arial"/>
                <w:sz w:val="14"/>
                <w:szCs w:val="14"/>
                <w:color w:val="auto"/>
              </w:rPr>
              <w:t>2015</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455,646</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348,100</w:t>
            </w:r>
          </w:p>
        </w:tc>
        <w:tc>
          <w:tcPr>
            <w:tcW w:w="1340" w:type="dxa"/>
            <w:vAlign w:val="bottom"/>
          </w:tcPr>
          <w:p>
            <w:pPr>
              <w:jc w:val="right"/>
              <w:ind w:right="92"/>
              <w:spacing w:after="0"/>
              <w:rPr>
                <w:sz w:val="20"/>
                <w:szCs w:val="20"/>
                <w:color w:val="auto"/>
              </w:rPr>
            </w:pPr>
            <w:r>
              <w:rPr>
                <w:rFonts w:ascii="Arial" w:cs="Arial" w:eastAsia="Arial" w:hAnsi="Arial"/>
                <w:sz w:val="14"/>
                <w:szCs w:val="14"/>
                <w:color w:val="auto"/>
              </w:rPr>
              <w:t>74,424</w:t>
            </w:r>
          </w:p>
        </w:tc>
        <w:tc>
          <w:tcPr>
            <w:tcW w:w="1080" w:type="dxa"/>
            <w:vAlign w:val="bottom"/>
          </w:tcPr>
          <w:p>
            <w:pPr>
              <w:jc w:val="right"/>
              <w:spacing w:after="0"/>
              <w:rPr>
                <w:sz w:val="20"/>
                <w:szCs w:val="20"/>
                <w:color w:val="auto"/>
              </w:rPr>
            </w:pPr>
            <w:r>
              <w:rPr>
                <w:rFonts w:ascii="Arial" w:cs="Arial" w:eastAsia="Arial" w:hAnsi="Arial"/>
                <w:sz w:val="14"/>
                <w:szCs w:val="14"/>
                <w:color w:val="auto"/>
              </w:rPr>
              <w:t>878,170</w:t>
            </w:r>
          </w:p>
        </w:tc>
      </w:tr>
      <w:tr>
        <w:trPr>
          <w:trHeight w:val="201"/>
        </w:trPr>
        <w:tc>
          <w:tcPr>
            <w:tcW w:w="2380" w:type="dxa"/>
            <w:vAlign w:val="bottom"/>
            <w:shd w:val="clear" w:color="auto" w:fill="D8D8D8"/>
          </w:tcPr>
          <w:p>
            <w:pPr>
              <w:ind w:left="80"/>
              <w:spacing w:after="0"/>
              <w:rPr>
                <w:sz w:val="20"/>
                <w:szCs w:val="20"/>
                <w:color w:val="auto"/>
              </w:rPr>
            </w:pPr>
            <w:r>
              <w:rPr>
                <w:rFonts w:ascii="Arial" w:cs="Arial" w:eastAsia="Arial" w:hAnsi="Arial"/>
                <w:sz w:val="14"/>
                <w:szCs w:val="14"/>
                <w:color w:val="auto"/>
              </w:rPr>
              <w:t>Thomas DesRosier</w:t>
            </w:r>
            <w:r>
              <w:rPr>
                <w:rFonts w:ascii="Arial" w:cs="Arial" w:eastAsia="Arial" w:hAnsi="Arial"/>
                <w:sz w:val="11"/>
                <w:szCs w:val="11"/>
                <w:color w:val="auto"/>
              </w:rPr>
              <w:t>(2)</w:t>
            </w:r>
          </w:p>
        </w:tc>
        <w:tc>
          <w:tcPr>
            <w:tcW w:w="2640" w:type="dxa"/>
            <w:vAlign w:val="bottom"/>
            <w:shd w:val="clear" w:color="auto" w:fill="D8D8D8"/>
          </w:tcPr>
          <w:p>
            <w:pPr>
              <w:spacing w:after="0"/>
              <w:rPr>
                <w:sz w:val="17"/>
                <w:szCs w:val="17"/>
                <w:color w:val="auto"/>
              </w:rPr>
            </w:pPr>
          </w:p>
        </w:tc>
        <w:tc>
          <w:tcPr>
            <w:tcW w:w="70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2016</w:t>
            </w:r>
          </w:p>
        </w:tc>
        <w:tc>
          <w:tcPr>
            <w:tcW w:w="900" w:type="dxa"/>
            <w:vAlign w:val="bottom"/>
            <w:shd w:val="clear" w:color="auto" w:fill="D8D8D8"/>
          </w:tcPr>
          <w:p>
            <w:pPr>
              <w:jc w:val="right"/>
              <w:ind w:right="132"/>
              <w:spacing w:after="0"/>
              <w:rPr>
                <w:sz w:val="20"/>
                <w:szCs w:val="20"/>
                <w:color w:val="auto"/>
              </w:rPr>
            </w:pPr>
            <w:r>
              <w:rPr>
                <w:rFonts w:ascii="Arial" w:cs="Arial" w:eastAsia="Arial" w:hAnsi="Arial"/>
                <w:sz w:val="14"/>
                <w:szCs w:val="14"/>
                <w:color w:val="auto"/>
              </w:rPr>
              <w:t>243,750</w:t>
            </w:r>
          </w:p>
        </w:tc>
        <w:tc>
          <w:tcPr>
            <w:tcW w:w="1020" w:type="dxa"/>
            <w:vAlign w:val="bottom"/>
            <w:shd w:val="clear" w:color="auto" w:fill="D8D8D8"/>
          </w:tcPr>
          <w:p>
            <w:pPr>
              <w:jc w:val="right"/>
              <w:ind w:right="112"/>
              <w:spacing w:after="0"/>
              <w:rPr>
                <w:sz w:val="20"/>
                <w:szCs w:val="20"/>
                <w:color w:val="auto"/>
              </w:rPr>
            </w:pPr>
            <w:r>
              <w:rPr>
                <w:rFonts w:ascii="Arial" w:cs="Arial" w:eastAsia="Arial" w:hAnsi="Arial"/>
                <w:sz w:val="14"/>
                <w:szCs w:val="14"/>
                <w:color w:val="auto"/>
              </w:rPr>
              <w:t>2,202,230</w:t>
            </w:r>
          </w:p>
        </w:tc>
        <w:tc>
          <w:tcPr>
            <w:tcW w:w="1360" w:type="dxa"/>
            <w:vAlign w:val="bottom"/>
            <w:shd w:val="clear" w:color="auto" w:fill="D8D8D8"/>
          </w:tcPr>
          <w:p>
            <w:pPr>
              <w:jc w:val="right"/>
              <w:ind w:right="72"/>
              <w:spacing w:after="0"/>
              <w:rPr>
                <w:sz w:val="20"/>
                <w:szCs w:val="20"/>
                <w:color w:val="auto"/>
              </w:rPr>
            </w:pPr>
            <w:r>
              <w:rPr>
                <w:rFonts w:ascii="Arial" w:cs="Arial" w:eastAsia="Arial" w:hAnsi="Arial"/>
                <w:sz w:val="14"/>
                <w:szCs w:val="14"/>
                <w:color w:val="auto"/>
              </w:rPr>
              <w:t>125,600</w:t>
            </w:r>
          </w:p>
        </w:tc>
        <w:tc>
          <w:tcPr>
            <w:tcW w:w="1340" w:type="dxa"/>
            <w:vAlign w:val="bottom"/>
            <w:shd w:val="clear" w:color="auto" w:fill="D8D8D8"/>
          </w:tcPr>
          <w:p>
            <w:pPr>
              <w:jc w:val="right"/>
              <w:ind w:right="92"/>
              <w:spacing w:after="0"/>
              <w:rPr>
                <w:sz w:val="20"/>
                <w:szCs w:val="20"/>
                <w:color w:val="auto"/>
              </w:rPr>
            </w:pPr>
            <w:r>
              <w:rPr>
                <w:rFonts w:ascii="Arial" w:cs="Arial" w:eastAsia="Arial" w:hAnsi="Arial"/>
                <w:sz w:val="14"/>
                <w:szCs w:val="14"/>
                <w:color w:val="auto"/>
              </w:rPr>
              <w:t>5,850</w:t>
            </w:r>
            <w:r>
              <w:rPr>
                <w:rFonts w:ascii="Arial" w:cs="Arial" w:eastAsia="Arial" w:hAnsi="Arial"/>
                <w:sz w:val="11"/>
                <w:szCs w:val="11"/>
                <w:color w:val="auto"/>
              </w:rPr>
              <w:t>(7)</w:t>
            </w:r>
          </w:p>
        </w:tc>
        <w:tc>
          <w:tcPr>
            <w:tcW w:w="10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2,577,430</w:t>
            </w:r>
          </w:p>
        </w:tc>
      </w:tr>
      <w:tr>
        <w:trPr>
          <w:trHeight w:val="163"/>
        </w:trPr>
        <w:tc>
          <w:tcPr>
            <w:tcW w:w="2380" w:type="dxa"/>
            <w:vAlign w:val="bottom"/>
            <w:shd w:val="clear" w:color="auto" w:fill="D8D8D8"/>
          </w:tcPr>
          <w:p>
            <w:pPr>
              <w:ind w:left="80"/>
              <w:spacing w:after="0"/>
              <w:rPr>
                <w:sz w:val="20"/>
                <w:szCs w:val="20"/>
                <w:color w:val="auto"/>
              </w:rPr>
            </w:pPr>
            <w:r>
              <w:rPr>
                <w:rFonts w:ascii="Arial" w:cs="Arial" w:eastAsia="Arial" w:hAnsi="Arial"/>
                <w:sz w:val="14"/>
                <w:szCs w:val="14"/>
                <w:i w:val="1"/>
                <w:iCs w:val="1"/>
                <w:color w:val="auto"/>
                <w:w w:val="97"/>
              </w:rPr>
              <w:t>Executive Vice President, Chief Legal</w:t>
            </w:r>
          </w:p>
        </w:tc>
        <w:tc>
          <w:tcPr>
            <w:tcW w:w="2640" w:type="dxa"/>
            <w:vAlign w:val="bottom"/>
            <w:shd w:val="clear" w:color="auto" w:fill="D8D8D8"/>
          </w:tcPr>
          <w:p>
            <w:pPr>
              <w:ind w:left="60"/>
              <w:spacing w:after="0"/>
              <w:rPr>
                <w:sz w:val="20"/>
                <w:szCs w:val="20"/>
                <w:color w:val="auto"/>
              </w:rPr>
            </w:pPr>
            <w:r>
              <w:rPr>
                <w:rFonts w:ascii="Arial" w:cs="Arial" w:eastAsia="Arial" w:hAnsi="Arial"/>
                <w:sz w:val="14"/>
                <w:szCs w:val="14"/>
                <w:i w:val="1"/>
                <w:iCs w:val="1"/>
                <w:color w:val="auto"/>
              </w:rPr>
              <w:t>Officer and Secretary</w:t>
            </w:r>
          </w:p>
        </w:tc>
        <w:tc>
          <w:tcPr>
            <w:tcW w:w="700" w:type="dxa"/>
            <w:vAlign w:val="bottom"/>
            <w:shd w:val="clear" w:color="auto" w:fill="D8D8D8"/>
          </w:tcPr>
          <w:p>
            <w:pPr>
              <w:spacing w:after="0"/>
              <w:rPr>
                <w:sz w:val="14"/>
                <w:szCs w:val="14"/>
                <w:color w:val="auto"/>
              </w:rPr>
            </w:pPr>
          </w:p>
        </w:tc>
        <w:tc>
          <w:tcPr>
            <w:tcW w:w="900" w:type="dxa"/>
            <w:vAlign w:val="bottom"/>
            <w:shd w:val="clear" w:color="auto" w:fill="D8D8D8"/>
          </w:tcPr>
          <w:p>
            <w:pPr>
              <w:spacing w:after="0"/>
              <w:rPr>
                <w:sz w:val="14"/>
                <w:szCs w:val="14"/>
                <w:color w:val="auto"/>
              </w:rPr>
            </w:pPr>
          </w:p>
        </w:tc>
        <w:tc>
          <w:tcPr>
            <w:tcW w:w="1020" w:type="dxa"/>
            <w:vAlign w:val="bottom"/>
            <w:shd w:val="clear" w:color="auto" w:fill="D8D8D8"/>
          </w:tcPr>
          <w:p>
            <w:pPr>
              <w:spacing w:after="0"/>
              <w:rPr>
                <w:sz w:val="14"/>
                <w:szCs w:val="14"/>
                <w:color w:val="auto"/>
              </w:rPr>
            </w:pPr>
          </w:p>
        </w:tc>
        <w:tc>
          <w:tcPr>
            <w:tcW w:w="1360" w:type="dxa"/>
            <w:vAlign w:val="bottom"/>
            <w:shd w:val="clear" w:color="auto" w:fill="D8D8D8"/>
          </w:tcPr>
          <w:p>
            <w:pPr>
              <w:spacing w:after="0"/>
              <w:rPr>
                <w:sz w:val="14"/>
                <w:szCs w:val="14"/>
                <w:color w:val="auto"/>
              </w:rPr>
            </w:pPr>
          </w:p>
        </w:tc>
        <w:tc>
          <w:tcPr>
            <w:tcW w:w="1340" w:type="dxa"/>
            <w:vAlign w:val="bottom"/>
            <w:shd w:val="clear" w:color="auto" w:fill="D8D8D8"/>
          </w:tcPr>
          <w:p>
            <w:pPr>
              <w:spacing w:after="0"/>
              <w:rPr>
                <w:sz w:val="14"/>
                <w:szCs w:val="14"/>
                <w:color w:val="auto"/>
              </w:rPr>
            </w:pPr>
          </w:p>
        </w:tc>
        <w:tc>
          <w:tcPr>
            <w:tcW w:w="1080" w:type="dxa"/>
            <w:vAlign w:val="bottom"/>
            <w:shd w:val="clear" w:color="auto" w:fill="D8D8D8"/>
          </w:tcPr>
          <w:p>
            <w:pPr>
              <w:spacing w:after="0"/>
              <w:rPr>
                <w:sz w:val="14"/>
                <w:szCs w:val="14"/>
                <w:color w:val="auto"/>
              </w:rPr>
            </w:pPr>
          </w:p>
        </w:tc>
      </w:tr>
      <w:tr>
        <w:trPr>
          <w:trHeight w:val="215"/>
        </w:trPr>
        <w:tc>
          <w:tcPr>
            <w:tcW w:w="2380" w:type="dxa"/>
            <w:vAlign w:val="bottom"/>
          </w:tcPr>
          <w:p>
            <w:pPr>
              <w:ind w:left="80"/>
              <w:spacing w:after="0"/>
              <w:rPr>
                <w:sz w:val="20"/>
                <w:szCs w:val="20"/>
                <w:color w:val="auto"/>
              </w:rPr>
            </w:pPr>
            <w:r>
              <w:rPr>
                <w:rFonts w:ascii="Arial" w:cs="Arial" w:eastAsia="Arial" w:hAnsi="Arial"/>
                <w:sz w:val="14"/>
                <w:szCs w:val="14"/>
                <w:color w:val="auto"/>
              </w:rPr>
              <w:t>Wael Hashad</w:t>
            </w:r>
            <w:r>
              <w:rPr>
                <w:rFonts w:ascii="Arial" w:cs="Arial" w:eastAsia="Arial" w:hAnsi="Arial"/>
                <w:sz w:val="11"/>
                <w:szCs w:val="11"/>
                <w:color w:val="auto"/>
              </w:rPr>
              <w:t>(3)</w:t>
            </w:r>
          </w:p>
        </w:tc>
        <w:tc>
          <w:tcPr>
            <w:tcW w:w="3340" w:type="dxa"/>
            <w:vAlign w:val="bottom"/>
            <w:gridSpan w:val="2"/>
          </w:tcPr>
          <w:p>
            <w:pPr>
              <w:jc w:val="right"/>
              <w:ind w:right="112"/>
              <w:spacing w:after="0"/>
              <w:rPr>
                <w:sz w:val="20"/>
                <w:szCs w:val="20"/>
                <w:color w:val="auto"/>
              </w:rPr>
            </w:pPr>
            <w:r>
              <w:rPr>
                <w:rFonts w:ascii="Arial" w:cs="Arial" w:eastAsia="Arial" w:hAnsi="Arial"/>
                <w:sz w:val="14"/>
                <w:szCs w:val="14"/>
                <w:color w:val="auto"/>
              </w:rPr>
              <w:t>2016</w:t>
            </w:r>
          </w:p>
        </w:tc>
        <w:tc>
          <w:tcPr>
            <w:tcW w:w="900" w:type="dxa"/>
            <w:vAlign w:val="bottom"/>
          </w:tcPr>
          <w:p>
            <w:pPr>
              <w:jc w:val="right"/>
              <w:ind w:right="132"/>
              <w:spacing w:after="0"/>
              <w:rPr>
                <w:sz w:val="20"/>
                <w:szCs w:val="20"/>
                <w:color w:val="auto"/>
              </w:rPr>
            </w:pPr>
            <w:r>
              <w:rPr>
                <w:rFonts w:ascii="Arial" w:cs="Arial" w:eastAsia="Arial" w:hAnsi="Arial"/>
                <w:sz w:val="14"/>
                <w:szCs w:val="14"/>
                <w:color w:val="auto"/>
              </w:rPr>
              <w:t>338,910</w:t>
            </w:r>
          </w:p>
        </w:tc>
        <w:tc>
          <w:tcPr>
            <w:tcW w:w="1020" w:type="dxa"/>
            <w:vAlign w:val="bottom"/>
          </w:tcPr>
          <w:p>
            <w:pPr>
              <w:jc w:val="right"/>
              <w:ind w:right="112"/>
              <w:spacing w:after="0"/>
              <w:rPr>
                <w:sz w:val="20"/>
                <w:szCs w:val="20"/>
                <w:color w:val="auto"/>
              </w:rPr>
            </w:pPr>
            <w:r>
              <w:rPr>
                <w:rFonts w:ascii="Arial" w:cs="Arial" w:eastAsia="Arial" w:hAnsi="Arial"/>
                <w:sz w:val="14"/>
                <w:szCs w:val="14"/>
                <w:color w:val="auto"/>
              </w:rPr>
              <w:t>2,433,730</w:t>
            </w:r>
          </w:p>
        </w:tc>
        <w:tc>
          <w:tcPr>
            <w:tcW w:w="1360" w:type="dxa"/>
            <w:vAlign w:val="bottom"/>
          </w:tcPr>
          <w:p>
            <w:pPr>
              <w:jc w:val="right"/>
              <w:ind w:right="72"/>
              <w:spacing w:after="0"/>
              <w:rPr>
                <w:sz w:val="20"/>
                <w:szCs w:val="20"/>
                <w:color w:val="auto"/>
              </w:rPr>
            </w:pPr>
            <w:r>
              <w:rPr>
                <w:rFonts w:ascii="Arial" w:cs="Arial" w:eastAsia="Arial" w:hAnsi="Arial"/>
                <w:sz w:val="14"/>
                <w:szCs w:val="14"/>
                <w:color w:val="auto"/>
              </w:rPr>
              <w:t>109,500</w:t>
            </w:r>
          </w:p>
        </w:tc>
        <w:tc>
          <w:tcPr>
            <w:tcW w:w="1340" w:type="dxa"/>
            <w:vAlign w:val="bottom"/>
          </w:tcPr>
          <w:p>
            <w:pPr>
              <w:jc w:val="right"/>
              <w:ind w:right="92"/>
              <w:spacing w:after="0"/>
              <w:rPr>
                <w:sz w:val="20"/>
                <w:szCs w:val="20"/>
                <w:color w:val="auto"/>
              </w:rPr>
            </w:pPr>
            <w:r>
              <w:rPr>
                <w:rFonts w:ascii="Arial" w:cs="Arial" w:eastAsia="Arial" w:hAnsi="Arial"/>
                <w:sz w:val="14"/>
                <w:szCs w:val="14"/>
                <w:color w:val="auto"/>
              </w:rPr>
              <w:t>29,646</w:t>
            </w:r>
            <w:r>
              <w:rPr>
                <w:rFonts w:ascii="Arial" w:cs="Arial" w:eastAsia="Arial" w:hAnsi="Arial"/>
                <w:sz w:val="11"/>
                <w:szCs w:val="11"/>
                <w:color w:val="auto"/>
              </w:rPr>
              <w:t>(8)</w:t>
            </w:r>
          </w:p>
        </w:tc>
        <w:tc>
          <w:tcPr>
            <w:tcW w:w="1080" w:type="dxa"/>
            <w:vAlign w:val="bottom"/>
          </w:tcPr>
          <w:p>
            <w:pPr>
              <w:jc w:val="right"/>
              <w:spacing w:after="0"/>
              <w:rPr>
                <w:sz w:val="20"/>
                <w:szCs w:val="20"/>
                <w:color w:val="auto"/>
              </w:rPr>
            </w:pPr>
            <w:r>
              <w:rPr>
                <w:rFonts w:ascii="Arial" w:cs="Arial" w:eastAsia="Arial" w:hAnsi="Arial"/>
                <w:sz w:val="14"/>
                <w:szCs w:val="14"/>
                <w:color w:val="auto"/>
              </w:rPr>
              <w:t>2,911,786</w:t>
            </w:r>
          </w:p>
        </w:tc>
      </w:tr>
    </w:tbl>
    <w:p>
      <w:pPr>
        <w:ind w:left="80"/>
        <w:spacing w:after="0"/>
        <w:tabs>
          <w:tab w:leader="none" w:pos="2280" w:val="left"/>
        </w:tabs>
        <w:rPr>
          <w:sz w:val="20"/>
          <w:szCs w:val="20"/>
          <w:color w:val="auto"/>
        </w:rPr>
      </w:pPr>
      <w:r>
        <w:rPr>
          <w:rFonts w:ascii="Arial" w:cs="Arial" w:eastAsia="Arial" w:hAnsi="Arial"/>
          <w:sz w:val="14"/>
          <w:szCs w:val="14"/>
          <w:i w:val="1"/>
          <w:iCs w:val="1"/>
          <w:color w:val="auto"/>
        </w:rPr>
        <w:t>Executive Vice President and Chief</w:t>
      </w:r>
      <w:r>
        <w:rPr>
          <w:sz w:val="20"/>
          <w:szCs w:val="20"/>
          <w:color w:val="auto"/>
        </w:rPr>
        <w:tab/>
      </w:r>
      <w:r>
        <w:rPr>
          <w:rFonts w:ascii="Arial" w:cs="Arial" w:eastAsia="Arial" w:hAnsi="Arial"/>
          <w:sz w:val="12"/>
          <w:szCs w:val="12"/>
          <w:i w:val="1"/>
          <w:iCs w:val="1"/>
          <w:color w:val="auto"/>
        </w:rPr>
        <w:t>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Dr. Pomerantz also serves as Chairman of our board of directors but receives no additional compensation for this service.</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DesRosier commenced employment with us on May 16, 2016.</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Mr. Hashad commenced employment with us on January 4, 2016.</w:t>
      </w:r>
    </w:p>
    <w:p>
      <w:pPr>
        <w:spacing w:after="0" w:line="28" w:lineRule="exact"/>
        <w:rPr>
          <w:sz w:val="20"/>
          <w:szCs w:val="20"/>
          <w:color w:val="auto"/>
        </w:rPr>
      </w:pPr>
    </w:p>
    <w:p>
      <w:pPr>
        <w:ind w:left="340" w:right="360"/>
        <w:spacing w:after="0" w:line="231" w:lineRule="auto"/>
        <w:rPr>
          <w:sz w:val="20"/>
          <w:szCs w:val="20"/>
          <w:color w:val="auto"/>
        </w:rPr>
      </w:pPr>
      <w:r>
        <w:rPr>
          <w:rFonts w:ascii="Arial" w:cs="Arial" w:eastAsia="Arial" w:hAnsi="Arial"/>
          <w:sz w:val="14"/>
          <w:szCs w:val="14"/>
          <w:color w:val="auto"/>
        </w:rPr>
        <w:t>Represents the aggregate grant date fair value of the option awards computed in accordance with FASB ASC Topic 718. For a description of the assumptions used in valuing these awards, see Note 2 to our audited consolidated financial statements included in this Annual Report.</w:t>
      </w:r>
    </w:p>
    <w:p>
      <w:pPr>
        <w:spacing w:after="0" w:line="28" w:lineRule="exact"/>
        <w:rPr>
          <w:sz w:val="20"/>
          <w:szCs w:val="20"/>
          <w:color w:val="auto"/>
        </w:rPr>
      </w:pPr>
    </w:p>
    <w:p>
      <w:pPr>
        <w:ind w:left="340" w:right="100" w:hanging="332"/>
        <w:spacing w:after="0" w:line="23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amounts paid under our annual cash bonus program. For additional information regarding these amounts, refer to “—Narrative Disclosure to Summary Compensation Table —Annual Cash Bonuses.”</w:t>
      </w:r>
    </w:p>
    <w:p>
      <w:pPr>
        <w:spacing w:after="0" w:line="27" w:lineRule="exact"/>
        <w:rPr>
          <w:rFonts w:ascii="Arial" w:cs="Arial" w:eastAsia="Arial" w:hAnsi="Arial"/>
          <w:sz w:val="14"/>
          <w:szCs w:val="14"/>
          <w:color w:val="auto"/>
        </w:rPr>
      </w:pPr>
    </w:p>
    <w:p>
      <w:pPr>
        <w:ind w:left="340" w:right="20" w:hanging="332"/>
        <w:spacing w:after="0" w:line="228"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$9,000 in company matching contributions under our 401(k) plan, $100,701 in reimbursements of travel and lodging expenses associated with working in the Cambridge, Massachusetts area and $67,134 in reimbursements of taxes relating to the travel and lodging expense reimbursements. For additional information, refer to “—Employment Agreements” below.</w:t>
      </w:r>
    </w:p>
    <w:p>
      <w:pPr>
        <w:spacing w:after="0" w:line="27" w:lineRule="exact"/>
        <w:rPr>
          <w:rFonts w:ascii="Arial" w:cs="Arial" w:eastAsia="Arial" w:hAnsi="Arial"/>
          <w:sz w:val="14"/>
          <w:szCs w:val="14"/>
          <w:color w:val="auto"/>
        </w:rPr>
      </w:pPr>
    </w:p>
    <w:p>
      <w:pPr>
        <w:ind w:left="340" w:hanging="332"/>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Consists of company matching contributions under our 401(k) plan.</w:t>
      </w:r>
    </w:p>
    <w:p>
      <w:pPr>
        <w:spacing w:after="0" w:line="28" w:lineRule="exact"/>
        <w:rPr>
          <w:rFonts w:ascii="Arial" w:cs="Arial" w:eastAsia="Arial" w:hAnsi="Arial"/>
          <w:sz w:val="14"/>
          <w:szCs w:val="14"/>
          <w:color w:val="auto"/>
        </w:rPr>
      </w:pPr>
    </w:p>
    <w:p>
      <w:pPr>
        <w:ind w:left="340" w:right="160" w:hanging="332"/>
        <w:spacing w:after="0" w:line="300"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Consists of $7,650 in company matching contributions under our 401(k) and $13,693 in reimbursements of expenses associated with Mr. Hashad’s relocation to the Cambridge, Massachusetts area and $8,304 in reimbursements of taxes relating to the relocation expense reimbursements. For additional information, refer to “—Employment Agreements” below.</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primary elements of compensation for our NEOs are base salary, annual cash bonuses and long-term, equity-based compensation awards. Our NEOs also participate in employee benefit plans and programs that we offer to our other full-time employees on the same basis and have from time to time received relocation or other expense reimbursements from us.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9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NEOs receive base salary to compensate them for the satisfactory performance of duties to our company. The base salary payable to each NEO is intended to provide a fixed component of compensation reflecting the executive’s skill set, experience, role and responsibilities.</w:t>
      </w:r>
    </w:p>
    <w:p>
      <w:pPr>
        <w:spacing w:after="0" w:line="4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Our Compensation Committee periodically reviews NEO base salaries in consultation with management and Radford, the Compensation Committee’s independent compensation consultant, to determine whether any adjustments are necessary or appropriate. The following table shows the annual base salaries of our NEOs for 2016 and 2017. All annual base salary increases were effective January 1 of the given year, except that 2016 annual base salaries for Messrs. DesRosier and Hashad were effective upon their commencing employment with us in 2016.</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Borders>
              <w:bottom w:val="single" w:sz="8" w:color="auto"/>
            </w:tcBorders>
            <w:shd w:val="clear" w:color="auto" w:fill="D8D8D8"/>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shd w:val="clear" w:color="auto" w:fill="D8D8D8"/>
          </w:tcPr>
          <w:p>
            <w:pPr>
              <w:spacing w:after="0"/>
              <w:rPr>
                <w:sz w:val="14"/>
                <w:szCs w:val="14"/>
                <w:color w:val="auto"/>
              </w:rPr>
            </w:pPr>
          </w:p>
        </w:tc>
        <w:tc>
          <w:tcPr>
            <w:tcW w:w="2780" w:type="dxa"/>
            <w:vAlign w:val="bottom"/>
            <w:tcBorders>
              <w:bottom w:val="single" w:sz="8" w:color="auto"/>
            </w:tcBorders>
            <w:shd w:val="clear" w:color="auto" w:fill="D8D8D8"/>
          </w:tcPr>
          <w:p>
            <w:pPr>
              <w:jc w:val="right"/>
              <w:ind w:right="214"/>
              <w:spacing w:after="0"/>
              <w:rPr>
                <w:sz w:val="20"/>
                <w:szCs w:val="20"/>
                <w:color w:val="auto"/>
              </w:rPr>
            </w:pPr>
            <w:r>
              <w:rPr>
                <w:rFonts w:ascii="Arial" w:cs="Arial" w:eastAsia="Arial" w:hAnsi="Arial"/>
                <w:sz w:val="14"/>
                <w:szCs w:val="14"/>
                <w:b w:val="1"/>
                <w:bCs w:val="1"/>
                <w:color w:val="auto"/>
              </w:rPr>
              <w:t>2016 Annual Base Salary ($)</w:t>
            </w:r>
          </w:p>
        </w:tc>
        <w:tc>
          <w:tcPr>
            <w:tcW w:w="3040" w:type="dxa"/>
            <w:vAlign w:val="bottom"/>
            <w:tcBorders>
              <w:bottom w:val="single" w:sz="8" w:color="auto"/>
            </w:tcBorders>
            <w:shd w:val="clear" w:color="auto" w:fill="D8D8D8"/>
          </w:tcPr>
          <w:p>
            <w:pPr>
              <w:jc w:val="right"/>
              <w:ind w:right="556"/>
              <w:spacing w:after="0"/>
              <w:rPr>
                <w:sz w:val="20"/>
                <w:szCs w:val="20"/>
                <w:color w:val="auto"/>
              </w:rPr>
            </w:pPr>
            <w:r>
              <w:rPr>
                <w:rFonts w:ascii="Arial" w:cs="Arial" w:eastAsia="Arial" w:hAnsi="Arial"/>
                <w:sz w:val="14"/>
                <w:szCs w:val="14"/>
                <w:b w:val="1"/>
                <w:bCs w:val="1"/>
                <w:color w:val="auto"/>
              </w:rPr>
              <w:t>2017 Annual Base Salary ($)</w:t>
            </w:r>
          </w:p>
        </w:tc>
      </w:tr>
      <w:tr>
        <w:trPr>
          <w:trHeight w:val="250"/>
        </w:trPr>
        <w:tc>
          <w:tcPr>
            <w:tcW w:w="5600" w:type="dxa"/>
            <w:vAlign w:val="bottom"/>
            <w:gridSpan w:val="2"/>
          </w:tcPr>
          <w:p>
            <w:pPr>
              <w:ind w:left="60"/>
              <w:spacing w:after="0"/>
              <w:rPr>
                <w:sz w:val="20"/>
                <w:szCs w:val="20"/>
                <w:color w:val="auto"/>
              </w:rPr>
            </w:pPr>
            <w:r>
              <w:rPr>
                <w:rFonts w:ascii="Arial" w:cs="Arial" w:eastAsia="Arial" w:hAnsi="Arial"/>
                <w:sz w:val="18"/>
                <w:szCs w:val="18"/>
                <w:color w:val="auto"/>
              </w:rPr>
              <w:t>Roger J. Pomerantz, M.D.</w:t>
            </w:r>
          </w:p>
        </w:tc>
        <w:tc>
          <w:tcPr>
            <w:tcW w:w="2780" w:type="dxa"/>
            <w:vAlign w:val="bottom"/>
          </w:tcPr>
          <w:p>
            <w:pPr>
              <w:jc w:val="right"/>
              <w:ind w:right="1954"/>
              <w:spacing w:after="0"/>
              <w:rPr>
                <w:sz w:val="20"/>
                <w:szCs w:val="20"/>
                <w:color w:val="auto"/>
              </w:rPr>
            </w:pPr>
            <w:r>
              <w:rPr>
                <w:rFonts w:ascii="Arial" w:cs="Arial" w:eastAsia="Arial" w:hAnsi="Arial"/>
                <w:sz w:val="18"/>
                <w:szCs w:val="18"/>
                <w:color w:val="auto"/>
              </w:rPr>
              <w:t>564,500</w:t>
            </w:r>
          </w:p>
        </w:tc>
        <w:tc>
          <w:tcPr>
            <w:tcW w:w="3040" w:type="dxa"/>
            <w:vAlign w:val="bottom"/>
          </w:tcPr>
          <w:p>
            <w:pPr>
              <w:jc w:val="right"/>
              <w:ind w:right="2016"/>
              <w:spacing w:after="0"/>
              <w:rPr>
                <w:sz w:val="20"/>
                <w:szCs w:val="20"/>
                <w:color w:val="auto"/>
              </w:rPr>
            </w:pPr>
            <w:r>
              <w:rPr>
                <w:rFonts w:ascii="Arial" w:cs="Arial" w:eastAsia="Arial" w:hAnsi="Arial"/>
                <w:sz w:val="18"/>
                <w:szCs w:val="18"/>
                <w:color w:val="auto"/>
              </w:rPr>
              <w:t>581,400</w:t>
            </w:r>
          </w:p>
        </w:tc>
      </w:tr>
      <w:tr>
        <w:trPr>
          <w:trHeight w:val="41"/>
        </w:trPr>
        <w:tc>
          <w:tcPr>
            <w:tcW w:w="5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3040" w:type="dxa"/>
            <w:vAlign w:val="bottom"/>
          </w:tcPr>
          <w:p>
            <w:pPr>
              <w:spacing w:after="0"/>
              <w:rPr>
                <w:sz w:val="3"/>
                <w:szCs w:val="3"/>
                <w:color w:val="auto"/>
              </w:rPr>
            </w:pPr>
          </w:p>
        </w:tc>
      </w:tr>
      <w:tr>
        <w:trPr>
          <w:trHeight w:val="277"/>
        </w:trPr>
        <w:tc>
          <w:tcPr>
            <w:tcW w:w="5600" w:type="dxa"/>
            <w:vAlign w:val="bottom"/>
            <w:tcBorders>
              <w:bottom w:val="single" w:sz="8" w:color="D8D8D8"/>
            </w:tcBorders>
            <w:gridSpan w:val="2"/>
            <w:shd w:val="clear" w:color="auto" w:fill="D8D8D8"/>
          </w:tcPr>
          <w:p>
            <w:pPr>
              <w:ind w:left="60"/>
              <w:spacing w:after="0"/>
              <w:rPr>
                <w:sz w:val="20"/>
                <w:szCs w:val="20"/>
                <w:color w:val="auto"/>
              </w:rPr>
            </w:pPr>
            <w:r>
              <w:rPr>
                <w:rFonts w:ascii="Arial" w:cs="Arial" w:eastAsia="Arial" w:hAnsi="Arial"/>
                <w:sz w:val="18"/>
                <w:szCs w:val="18"/>
                <w:color w:val="auto"/>
              </w:rPr>
              <w:t>Thomas DesRosier</w:t>
            </w:r>
          </w:p>
        </w:tc>
        <w:tc>
          <w:tcPr>
            <w:tcW w:w="2780" w:type="dxa"/>
            <w:vAlign w:val="bottom"/>
            <w:tcBorders>
              <w:bottom w:val="single" w:sz="8" w:color="D8D8D8"/>
            </w:tcBorders>
            <w:shd w:val="clear" w:color="auto" w:fill="D8D8D8"/>
          </w:tcPr>
          <w:p>
            <w:pPr>
              <w:jc w:val="right"/>
              <w:ind w:right="1954"/>
              <w:spacing w:after="0"/>
              <w:rPr>
                <w:sz w:val="20"/>
                <w:szCs w:val="20"/>
                <w:color w:val="auto"/>
              </w:rPr>
            </w:pPr>
            <w:r>
              <w:rPr>
                <w:rFonts w:ascii="Arial" w:cs="Arial" w:eastAsia="Arial" w:hAnsi="Arial"/>
                <w:sz w:val="18"/>
                <w:szCs w:val="18"/>
                <w:color w:val="auto"/>
              </w:rPr>
              <w:t>390,000</w:t>
            </w:r>
          </w:p>
        </w:tc>
        <w:tc>
          <w:tcPr>
            <w:tcW w:w="3040" w:type="dxa"/>
            <w:vAlign w:val="bottom"/>
            <w:tcBorders>
              <w:bottom w:val="single" w:sz="8" w:color="D8D8D8"/>
            </w:tcBorders>
            <w:shd w:val="clear" w:color="auto" w:fill="D8D8D8"/>
          </w:tcPr>
          <w:p>
            <w:pPr>
              <w:jc w:val="right"/>
              <w:ind w:right="2016"/>
              <w:spacing w:after="0"/>
              <w:rPr>
                <w:sz w:val="20"/>
                <w:szCs w:val="20"/>
                <w:color w:val="auto"/>
              </w:rPr>
            </w:pPr>
            <w:r>
              <w:rPr>
                <w:rFonts w:ascii="Arial" w:cs="Arial" w:eastAsia="Arial" w:hAnsi="Arial"/>
                <w:sz w:val="18"/>
                <w:szCs w:val="18"/>
                <w:color w:val="auto"/>
              </w:rPr>
              <w:t>401,700</w:t>
            </w:r>
          </w:p>
        </w:tc>
      </w:tr>
      <w:tr>
        <w:trPr>
          <w:trHeight w:val="257"/>
        </w:trPr>
        <w:tc>
          <w:tcPr>
            <w:tcW w:w="5600" w:type="dxa"/>
            <w:vAlign w:val="bottom"/>
            <w:gridSpan w:val="2"/>
          </w:tcPr>
          <w:p>
            <w:pPr>
              <w:ind w:left="60"/>
              <w:spacing w:after="0"/>
              <w:rPr>
                <w:sz w:val="20"/>
                <w:szCs w:val="20"/>
                <w:color w:val="auto"/>
              </w:rPr>
            </w:pPr>
            <w:r>
              <w:rPr>
                <w:rFonts w:ascii="Arial" w:cs="Arial" w:eastAsia="Arial" w:hAnsi="Arial"/>
                <w:sz w:val="18"/>
                <w:szCs w:val="18"/>
                <w:color w:val="auto"/>
              </w:rPr>
              <w:t>Wael Hashad</w:t>
            </w:r>
          </w:p>
        </w:tc>
        <w:tc>
          <w:tcPr>
            <w:tcW w:w="2780" w:type="dxa"/>
            <w:vAlign w:val="bottom"/>
          </w:tcPr>
          <w:p>
            <w:pPr>
              <w:jc w:val="right"/>
              <w:ind w:right="1954"/>
              <w:spacing w:after="0"/>
              <w:rPr>
                <w:sz w:val="20"/>
                <w:szCs w:val="20"/>
                <w:color w:val="auto"/>
              </w:rPr>
            </w:pPr>
            <w:r>
              <w:rPr>
                <w:rFonts w:ascii="Arial" w:cs="Arial" w:eastAsia="Arial" w:hAnsi="Arial"/>
                <w:sz w:val="18"/>
                <w:szCs w:val="18"/>
                <w:color w:val="auto"/>
              </w:rPr>
              <w:t>340,000</w:t>
            </w:r>
          </w:p>
        </w:tc>
        <w:tc>
          <w:tcPr>
            <w:tcW w:w="3040" w:type="dxa"/>
            <w:vAlign w:val="bottom"/>
          </w:tcPr>
          <w:p>
            <w:pPr>
              <w:jc w:val="right"/>
              <w:ind w:right="2016"/>
              <w:spacing w:after="0"/>
              <w:rPr>
                <w:sz w:val="20"/>
                <w:szCs w:val="20"/>
                <w:color w:val="auto"/>
              </w:rPr>
            </w:pPr>
            <w:r>
              <w:rPr>
                <w:rFonts w:ascii="Arial" w:cs="Arial" w:eastAsia="Arial" w:hAnsi="Arial"/>
                <w:sz w:val="18"/>
                <w:szCs w:val="18"/>
                <w:color w:val="auto"/>
              </w:rPr>
              <w:t>350,200</w:t>
            </w:r>
          </w:p>
        </w:tc>
      </w:tr>
      <w:tr>
        <w:trPr>
          <w:trHeight w:val="41"/>
        </w:trPr>
        <w:tc>
          <w:tcPr>
            <w:tcW w:w="5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8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NEOs have the opportunity to earn annual performance bonuses based on the achievement of short-term performance goals. The NEOs’ employment agreements establish their 2016 target annual cash bonuses, expressed as a percentage of base salary, as described in the section titled “Employment Agreements.”</w:t>
      </w:r>
    </w:p>
    <w:p>
      <w:pPr>
        <w:spacing w:after="0" w:line="6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Compensation Committee generally determines annual bonuses for our NEOs by multiplying (a) base salary, by (b) target cash bonus percentage, by (c) the level of achievement of corporate and/or individual performance objectives. In addition, the Compensation Committee retains discretion to adjust annual bonuses as it determines to be appropriate to reflect company performance, individual performance or other factors that the committee believes to be appropriate. For Messrs. DesRosier and Hashad, the achievement of 2016 corporate objectives was weighted 80% and the achievement of individual objectives was weighted 20%. Dr. Pomerantz’s 2016 bonus was weighted 100% on corporate objectives.</w:t>
      </w:r>
    </w:p>
    <w:p>
      <w:pPr>
        <w:spacing w:after="0" w:line="5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2016, our corporate bonus objectives were based on operational and developmental milestones related to clinical development programs, discovery and research initiatives, bioprocess and manufacturing processes, and corporate infrastructure objectives For Messrs. DesRosier and Hashad, the 2016 individual performance considerations focused on their respective areas of responsibility within our company. In January 2017, our Compensation Committee reviewed our performance against our 2016 objectives, elected not to adjust NEO bonuses based on discretionary factors and, in consultation with management and based on guidance from Radford, determined to award our NEOs 2016 performance bonuses of approximately 80% of their target bonus levels. The actual amounts paid to our NEOs under our 2016 annual cash bonus program are set forth in the “Non-Equity Incentive Plan Compensation” column of the Summary Compensation Table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8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We have historically offered stock options to our employees, including our NEOs, as the long-term incentive component of our compensation program. We typically grant options to employees when they commence employment with us and may thereafter grant additional options in the discretion of our board of directors or Compensation Committee. Our stock options allow employees to purchase shares of our common stock at a price equal to the fair market value of our common stock on the grant date and may be intended to qualify as “incentive stock options” under the Internal Revenue Code of 1986, as amended, or the Internal Revenue Code.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stock options typically vest as to 25% of the shares subject to the option on the first anniversary of the grant date (or service commencement date for initial grants) and in 12 quarterly installments during the three-year period thereafter, subject to the holder’s continued service with us. From time to time, our board of directors or Compensation Committee may also construct alternate vesting schedules as it determines are appropriate to motivate particular employees. Stock options granted to our employees may be subject to accelerated vesting in certain circumstances, as described in the section titled “Employment Agreements.”</w:t>
      </w:r>
    </w:p>
    <w:p>
      <w:pPr>
        <w:spacing w:after="0" w:line="6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We awarded stock options to our NEOs during 2016 in the following amounts and subject to vesting in accordance with our standard time-based vesting schedule described above:</w:t>
      </w:r>
    </w:p>
    <w:p>
      <w:pPr>
        <w:spacing w:after="0" w:line="225" w:lineRule="exact"/>
        <w:rPr>
          <w:sz w:val="20"/>
          <w:szCs w:val="20"/>
          <w:color w:val="auto"/>
        </w:rPr>
      </w:pPr>
    </w:p>
    <w:tbl>
      <w:tblPr>
        <w:tblLayout w:type="fixed"/>
        <w:tblInd w:w="1380" w:type="dxa"/>
        <w:tblCellMar>
          <w:top w:w="0" w:type="dxa"/>
          <w:left w:w="0" w:type="dxa"/>
          <w:bottom w:w="0" w:type="dxa"/>
          <w:right w:w="0" w:type="dxa"/>
        </w:tblCellMar>
      </w:tblPr>
      <w:tr>
        <w:trPr>
          <w:trHeight w:val="162"/>
        </w:trPr>
        <w:tc>
          <w:tcPr>
            <w:tcW w:w="5320" w:type="dxa"/>
            <w:vAlign w:val="bottom"/>
            <w:gridSpan w:val="2"/>
            <w:shd w:val="clear" w:color="auto" w:fill="D8D8D8"/>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3360" w:type="dxa"/>
            <w:vAlign w:val="bottom"/>
            <w:shd w:val="clear" w:color="auto" w:fill="D8D8D8"/>
          </w:tcPr>
          <w:p>
            <w:pPr>
              <w:jc w:val="right"/>
              <w:ind w:right="454"/>
              <w:spacing w:after="0"/>
              <w:rPr>
                <w:sz w:val="20"/>
                <w:szCs w:val="20"/>
                <w:color w:val="auto"/>
              </w:rPr>
            </w:pPr>
            <w:r>
              <w:rPr>
                <w:rFonts w:ascii="Arial" w:cs="Arial" w:eastAsia="Arial" w:hAnsi="Arial"/>
                <w:sz w:val="14"/>
                <w:szCs w:val="14"/>
                <w:b w:val="1"/>
                <w:bCs w:val="1"/>
                <w:color w:val="auto"/>
              </w:rPr>
              <w:t>2016 Options Granted (#)</w:t>
            </w:r>
          </w:p>
        </w:tc>
      </w:tr>
      <w:tr>
        <w:trPr>
          <w:trHeight w:val="210"/>
        </w:trPr>
        <w:tc>
          <w:tcPr>
            <w:tcW w:w="40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Roger J. Pomerantz, M.D.</w:t>
            </w:r>
          </w:p>
        </w:tc>
        <w:tc>
          <w:tcPr>
            <w:tcW w:w="1240" w:type="dxa"/>
            <w:vAlign w:val="bottom"/>
          </w:tcPr>
          <w:p>
            <w:pPr>
              <w:spacing w:after="0"/>
              <w:rPr>
                <w:sz w:val="18"/>
                <w:szCs w:val="18"/>
                <w:color w:val="auto"/>
              </w:rPr>
            </w:pPr>
          </w:p>
        </w:tc>
        <w:tc>
          <w:tcPr>
            <w:tcW w:w="3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176,500</w:t>
            </w:r>
          </w:p>
        </w:tc>
      </w:tr>
      <w:tr>
        <w:trPr>
          <w:trHeight w:val="40"/>
        </w:trPr>
        <w:tc>
          <w:tcPr>
            <w:tcW w:w="4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360" w:type="dxa"/>
            <w:vAlign w:val="bottom"/>
          </w:tcPr>
          <w:p>
            <w:pPr>
              <w:spacing w:after="0"/>
              <w:rPr>
                <w:sz w:val="3"/>
                <w:szCs w:val="3"/>
                <w:color w:val="auto"/>
              </w:rPr>
            </w:pPr>
          </w:p>
        </w:tc>
      </w:tr>
      <w:tr>
        <w:trPr>
          <w:trHeight w:val="237"/>
        </w:trPr>
        <w:tc>
          <w:tcPr>
            <w:tcW w:w="5320" w:type="dxa"/>
            <w:vAlign w:val="bottom"/>
            <w:tcBorders>
              <w:bottom w:val="single" w:sz="8" w:color="D8D8D8"/>
            </w:tcBorders>
            <w:gridSpan w:val="2"/>
            <w:shd w:val="clear" w:color="auto" w:fill="D8D8D8"/>
          </w:tcPr>
          <w:p>
            <w:pPr>
              <w:ind w:left="100"/>
              <w:spacing w:after="0"/>
              <w:rPr>
                <w:sz w:val="20"/>
                <w:szCs w:val="20"/>
                <w:color w:val="auto"/>
              </w:rPr>
            </w:pPr>
            <w:r>
              <w:rPr>
                <w:rFonts w:ascii="Arial" w:cs="Arial" w:eastAsia="Arial" w:hAnsi="Arial"/>
                <w:sz w:val="18"/>
                <w:szCs w:val="18"/>
                <w:color w:val="auto"/>
              </w:rPr>
              <w:t>Thomas DesRosier</w:t>
            </w:r>
          </w:p>
        </w:tc>
        <w:tc>
          <w:tcPr>
            <w:tcW w:w="3360" w:type="dxa"/>
            <w:vAlign w:val="bottom"/>
            <w:tcBorders>
              <w:bottom w:val="single" w:sz="8" w:color="D8D8D8"/>
            </w:tcBorders>
            <w:shd w:val="clear" w:color="auto" w:fill="D8D8D8"/>
          </w:tcPr>
          <w:p>
            <w:pPr>
              <w:jc w:val="right"/>
              <w:ind w:right="34"/>
              <w:spacing w:after="0"/>
              <w:rPr>
                <w:sz w:val="20"/>
                <w:szCs w:val="20"/>
                <w:color w:val="auto"/>
              </w:rPr>
            </w:pPr>
            <w:r>
              <w:rPr>
                <w:rFonts w:ascii="Arial" w:cs="Arial" w:eastAsia="Arial" w:hAnsi="Arial"/>
                <w:sz w:val="18"/>
                <w:szCs w:val="18"/>
                <w:color w:val="auto"/>
              </w:rPr>
              <w:t>100,000</w:t>
            </w:r>
          </w:p>
        </w:tc>
      </w:tr>
      <w:tr>
        <w:trPr>
          <w:trHeight w:val="203"/>
        </w:trPr>
        <w:tc>
          <w:tcPr>
            <w:tcW w:w="5320" w:type="dxa"/>
            <w:vAlign w:val="bottom"/>
            <w:tcBorders>
              <w:bottom w:val="single" w:sz="8" w:color="auto"/>
            </w:tcBorders>
            <w:gridSpan w:val="2"/>
          </w:tcPr>
          <w:p>
            <w:pPr>
              <w:ind w:left="100"/>
              <w:spacing w:after="0" w:line="202" w:lineRule="exact"/>
              <w:rPr>
                <w:sz w:val="20"/>
                <w:szCs w:val="20"/>
                <w:color w:val="auto"/>
              </w:rPr>
            </w:pPr>
            <w:r>
              <w:rPr>
                <w:rFonts w:ascii="Arial" w:cs="Arial" w:eastAsia="Arial" w:hAnsi="Arial"/>
                <w:sz w:val="18"/>
                <w:szCs w:val="18"/>
                <w:color w:val="auto"/>
              </w:rPr>
              <w:t>Wael Hashad</w:t>
            </w:r>
          </w:p>
        </w:tc>
        <w:tc>
          <w:tcPr>
            <w:tcW w:w="33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100,000</w:t>
            </w:r>
          </w:p>
        </w:tc>
      </w:tr>
    </w:tbl>
    <w:p>
      <w:pPr>
        <w:spacing w:after="0" w:line="6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January 2017, our Compensation Committee elected to expand our long-term incentive compensation program for employees to include awards of restricted stock units. Each restricted stock unit represents the right to receive one share of our common stock or its cash value equivalent upon vesting. We granted restricted stock units to our NEOs in January 2017 in the amounts listed in the table below. The restricted stock units vest as to 20% of the award on the first anniversary of the date of grant, 30% on the second anniversary of the date of grant and 50% on the third anniversary of the date of grant. Additionally, in January 2017, we awarded stock options to our NEOs in the following amounts and subject to vesting in accordance with our standard time-based vesting schedule described above: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Named Executive Officer</w:t>
            </w:r>
          </w:p>
        </w:tc>
        <w:tc>
          <w:tcPr>
            <w:tcW w:w="1140" w:type="dxa"/>
            <w:vAlign w:val="bottom"/>
            <w:shd w:val="clear" w:color="auto" w:fill="D8D8D8"/>
          </w:tcPr>
          <w:p>
            <w:pPr>
              <w:spacing w:after="0"/>
              <w:rPr>
                <w:sz w:val="14"/>
                <w:szCs w:val="14"/>
                <w:color w:val="auto"/>
              </w:rPr>
            </w:pPr>
          </w:p>
        </w:tc>
        <w:tc>
          <w:tcPr>
            <w:tcW w:w="4800" w:type="dxa"/>
            <w:vAlign w:val="bottom"/>
            <w:tcBorders>
              <w:bottom w:val="single" w:sz="8" w:color="auto"/>
            </w:tcBorders>
            <w:shd w:val="clear" w:color="auto" w:fill="D8D8D8"/>
          </w:tcPr>
          <w:p>
            <w:pPr>
              <w:jc w:val="right"/>
              <w:ind w:right="981"/>
              <w:spacing w:after="0"/>
              <w:rPr>
                <w:sz w:val="20"/>
                <w:szCs w:val="20"/>
                <w:color w:val="auto"/>
              </w:rPr>
            </w:pPr>
            <w:r>
              <w:rPr>
                <w:rFonts w:ascii="Arial" w:cs="Arial" w:eastAsia="Arial" w:hAnsi="Arial"/>
                <w:sz w:val="14"/>
                <w:szCs w:val="14"/>
                <w:b w:val="1"/>
                <w:bCs w:val="1"/>
                <w:color w:val="auto"/>
              </w:rPr>
              <w:t>Restricted Stock Units Granted (#)</w:t>
            </w:r>
          </w:p>
        </w:tc>
        <w:tc>
          <w:tcPr>
            <w:tcW w:w="2480" w:type="dxa"/>
            <w:vAlign w:val="bottom"/>
            <w:tcBorders>
              <w:bottom w:val="single" w:sz="8" w:color="auto"/>
            </w:tcBorders>
            <w:shd w:val="clear" w:color="auto" w:fill="D8D8D8"/>
          </w:tcPr>
          <w:p>
            <w:pPr>
              <w:jc w:val="right"/>
              <w:ind w:right="301"/>
              <w:spacing w:after="0"/>
              <w:rPr>
                <w:sz w:val="20"/>
                <w:szCs w:val="20"/>
                <w:color w:val="auto"/>
              </w:rPr>
            </w:pPr>
            <w:r>
              <w:rPr>
                <w:rFonts w:ascii="Arial" w:cs="Arial" w:eastAsia="Arial" w:hAnsi="Arial"/>
                <w:sz w:val="14"/>
                <w:szCs w:val="14"/>
                <w:b w:val="1"/>
                <w:bCs w:val="1"/>
                <w:color w:val="auto"/>
              </w:rPr>
              <w:t>Options Granted (#)</w:t>
            </w:r>
          </w:p>
        </w:tc>
      </w:tr>
      <w:tr>
        <w:trPr>
          <w:trHeight w:val="190"/>
        </w:trPr>
        <w:tc>
          <w:tcPr>
            <w:tcW w:w="4140" w:type="dxa"/>
            <w:vAlign w:val="bottom"/>
            <w:gridSpan w:val="2"/>
          </w:tcPr>
          <w:p>
            <w:pPr>
              <w:ind w:left="100"/>
              <w:spacing w:after="0"/>
              <w:rPr>
                <w:sz w:val="20"/>
                <w:szCs w:val="20"/>
                <w:color w:val="auto"/>
              </w:rPr>
            </w:pPr>
            <w:r>
              <w:rPr>
                <w:rFonts w:ascii="Arial" w:cs="Arial" w:eastAsia="Arial" w:hAnsi="Arial"/>
                <w:sz w:val="16"/>
                <w:szCs w:val="16"/>
                <w:color w:val="auto"/>
              </w:rPr>
              <w:t>Roger J. Pomerantz, M.D.</w:t>
            </w:r>
          </w:p>
        </w:tc>
        <w:tc>
          <w:tcPr>
            <w:tcW w:w="4800" w:type="dxa"/>
            <w:vAlign w:val="bottom"/>
          </w:tcPr>
          <w:p>
            <w:pPr>
              <w:jc w:val="right"/>
              <w:ind w:right="661"/>
              <w:spacing w:after="0"/>
              <w:rPr>
                <w:sz w:val="20"/>
                <w:szCs w:val="20"/>
                <w:color w:val="auto"/>
              </w:rPr>
            </w:pPr>
            <w:r>
              <w:rPr>
                <w:rFonts w:ascii="Arial" w:cs="Arial" w:eastAsia="Arial" w:hAnsi="Arial"/>
                <w:sz w:val="16"/>
                <w:szCs w:val="16"/>
                <w:color w:val="auto"/>
              </w:rPr>
              <w:t>0</w:t>
            </w:r>
          </w:p>
        </w:tc>
        <w:tc>
          <w:tcPr>
            <w:tcW w:w="2480" w:type="dxa"/>
            <w:vAlign w:val="bottom"/>
          </w:tcPr>
          <w:p>
            <w:pPr>
              <w:jc w:val="right"/>
              <w:ind w:right="21"/>
              <w:spacing w:after="0"/>
              <w:rPr>
                <w:sz w:val="20"/>
                <w:szCs w:val="20"/>
                <w:color w:val="auto"/>
              </w:rPr>
            </w:pPr>
            <w:r>
              <w:rPr>
                <w:rFonts w:ascii="Arial" w:cs="Arial" w:eastAsia="Arial" w:hAnsi="Arial"/>
                <w:sz w:val="16"/>
                <w:szCs w:val="16"/>
                <w:color w:val="auto"/>
              </w:rPr>
              <w:t>261,000</w:t>
            </w:r>
          </w:p>
        </w:tc>
      </w:tr>
      <w:tr>
        <w:trPr>
          <w:trHeight w:val="47"/>
        </w:trPr>
        <w:tc>
          <w:tcPr>
            <w:tcW w:w="30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0" w:type="dxa"/>
            <w:vAlign w:val="bottom"/>
          </w:tcPr>
          <w:p>
            <w:pPr>
              <w:spacing w:after="0"/>
              <w:rPr>
                <w:sz w:val="4"/>
                <w:szCs w:val="4"/>
                <w:color w:val="auto"/>
              </w:rPr>
            </w:pPr>
          </w:p>
        </w:tc>
        <w:tc>
          <w:tcPr>
            <w:tcW w:w="2480" w:type="dxa"/>
            <w:vAlign w:val="bottom"/>
          </w:tcPr>
          <w:p>
            <w:pPr>
              <w:spacing w:after="0"/>
              <w:rPr>
                <w:sz w:val="4"/>
                <w:szCs w:val="4"/>
                <w:color w:val="auto"/>
              </w:rPr>
            </w:pPr>
          </w:p>
        </w:tc>
      </w:tr>
      <w:tr>
        <w:trPr>
          <w:trHeight w:val="223"/>
        </w:trPr>
        <w:tc>
          <w:tcPr>
            <w:tcW w:w="4140" w:type="dxa"/>
            <w:vAlign w:val="bottom"/>
            <w:tcBorders>
              <w:bottom w:val="single" w:sz="8" w:color="D8D8D8"/>
            </w:tcBorders>
            <w:gridSpan w:val="2"/>
            <w:shd w:val="clear" w:color="auto" w:fill="D8D8D8"/>
          </w:tcPr>
          <w:p>
            <w:pPr>
              <w:ind w:left="100"/>
              <w:spacing w:after="0"/>
              <w:rPr>
                <w:sz w:val="20"/>
                <w:szCs w:val="20"/>
                <w:color w:val="auto"/>
              </w:rPr>
            </w:pPr>
            <w:r>
              <w:rPr>
                <w:rFonts w:ascii="Arial" w:cs="Arial" w:eastAsia="Arial" w:hAnsi="Arial"/>
                <w:sz w:val="16"/>
                <w:szCs w:val="16"/>
                <w:color w:val="auto"/>
              </w:rPr>
              <w:t>Thomas DesRosier</w:t>
            </w:r>
          </w:p>
        </w:tc>
        <w:tc>
          <w:tcPr>
            <w:tcW w:w="4800" w:type="dxa"/>
            <w:vAlign w:val="bottom"/>
            <w:tcBorders>
              <w:bottom w:val="single" w:sz="8" w:color="D8D8D8"/>
            </w:tcBorders>
            <w:shd w:val="clear" w:color="auto" w:fill="D8D8D8"/>
          </w:tcPr>
          <w:p>
            <w:pPr>
              <w:jc w:val="right"/>
              <w:ind w:right="661"/>
              <w:spacing w:after="0"/>
              <w:rPr>
                <w:sz w:val="20"/>
                <w:szCs w:val="20"/>
                <w:color w:val="auto"/>
              </w:rPr>
            </w:pPr>
            <w:r>
              <w:rPr>
                <w:rFonts w:ascii="Arial" w:cs="Arial" w:eastAsia="Arial" w:hAnsi="Arial"/>
                <w:sz w:val="16"/>
                <w:szCs w:val="16"/>
                <w:color w:val="auto"/>
              </w:rPr>
              <w:t>50,000</w:t>
            </w:r>
          </w:p>
        </w:tc>
        <w:tc>
          <w:tcPr>
            <w:tcW w:w="2480" w:type="dxa"/>
            <w:vAlign w:val="bottom"/>
            <w:tcBorders>
              <w:bottom w:val="single" w:sz="8" w:color="D8D8D8"/>
            </w:tcBorders>
            <w:shd w:val="clear" w:color="auto" w:fill="D8D8D8"/>
          </w:tcPr>
          <w:p>
            <w:pPr>
              <w:jc w:val="right"/>
              <w:ind w:right="21"/>
              <w:spacing w:after="0"/>
              <w:rPr>
                <w:sz w:val="20"/>
                <w:szCs w:val="20"/>
                <w:color w:val="auto"/>
              </w:rPr>
            </w:pPr>
            <w:r>
              <w:rPr>
                <w:rFonts w:ascii="Arial" w:cs="Arial" w:eastAsia="Arial" w:hAnsi="Arial"/>
                <w:sz w:val="16"/>
                <w:szCs w:val="16"/>
                <w:color w:val="auto"/>
              </w:rPr>
              <w:t>60,000</w:t>
            </w:r>
          </w:p>
        </w:tc>
      </w:tr>
      <w:tr>
        <w:trPr>
          <w:trHeight w:val="197"/>
        </w:trPr>
        <w:tc>
          <w:tcPr>
            <w:tcW w:w="4140" w:type="dxa"/>
            <w:vAlign w:val="bottom"/>
            <w:gridSpan w:val="2"/>
          </w:tcPr>
          <w:p>
            <w:pPr>
              <w:ind w:left="100"/>
              <w:spacing w:after="0"/>
              <w:rPr>
                <w:sz w:val="20"/>
                <w:szCs w:val="20"/>
                <w:color w:val="auto"/>
              </w:rPr>
            </w:pPr>
            <w:r>
              <w:rPr>
                <w:rFonts w:ascii="Arial" w:cs="Arial" w:eastAsia="Arial" w:hAnsi="Arial"/>
                <w:sz w:val="16"/>
                <w:szCs w:val="16"/>
                <w:color w:val="auto"/>
              </w:rPr>
              <w:t>Wael Hashad</w:t>
            </w:r>
          </w:p>
        </w:tc>
        <w:tc>
          <w:tcPr>
            <w:tcW w:w="4800" w:type="dxa"/>
            <w:vAlign w:val="bottom"/>
          </w:tcPr>
          <w:p>
            <w:pPr>
              <w:jc w:val="right"/>
              <w:ind w:right="661"/>
              <w:spacing w:after="0"/>
              <w:rPr>
                <w:sz w:val="20"/>
                <w:szCs w:val="20"/>
                <w:color w:val="auto"/>
              </w:rPr>
            </w:pPr>
            <w:r>
              <w:rPr>
                <w:rFonts w:ascii="Arial" w:cs="Arial" w:eastAsia="Arial" w:hAnsi="Arial"/>
                <w:sz w:val="16"/>
                <w:szCs w:val="16"/>
                <w:color w:val="auto"/>
              </w:rPr>
              <w:t>25,000</w:t>
            </w:r>
          </w:p>
        </w:tc>
        <w:tc>
          <w:tcPr>
            <w:tcW w:w="2480" w:type="dxa"/>
            <w:vAlign w:val="bottom"/>
          </w:tcPr>
          <w:p>
            <w:pPr>
              <w:jc w:val="right"/>
              <w:ind w:right="21"/>
              <w:spacing w:after="0"/>
              <w:rPr>
                <w:sz w:val="20"/>
                <w:szCs w:val="20"/>
                <w:color w:val="auto"/>
              </w:rPr>
            </w:pPr>
            <w:r>
              <w:rPr>
                <w:rFonts w:ascii="Arial" w:cs="Arial" w:eastAsia="Arial" w:hAnsi="Arial"/>
                <w:sz w:val="16"/>
                <w:szCs w:val="16"/>
                <w:color w:val="auto"/>
              </w:rPr>
              <w:t>75,000</w:t>
            </w:r>
          </w:p>
        </w:tc>
      </w:tr>
      <w:tr>
        <w:trPr>
          <w:trHeight w:val="47"/>
        </w:trPr>
        <w:tc>
          <w:tcPr>
            <w:tcW w:w="30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Retirement, Health, Welfare and Additional Benefits</w:t>
      </w:r>
    </w:p>
    <w:p>
      <w:pPr>
        <w:spacing w:after="0" w:line="8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NEOs are eligible to participate in our employee benefit plans and programs, including medical and dental benefits and life insurance, to the same extent as our other full-time employees, subject to the terms and eligibility requirements of those plans. We also sponsor a 401(k) defined contribution plan in which our NEOs may participate, subject to limits imposed by the Internal Revenue Code, to the same extent as all of our other full-time employees. During 2016, we made discretionary employer matching contributions equal to 50% of elective contributions made by participants in the 401(k) plan, up to 6% of a participant’s eligible compensation. These matching contributions are fully vested as of the date on which the contribution is made. We believe that providing a vehicle for tax-deferred retirement savings through our 401(k) plan adds to the overall desirability of our executive compensation package and further incentivizes our employees, including our NEOs, in accordance with our compensation policies. We do not typically provide any perquisites or special personal benefits to our NEOs, but have from time to time reimbursed amounts associated with relocation and other expenses for our NEOs.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2016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Borders>
              <w:bottom w:val="single" w:sz="8" w:color="D8D8D8"/>
            </w:tcBorders>
            <w:shd w:val="clear" w:color="auto" w:fill="D8D8D8"/>
          </w:tcPr>
          <w:p>
            <w:pPr>
              <w:spacing w:after="0"/>
              <w:rPr>
                <w:sz w:val="14"/>
                <w:szCs w:val="14"/>
                <w:color w:val="auto"/>
              </w:rPr>
            </w:pPr>
          </w:p>
        </w:tc>
        <w:tc>
          <w:tcPr>
            <w:tcW w:w="340" w:type="dxa"/>
            <w:vAlign w:val="bottom"/>
            <w:tcBorders>
              <w:bottom w:val="single" w:sz="8" w:color="D8D8D8"/>
            </w:tcBorders>
            <w:shd w:val="clear" w:color="auto" w:fill="D8D8D8"/>
          </w:tcPr>
          <w:p>
            <w:pPr>
              <w:spacing w:after="0"/>
              <w:rPr>
                <w:sz w:val="14"/>
                <w:szCs w:val="14"/>
                <w:color w:val="auto"/>
              </w:rPr>
            </w:pPr>
          </w:p>
        </w:tc>
        <w:tc>
          <w:tcPr>
            <w:tcW w:w="1600" w:type="dxa"/>
            <w:vAlign w:val="bottom"/>
            <w:tcBorders>
              <w:bottom w:val="single" w:sz="8" w:color="auto"/>
            </w:tcBorders>
            <w:shd w:val="clear" w:color="auto" w:fill="D8D8D8"/>
          </w:tcPr>
          <w:p>
            <w:pPr>
              <w:spacing w:after="0"/>
              <w:rPr>
                <w:sz w:val="14"/>
                <w:szCs w:val="14"/>
                <w:color w:val="auto"/>
              </w:rPr>
            </w:pPr>
          </w:p>
        </w:tc>
        <w:tc>
          <w:tcPr>
            <w:tcW w:w="640" w:type="dxa"/>
            <w:vAlign w:val="bottom"/>
            <w:tcBorders>
              <w:bottom w:val="single" w:sz="8" w:color="auto"/>
            </w:tcBorders>
            <w:shd w:val="clear" w:color="auto" w:fill="D8D8D8"/>
          </w:tcPr>
          <w:p>
            <w:pPr>
              <w:spacing w:after="0"/>
              <w:rPr>
                <w:sz w:val="14"/>
                <w:szCs w:val="14"/>
                <w:color w:val="auto"/>
              </w:rPr>
            </w:pPr>
          </w:p>
        </w:tc>
        <w:tc>
          <w:tcPr>
            <w:tcW w:w="800" w:type="dxa"/>
            <w:vAlign w:val="bottom"/>
            <w:tcBorders>
              <w:bottom w:val="single" w:sz="8" w:color="auto"/>
            </w:tcBorders>
            <w:shd w:val="clear" w:color="auto" w:fill="D8D8D8"/>
          </w:tcPr>
          <w:p>
            <w:pPr>
              <w:spacing w:after="0"/>
              <w:rPr>
                <w:sz w:val="14"/>
                <w:szCs w:val="14"/>
                <w:color w:val="auto"/>
              </w:rPr>
            </w:pPr>
          </w:p>
        </w:tc>
        <w:tc>
          <w:tcPr>
            <w:tcW w:w="100" w:type="dxa"/>
            <w:vAlign w:val="bottom"/>
            <w:tcBorders>
              <w:bottom w:val="single" w:sz="8" w:color="auto"/>
            </w:tcBorders>
            <w:shd w:val="clear" w:color="auto" w:fill="D8D8D8"/>
          </w:tcPr>
          <w:p>
            <w:pPr>
              <w:spacing w:after="0"/>
              <w:rPr>
                <w:sz w:val="14"/>
                <w:szCs w:val="14"/>
                <w:color w:val="auto"/>
              </w:rPr>
            </w:pPr>
          </w:p>
        </w:tc>
        <w:tc>
          <w:tcPr>
            <w:tcW w:w="1760" w:type="dxa"/>
            <w:vAlign w:val="bottom"/>
            <w:tcBorders>
              <w:bottom w:val="single" w:sz="8" w:color="auto"/>
            </w:tcBorders>
            <w:gridSpan w:val="3"/>
            <w:shd w:val="clear" w:color="auto" w:fill="D8D8D8"/>
          </w:tcPr>
          <w:p>
            <w:pPr>
              <w:jc w:val="right"/>
              <w:ind w:right="660"/>
              <w:spacing w:after="0"/>
              <w:rPr>
                <w:sz w:val="20"/>
                <w:szCs w:val="20"/>
                <w:color w:val="auto"/>
              </w:rPr>
            </w:pPr>
            <w:r>
              <w:rPr>
                <w:rFonts w:ascii="Arial" w:cs="Arial" w:eastAsia="Arial" w:hAnsi="Arial"/>
                <w:sz w:val="14"/>
                <w:szCs w:val="14"/>
                <w:b w:val="1"/>
                <w:bCs w:val="1"/>
                <w:color w:val="auto"/>
              </w:rPr>
              <w:t>Option Awards</w:t>
            </w:r>
          </w:p>
        </w:tc>
        <w:tc>
          <w:tcPr>
            <w:tcW w:w="160" w:type="dxa"/>
            <w:vAlign w:val="bottom"/>
            <w:tcBorders>
              <w:bottom w:val="single" w:sz="8" w:color="auto"/>
            </w:tcBorders>
            <w:shd w:val="clear" w:color="auto" w:fill="D8D8D8"/>
          </w:tcPr>
          <w:p>
            <w:pPr>
              <w:spacing w:after="0"/>
              <w:rPr>
                <w:sz w:val="14"/>
                <w:szCs w:val="14"/>
                <w:color w:val="auto"/>
              </w:rPr>
            </w:pPr>
          </w:p>
        </w:tc>
        <w:tc>
          <w:tcPr>
            <w:tcW w:w="400" w:type="dxa"/>
            <w:vAlign w:val="bottom"/>
            <w:tcBorders>
              <w:bottom w:val="single" w:sz="8" w:color="auto"/>
            </w:tcBorders>
            <w:shd w:val="clear" w:color="auto" w:fill="D8D8D8"/>
          </w:tcPr>
          <w:p>
            <w:pPr>
              <w:spacing w:after="0"/>
              <w:rPr>
                <w:sz w:val="14"/>
                <w:szCs w:val="14"/>
                <w:color w:val="auto"/>
              </w:rPr>
            </w:pPr>
          </w:p>
        </w:tc>
        <w:tc>
          <w:tcPr>
            <w:tcW w:w="400" w:type="dxa"/>
            <w:vAlign w:val="bottom"/>
            <w:tcBorders>
              <w:bottom w:val="single" w:sz="8" w:color="auto"/>
            </w:tcBorders>
            <w:shd w:val="clear" w:color="auto" w:fill="D8D8D8"/>
          </w:tcPr>
          <w:p>
            <w:pPr>
              <w:spacing w:after="0"/>
              <w:rPr>
                <w:sz w:val="14"/>
                <w:szCs w:val="14"/>
                <w:color w:val="auto"/>
              </w:rPr>
            </w:pPr>
          </w:p>
        </w:tc>
        <w:tc>
          <w:tcPr>
            <w:tcW w:w="1620" w:type="dxa"/>
            <w:vAlign w:val="bottom"/>
            <w:tcBorders>
              <w:bottom w:val="single" w:sz="8" w:color="auto"/>
            </w:tcBorders>
            <w:shd w:val="clear" w:color="auto" w:fill="D8D8D8"/>
          </w:tcPr>
          <w:p>
            <w:pPr>
              <w:spacing w:after="0"/>
              <w:rPr>
                <w:sz w:val="14"/>
                <w:szCs w:val="14"/>
                <w:color w:val="auto"/>
              </w:rPr>
            </w:pPr>
          </w:p>
        </w:tc>
        <w:tc>
          <w:tcPr>
            <w:tcW w:w="6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540" w:type="dxa"/>
            <w:vAlign w:val="bottom"/>
            <w:shd w:val="clear" w:color="auto" w:fill="D8D8D8"/>
          </w:tcPr>
          <w:p>
            <w:pPr>
              <w:spacing w:after="0"/>
              <w:rPr>
                <w:sz w:val="10"/>
                <w:szCs w:val="10"/>
                <w:color w:val="auto"/>
              </w:rPr>
            </w:pPr>
          </w:p>
        </w:tc>
        <w:tc>
          <w:tcPr>
            <w:tcW w:w="340" w:type="dxa"/>
            <w:vAlign w:val="bottom"/>
            <w:shd w:val="clear" w:color="auto" w:fill="D8D8D8"/>
          </w:tcPr>
          <w:p>
            <w:pPr>
              <w:spacing w:after="0"/>
              <w:rPr>
                <w:sz w:val="10"/>
                <w:szCs w:val="10"/>
                <w:color w:val="auto"/>
              </w:rPr>
            </w:pPr>
          </w:p>
        </w:tc>
        <w:tc>
          <w:tcPr>
            <w:tcW w:w="1600" w:type="dxa"/>
            <w:vAlign w:val="bottom"/>
            <w:shd w:val="clear" w:color="auto" w:fill="D8D8D8"/>
          </w:tcPr>
          <w:p>
            <w:pPr>
              <w:spacing w:after="0"/>
              <w:rPr>
                <w:sz w:val="10"/>
                <w:szCs w:val="10"/>
                <w:color w:val="auto"/>
              </w:rPr>
            </w:pPr>
          </w:p>
        </w:tc>
        <w:tc>
          <w:tcPr>
            <w:tcW w:w="640" w:type="dxa"/>
            <w:vAlign w:val="bottom"/>
            <w:shd w:val="clear" w:color="auto" w:fill="D8D8D8"/>
          </w:tcPr>
          <w:p>
            <w:pPr>
              <w:spacing w:after="0"/>
              <w:rPr>
                <w:sz w:val="10"/>
                <w:szCs w:val="10"/>
                <w:color w:val="auto"/>
              </w:rPr>
            </w:pPr>
          </w:p>
        </w:tc>
        <w:tc>
          <w:tcPr>
            <w:tcW w:w="900" w:type="dxa"/>
            <w:vAlign w:val="bottom"/>
            <w:gridSpan w:val="2"/>
            <w:shd w:val="clear" w:color="auto" w:fill="D8D8D8"/>
          </w:tcPr>
          <w:p>
            <w:pPr>
              <w:jc w:val="center"/>
              <w:ind w:right="100"/>
              <w:spacing w:after="0" w:line="125"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shd w:val="clear" w:color="auto" w:fill="D8D8D8"/>
          </w:tcPr>
          <w:p>
            <w:pPr>
              <w:spacing w:after="0"/>
              <w:rPr>
                <w:sz w:val="10"/>
                <w:szCs w:val="10"/>
                <w:color w:val="auto"/>
              </w:rPr>
            </w:pPr>
          </w:p>
        </w:tc>
        <w:tc>
          <w:tcPr>
            <w:tcW w:w="1460" w:type="dxa"/>
            <w:vAlign w:val="bottom"/>
            <w:gridSpan w:val="2"/>
            <w:shd w:val="clear" w:color="auto" w:fill="D8D8D8"/>
          </w:tcPr>
          <w:p>
            <w:pPr>
              <w:jc w:val="center"/>
              <w:ind w:right="400"/>
              <w:spacing w:after="0" w:line="125"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400" w:type="dxa"/>
            <w:vAlign w:val="bottom"/>
            <w:shd w:val="clear" w:color="auto" w:fill="D8D8D8"/>
          </w:tcPr>
          <w:p>
            <w:pPr>
              <w:spacing w:after="0"/>
              <w:rPr>
                <w:sz w:val="10"/>
                <w:szCs w:val="10"/>
                <w:color w:val="auto"/>
              </w:rPr>
            </w:pPr>
          </w:p>
        </w:tc>
        <w:tc>
          <w:tcPr>
            <w:tcW w:w="1620" w:type="dxa"/>
            <w:vAlign w:val="bottom"/>
            <w:shd w:val="clear" w:color="auto" w:fill="D8D8D8"/>
          </w:tcPr>
          <w:p>
            <w:pPr>
              <w:spacing w:after="0"/>
              <w:rPr>
                <w:sz w:val="10"/>
                <w:szCs w:val="10"/>
                <w:color w:val="auto"/>
              </w:rPr>
            </w:pPr>
          </w:p>
        </w:tc>
        <w:tc>
          <w:tcPr>
            <w:tcW w:w="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60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90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Securities</w:t>
            </w:r>
          </w:p>
        </w:tc>
        <w:tc>
          <w:tcPr>
            <w:tcW w:w="300" w:type="dxa"/>
            <w:vAlign w:val="bottom"/>
            <w:shd w:val="clear" w:color="auto" w:fill="D8D8D8"/>
          </w:tcPr>
          <w:p>
            <w:pPr>
              <w:spacing w:after="0"/>
              <w:rPr>
                <w:sz w:val="12"/>
                <w:szCs w:val="12"/>
                <w:color w:val="auto"/>
              </w:rPr>
            </w:pPr>
          </w:p>
        </w:tc>
        <w:tc>
          <w:tcPr>
            <w:tcW w:w="1460" w:type="dxa"/>
            <w:vAlign w:val="bottom"/>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1620" w:type="dxa"/>
            <w:vAlign w:val="bottom"/>
            <w:shd w:val="clear" w:color="auto" w:fill="D8D8D8"/>
          </w:tcPr>
          <w:p>
            <w:pPr>
              <w:spacing w:after="0"/>
              <w:rPr>
                <w:sz w:val="12"/>
                <w:szCs w:val="12"/>
                <w:color w:val="auto"/>
              </w:rPr>
            </w:pP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1600" w:type="dxa"/>
            <w:vAlign w:val="bottom"/>
            <w:shd w:val="clear" w:color="auto" w:fill="D8D8D8"/>
          </w:tcPr>
          <w:p>
            <w:pPr>
              <w:spacing w:after="0"/>
              <w:rPr>
                <w:sz w:val="12"/>
                <w:szCs w:val="12"/>
                <w:color w:val="auto"/>
              </w:rPr>
            </w:pPr>
          </w:p>
        </w:tc>
        <w:tc>
          <w:tcPr>
            <w:tcW w:w="640" w:type="dxa"/>
            <w:vAlign w:val="bottom"/>
            <w:shd w:val="clear" w:color="auto" w:fill="D8D8D8"/>
          </w:tcPr>
          <w:p>
            <w:pPr>
              <w:spacing w:after="0"/>
              <w:rPr>
                <w:sz w:val="12"/>
                <w:szCs w:val="12"/>
                <w:color w:val="auto"/>
              </w:rPr>
            </w:pPr>
          </w:p>
        </w:tc>
        <w:tc>
          <w:tcPr>
            <w:tcW w:w="90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300" w:type="dxa"/>
            <w:vAlign w:val="bottom"/>
            <w:shd w:val="clear" w:color="auto" w:fill="D8D8D8"/>
          </w:tcPr>
          <w:p>
            <w:pPr>
              <w:spacing w:after="0"/>
              <w:rPr>
                <w:sz w:val="12"/>
                <w:szCs w:val="12"/>
                <w:color w:val="auto"/>
              </w:rPr>
            </w:pPr>
          </w:p>
        </w:tc>
        <w:tc>
          <w:tcPr>
            <w:tcW w:w="1460" w:type="dxa"/>
            <w:vAlign w:val="bottom"/>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400" w:type="dxa"/>
            <w:vAlign w:val="bottom"/>
            <w:shd w:val="clear" w:color="auto" w:fill="D8D8D8"/>
          </w:tcPr>
          <w:p>
            <w:pPr>
              <w:spacing w:after="0"/>
              <w:rPr>
                <w:sz w:val="12"/>
                <w:szCs w:val="12"/>
                <w:color w:val="auto"/>
              </w:rPr>
            </w:pPr>
          </w:p>
        </w:tc>
        <w:tc>
          <w:tcPr>
            <w:tcW w:w="1620" w:type="dxa"/>
            <w:vAlign w:val="bottom"/>
            <w:shd w:val="clear" w:color="auto" w:fill="D8D8D8"/>
          </w:tcPr>
          <w:p>
            <w:pPr>
              <w:spacing w:after="0"/>
              <w:rPr>
                <w:sz w:val="12"/>
                <w:szCs w:val="12"/>
                <w:color w:val="auto"/>
              </w:rPr>
            </w:pPr>
          </w:p>
        </w:tc>
        <w:tc>
          <w:tcPr>
            <w:tcW w:w="60" w:type="dxa"/>
            <w:vAlign w:val="bottom"/>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shd w:val="clear" w:color="auto" w:fill="D8D8D8"/>
          </w:tcPr>
          <w:p>
            <w:pPr>
              <w:spacing w:after="0"/>
              <w:rPr>
                <w:sz w:val="12"/>
                <w:szCs w:val="12"/>
                <w:color w:val="auto"/>
              </w:rPr>
            </w:pPr>
          </w:p>
        </w:tc>
        <w:tc>
          <w:tcPr>
            <w:tcW w:w="340" w:type="dxa"/>
            <w:vAlign w:val="bottom"/>
            <w:shd w:val="clear" w:color="auto" w:fill="D8D8D8"/>
          </w:tcPr>
          <w:p>
            <w:pPr>
              <w:spacing w:after="0"/>
              <w:rPr>
                <w:sz w:val="12"/>
                <w:szCs w:val="12"/>
                <w:color w:val="auto"/>
              </w:rPr>
            </w:pPr>
          </w:p>
        </w:tc>
        <w:tc>
          <w:tcPr>
            <w:tcW w:w="2240" w:type="dxa"/>
            <w:vAlign w:val="bottom"/>
            <w:gridSpan w:val="2"/>
            <w:shd w:val="clear" w:color="auto" w:fill="D8D8D8"/>
          </w:tcPr>
          <w:p>
            <w:pPr>
              <w:jc w:val="center"/>
              <w:ind w:right="563"/>
              <w:spacing w:after="0" w:line="149" w:lineRule="exact"/>
              <w:rPr>
                <w:sz w:val="20"/>
                <w:szCs w:val="20"/>
                <w:color w:val="auto"/>
              </w:rPr>
            </w:pPr>
            <w:r>
              <w:rPr>
                <w:rFonts w:ascii="Arial" w:cs="Arial" w:eastAsia="Arial" w:hAnsi="Arial"/>
                <w:sz w:val="14"/>
                <w:szCs w:val="14"/>
                <w:b w:val="1"/>
                <w:bCs w:val="1"/>
                <w:color w:val="auto"/>
                <w:w w:val="94"/>
              </w:rPr>
              <w:t>Vesting</w:t>
            </w:r>
          </w:p>
        </w:tc>
        <w:tc>
          <w:tcPr>
            <w:tcW w:w="90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300" w:type="dxa"/>
            <w:vAlign w:val="bottom"/>
            <w:shd w:val="clear" w:color="auto" w:fill="D8D8D8"/>
          </w:tcPr>
          <w:p>
            <w:pPr>
              <w:spacing w:after="0"/>
              <w:rPr>
                <w:sz w:val="12"/>
                <w:szCs w:val="12"/>
                <w:color w:val="auto"/>
              </w:rPr>
            </w:pPr>
          </w:p>
        </w:tc>
        <w:tc>
          <w:tcPr>
            <w:tcW w:w="1460" w:type="dxa"/>
            <w:vAlign w:val="bottom"/>
            <w:gridSpan w:val="2"/>
            <w:shd w:val="clear" w:color="auto" w:fill="D8D8D8"/>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960" w:type="dxa"/>
            <w:vAlign w:val="bottom"/>
            <w:gridSpan w:val="3"/>
            <w:shd w:val="clear" w:color="auto" w:fill="D8D8D8"/>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680" w:type="dxa"/>
            <w:vAlign w:val="bottom"/>
            <w:gridSpan w:val="2"/>
            <w:shd w:val="clear" w:color="auto" w:fill="D8D8D8"/>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340" w:type="dxa"/>
            <w:vAlign w:val="bottom"/>
            <w:shd w:val="clear" w:color="auto" w:fill="D8D8D8"/>
          </w:tcPr>
          <w:p>
            <w:pPr>
              <w:spacing w:after="0"/>
              <w:rPr>
                <w:sz w:val="12"/>
                <w:szCs w:val="12"/>
                <w:color w:val="auto"/>
              </w:rPr>
            </w:pPr>
          </w:p>
        </w:tc>
        <w:tc>
          <w:tcPr>
            <w:tcW w:w="2240" w:type="dxa"/>
            <w:vAlign w:val="bottom"/>
            <w:gridSpan w:val="2"/>
            <w:shd w:val="clear" w:color="auto" w:fill="D8D8D8"/>
          </w:tcPr>
          <w:p>
            <w:pPr>
              <w:jc w:val="center"/>
              <w:ind w:right="583"/>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90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Options (#)</w:t>
            </w:r>
          </w:p>
        </w:tc>
        <w:tc>
          <w:tcPr>
            <w:tcW w:w="300" w:type="dxa"/>
            <w:vAlign w:val="bottom"/>
            <w:shd w:val="clear" w:color="auto" w:fill="D8D8D8"/>
          </w:tcPr>
          <w:p>
            <w:pPr>
              <w:spacing w:after="0"/>
              <w:rPr>
                <w:sz w:val="12"/>
                <w:szCs w:val="12"/>
                <w:color w:val="auto"/>
              </w:rPr>
            </w:pPr>
          </w:p>
        </w:tc>
        <w:tc>
          <w:tcPr>
            <w:tcW w:w="1460" w:type="dxa"/>
            <w:vAlign w:val="bottom"/>
            <w:gridSpan w:val="2"/>
            <w:shd w:val="clear" w:color="auto" w:fill="D8D8D8"/>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Options (#)</w:t>
            </w:r>
          </w:p>
        </w:tc>
        <w:tc>
          <w:tcPr>
            <w:tcW w:w="960" w:type="dxa"/>
            <w:vAlign w:val="bottom"/>
            <w:gridSpan w:val="3"/>
            <w:shd w:val="clear" w:color="auto" w:fill="D8D8D8"/>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1680" w:type="dxa"/>
            <w:vAlign w:val="bottom"/>
            <w:gridSpan w:val="2"/>
            <w:shd w:val="clear" w:color="auto" w:fill="D8D8D8"/>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65"/>
        </w:trPr>
        <w:tc>
          <w:tcPr>
            <w:tcW w:w="3540" w:type="dxa"/>
            <w:vAlign w:val="bottom"/>
            <w:vMerge w:val="continue"/>
            <w:shd w:val="clear" w:color="auto" w:fill="D8D8D8"/>
          </w:tcPr>
          <w:p>
            <w:pPr>
              <w:spacing w:after="0"/>
              <w:rPr>
                <w:sz w:val="14"/>
                <w:szCs w:val="14"/>
                <w:color w:val="auto"/>
              </w:rPr>
            </w:pPr>
          </w:p>
        </w:tc>
        <w:tc>
          <w:tcPr>
            <w:tcW w:w="340" w:type="dxa"/>
            <w:vAlign w:val="bottom"/>
            <w:shd w:val="clear" w:color="auto" w:fill="D8D8D8"/>
          </w:tcPr>
          <w:p>
            <w:pPr>
              <w:spacing w:after="0"/>
              <w:rPr>
                <w:sz w:val="14"/>
                <w:szCs w:val="14"/>
                <w:color w:val="auto"/>
              </w:rPr>
            </w:pPr>
          </w:p>
        </w:tc>
        <w:tc>
          <w:tcPr>
            <w:tcW w:w="2240" w:type="dxa"/>
            <w:vAlign w:val="bottom"/>
            <w:gridSpan w:val="2"/>
            <w:shd w:val="clear" w:color="auto" w:fill="D8D8D8"/>
          </w:tcPr>
          <w:p>
            <w:pPr>
              <w:jc w:val="center"/>
              <w:ind w:right="583"/>
              <w:spacing w:after="0"/>
              <w:rPr>
                <w:sz w:val="20"/>
                <w:szCs w:val="20"/>
                <w:color w:val="auto"/>
              </w:rPr>
            </w:pPr>
            <w:r>
              <w:rPr>
                <w:rFonts w:ascii="Arial" w:cs="Arial" w:eastAsia="Arial" w:hAnsi="Arial"/>
                <w:sz w:val="14"/>
                <w:szCs w:val="14"/>
                <w:b w:val="1"/>
                <w:bCs w:val="1"/>
                <w:color w:val="auto"/>
                <w:w w:val="98"/>
              </w:rPr>
              <w:t>Date</w:t>
            </w:r>
          </w:p>
        </w:tc>
        <w:tc>
          <w:tcPr>
            <w:tcW w:w="900" w:type="dxa"/>
            <w:vAlign w:val="bottom"/>
            <w:gridSpan w:val="2"/>
            <w:shd w:val="clear" w:color="auto" w:fill="D8D8D8"/>
          </w:tcPr>
          <w:p>
            <w:pPr>
              <w:jc w:val="center"/>
              <w:ind w:right="100"/>
              <w:spacing w:after="0"/>
              <w:rPr>
                <w:sz w:val="20"/>
                <w:szCs w:val="20"/>
                <w:color w:val="auto"/>
              </w:rPr>
            </w:pPr>
            <w:r>
              <w:rPr>
                <w:rFonts w:ascii="Arial" w:cs="Arial" w:eastAsia="Arial" w:hAnsi="Arial"/>
                <w:sz w:val="14"/>
                <w:szCs w:val="14"/>
                <w:b w:val="1"/>
                <w:bCs w:val="1"/>
                <w:color w:val="auto"/>
                <w:w w:val="97"/>
              </w:rPr>
              <w:t>Exercisable</w:t>
            </w:r>
          </w:p>
        </w:tc>
        <w:tc>
          <w:tcPr>
            <w:tcW w:w="300" w:type="dxa"/>
            <w:vAlign w:val="bottom"/>
            <w:shd w:val="clear" w:color="auto" w:fill="D8D8D8"/>
          </w:tcPr>
          <w:p>
            <w:pPr>
              <w:spacing w:after="0"/>
              <w:rPr>
                <w:sz w:val="14"/>
                <w:szCs w:val="14"/>
                <w:color w:val="auto"/>
              </w:rPr>
            </w:pPr>
          </w:p>
        </w:tc>
        <w:tc>
          <w:tcPr>
            <w:tcW w:w="1460" w:type="dxa"/>
            <w:vAlign w:val="bottom"/>
            <w:gridSpan w:val="2"/>
            <w:shd w:val="clear" w:color="auto" w:fill="D8D8D8"/>
          </w:tcPr>
          <w:p>
            <w:pPr>
              <w:jc w:val="center"/>
              <w:ind w:right="400"/>
              <w:spacing w:after="0"/>
              <w:rPr>
                <w:sz w:val="20"/>
                <w:szCs w:val="20"/>
                <w:color w:val="auto"/>
              </w:rPr>
            </w:pPr>
            <w:r>
              <w:rPr>
                <w:rFonts w:ascii="Arial" w:cs="Arial" w:eastAsia="Arial" w:hAnsi="Arial"/>
                <w:sz w:val="14"/>
                <w:szCs w:val="14"/>
                <w:b w:val="1"/>
                <w:bCs w:val="1"/>
                <w:color w:val="auto"/>
                <w:w w:val="97"/>
              </w:rPr>
              <w:t>Unexercisable</w:t>
            </w:r>
            <w:r>
              <w:rPr>
                <w:rFonts w:ascii="Arial" w:cs="Arial" w:eastAsia="Arial" w:hAnsi="Arial"/>
                <w:sz w:val="11"/>
                <w:szCs w:val="11"/>
                <w:b w:val="1"/>
                <w:bCs w:val="1"/>
                <w:color w:val="auto"/>
                <w:w w:val="97"/>
              </w:rPr>
              <w:t>(1)</w:t>
            </w:r>
          </w:p>
        </w:tc>
        <w:tc>
          <w:tcPr>
            <w:tcW w:w="960" w:type="dxa"/>
            <w:vAlign w:val="bottom"/>
            <w:gridSpan w:val="3"/>
            <w:shd w:val="clear" w:color="auto" w:fill="D8D8D8"/>
          </w:tcPr>
          <w:p>
            <w:pPr>
              <w:ind w:left="2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680" w:type="dxa"/>
            <w:vAlign w:val="bottom"/>
            <w:gridSpan w:val="2"/>
            <w:shd w:val="clear" w:color="auto" w:fill="D8D8D8"/>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93"/>
        </w:trPr>
        <w:tc>
          <w:tcPr>
            <w:tcW w:w="3540" w:type="dxa"/>
            <w:vAlign w:val="bottom"/>
            <w:tcBorders>
              <w:top w:val="single" w:sz="8" w:color="auto"/>
            </w:tcBorders>
          </w:tcPr>
          <w:p>
            <w:pPr>
              <w:ind w:left="100"/>
              <w:spacing w:after="0" w:line="193" w:lineRule="exact"/>
              <w:rPr>
                <w:sz w:val="20"/>
                <w:szCs w:val="20"/>
                <w:color w:val="auto"/>
              </w:rPr>
            </w:pPr>
            <w:r>
              <w:rPr>
                <w:rFonts w:ascii="Arial" w:cs="Arial" w:eastAsia="Arial" w:hAnsi="Arial"/>
                <w:sz w:val="18"/>
                <w:szCs w:val="18"/>
                <w:color w:val="auto"/>
              </w:rPr>
              <w:t>Roger J. Pomerantz, M.D.</w:t>
            </w:r>
          </w:p>
        </w:tc>
        <w:tc>
          <w:tcPr>
            <w:tcW w:w="340" w:type="dxa"/>
            <w:vAlign w:val="bottom"/>
          </w:tcPr>
          <w:p>
            <w:pPr>
              <w:spacing w:after="0"/>
              <w:rPr>
                <w:sz w:val="16"/>
                <w:szCs w:val="16"/>
                <w:color w:val="auto"/>
              </w:rPr>
            </w:pPr>
          </w:p>
        </w:tc>
        <w:tc>
          <w:tcPr>
            <w:tcW w:w="1600" w:type="dxa"/>
            <w:vAlign w:val="bottom"/>
            <w:tcBorders>
              <w:top w:val="single" w:sz="8" w:color="auto"/>
            </w:tcBorders>
          </w:tcPr>
          <w:p>
            <w:pPr>
              <w:ind w:left="60"/>
              <w:spacing w:after="0" w:line="193" w:lineRule="exact"/>
              <w:rPr>
                <w:sz w:val="20"/>
                <w:szCs w:val="20"/>
                <w:color w:val="auto"/>
              </w:rPr>
            </w:pPr>
            <w:r>
              <w:rPr>
                <w:rFonts w:ascii="Arial" w:cs="Arial" w:eastAsia="Arial" w:hAnsi="Arial"/>
                <w:sz w:val="18"/>
                <w:szCs w:val="18"/>
                <w:color w:val="auto"/>
                <w:w w:val="99"/>
              </w:rPr>
              <w:t>September 9, 2013</w:t>
            </w:r>
          </w:p>
        </w:tc>
        <w:tc>
          <w:tcPr>
            <w:tcW w:w="640" w:type="dxa"/>
            <w:vAlign w:val="bottom"/>
          </w:tcPr>
          <w:p>
            <w:pPr>
              <w:jc w:val="right"/>
              <w:ind w:right="383"/>
              <w:spacing w:after="0"/>
              <w:rPr>
                <w:sz w:val="20"/>
                <w:szCs w:val="20"/>
                <w:color w:val="auto"/>
              </w:rPr>
            </w:pPr>
            <w:r>
              <w:rPr>
                <w:rFonts w:ascii="Arial" w:cs="Arial" w:eastAsia="Arial" w:hAnsi="Arial"/>
                <w:sz w:val="15"/>
                <w:szCs w:val="15"/>
                <w:color w:val="auto"/>
                <w:w w:val="87"/>
              </w:rPr>
              <w:t>(1)</w:t>
            </w:r>
          </w:p>
        </w:tc>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55,000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27,500</w:t>
            </w:r>
          </w:p>
        </w:tc>
        <w:tc>
          <w:tcPr>
            <w:tcW w:w="400" w:type="dxa"/>
            <w:vAlign w:val="bottom"/>
          </w:tcPr>
          <w:p>
            <w:pPr>
              <w:spacing w:after="0"/>
              <w:rPr>
                <w:sz w:val="16"/>
                <w:szCs w:val="16"/>
                <w:color w:val="auto"/>
              </w:rPr>
            </w:pPr>
          </w:p>
        </w:tc>
        <w:tc>
          <w:tcPr>
            <w:tcW w:w="1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0.48</w:t>
            </w:r>
          </w:p>
        </w:tc>
        <w:tc>
          <w:tcPr>
            <w:tcW w:w="400" w:type="dxa"/>
            <w:vAlign w:val="bottom"/>
          </w:tcPr>
          <w:p>
            <w:pPr>
              <w:spacing w:after="0"/>
              <w:rPr>
                <w:sz w:val="16"/>
                <w:szCs w:val="16"/>
                <w:color w:val="auto"/>
              </w:rPr>
            </w:pPr>
          </w:p>
        </w:tc>
        <w:tc>
          <w:tcPr>
            <w:tcW w:w="16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November 5, 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40" w:type="dxa"/>
            <w:vAlign w:val="bottom"/>
            <w:gridSpan w:val="2"/>
          </w:tcPr>
          <w:p>
            <w:pPr>
              <w:jc w:val="right"/>
              <w:ind w:right="383"/>
              <w:spacing w:after="0"/>
              <w:rPr>
                <w:sz w:val="20"/>
                <w:szCs w:val="20"/>
                <w:color w:val="auto"/>
              </w:rPr>
            </w:pPr>
            <w:r>
              <w:rPr>
                <w:rFonts w:ascii="Arial" w:cs="Arial" w:eastAsia="Arial" w:hAnsi="Arial"/>
                <w:sz w:val="18"/>
                <w:szCs w:val="18"/>
                <w:color w:val="auto"/>
              </w:rPr>
              <w:t>June 1, 2014</w:t>
            </w:r>
            <w:r>
              <w:rPr>
                <w:rFonts w:ascii="Arial" w:cs="Arial" w:eastAsia="Arial" w:hAnsi="Arial"/>
                <w:sz w:val="15"/>
                <w:szCs w:val="15"/>
                <w:color w:val="auto"/>
              </w:rPr>
              <w:t>(1)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528,613</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523,673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0.71</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August 6, 2024</w:t>
            </w:r>
          </w:p>
        </w:tc>
        <w:tc>
          <w:tcPr>
            <w:tcW w:w="0" w:type="dxa"/>
            <w:vAlign w:val="bottom"/>
          </w:tcPr>
          <w:p>
            <w:pPr>
              <w:spacing w:after="0"/>
              <w:rPr>
                <w:sz w:val="1"/>
                <w:szCs w:val="1"/>
                <w:color w:val="auto"/>
              </w:rPr>
            </w:pPr>
          </w:p>
        </w:tc>
      </w:tr>
      <w:tr>
        <w:trPr>
          <w:trHeight w:val="41"/>
        </w:trPr>
        <w:tc>
          <w:tcPr>
            <w:tcW w:w="3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540" w:type="dxa"/>
            <w:vAlign w:val="bottom"/>
            <w:shd w:val="clear" w:color="auto" w:fill="D8D8D8"/>
          </w:tcPr>
          <w:p>
            <w:pPr>
              <w:spacing w:after="0"/>
              <w:rPr>
                <w:sz w:val="17"/>
                <w:szCs w:val="17"/>
                <w:color w:val="auto"/>
              </w:rPr>
            </w:pPr>
          </w:p>
        </w:tc>
        <w:tc>
          <w:tcPr>
            <w:tcW w:w="340" w:type="dxa"/>
            <w:vAlign w:val="bottom"/>
            <w:shd w:val="clear" w:color="auto" w:fill="D8D8D8"/>
          </w:tcPr>
          <w:p>
            <w:pPr>
              <w:spacing w:after="0"/>
              <w:rPr>
                <w:sz w:val="17"/>
                <w:szCs w:val="17"/>
                <w:color w:val="auto"/>
              </w:rPr>
            </w:pPr>
          </w:p>
        </w:tc>
        <w:tc>
          <w:tcPr>
            <w:tcW w:w="2240" w:type="dxa"/>
            <w:vAlign w:val="bottom"/>
            <w:gridSpan w:val="2"/>
            <w:shd w:val="clear" w:color="auto" w:fill="D8D8D8"/>
          </w:tcPr>
          <w:p>
            <w:pPr>
              <w:jc w:val="right"/>
              <w:ind w:right="383"/>
              <w:spacing w:after="0" w:line="199" w:lineRule="exact"/>
              <w:rPr>
                <w:sz w:val="20"/>
                <w:szCs w:val="20"/>
                <w:color w:val="auto"/>
              </w:rPr>
            </w:pPr>
            <w:r>
              <w:rPr>
                <w:rFonts w:ascii="Arial" w:cs="Arial" w:eastAsia="Arial" w:hAnsi="Arial"/>
                <w:sz w:val="18"/>
                <w:szCs w:val="18"/>
                <w:color w:val="auto"/>
              </w:rPr>
              <w:t>February 1, 2016</w:t>
            </w:r>
            <w:r>
              <w:rPr>
                <w:rFonts w:ascii="Arial" w:cs="Arial" w:eastAsia="Arial" w:hAnsi="Arial"/>
                <w:sz w:val="15"/>
                <w:szCs w:val="15"/>
                <w:color w:val="auto"/>
              </w:rPr>
              <w:t>(2)</w:t>
            </w:r>
          </w:p>
        </w:tc>
        <w:tc>
          <w:tcPr>
            <w:tcW w:w="900" w:type="dxa"/>
            <w:vAlign w:val="bottom"/>
            <w:gridSpan w:val="2"/>
            <w:shd w:val="clear" w:color="auto" w:fill="D8D8D8"/>
          </w:tcPr>
          <w:p>
            <w:pPr>
              <w:jc w:val="right"/>
              <w:ind w:right="100"/>
              <w:spacing w:after="0" w:line="199" w:lineRule="exact"/>
              <w:rPr>
                <w:sz w:val="20"/>
                <w:szCs w:val="20"/>
                <w:color w:val="auto"/>
              </w:rPr>
            </w:pPr>
            <w:r>
              <w:rPr>
                <w:rFonts w:ascii="Arial" w:cs="Arial" w:eastAsia="Arial" w:hAnsi="Arial"/>
                <w:sz w:val="18"/>
                <w:szCs w:val="18"/>
                <w:color w:val="auto"/>
              </w:rPr>
              <w:t>0</w:t>
            </w:r>
          </w:p>
        </w:tc>
        <w:tc>
          <w:tcPr>
            <w:tcW w:w="1760" w:type="dxa"/>
            <w:vAlign w:val="bottom"/>
            <w:gridSpan w:val="3"/>
            <w:shd w:val="clear" w:color="auto" w:fill="D8D8D8"/>
          </w:tcPr>
          <w:p>
            <w:pPr>
              <w:jc w:val="right"/>
              <w:ind w:right="400"/>
              <w:spacing w:after="0" w:line="199" w:lineRule="exact"/>
              <w:rPr>
                <w:sz w:val="20"/>
                <w:szCs w:val="20"/>
                <w:color w:val="auto"/>
              </w:rPr>
            </w:pPr>
            <w:r>
              <w:rPr>
                <w:rFonts w:ascii="Arial" w:cs="Arial" w:eastAsia="Arial" w:hAnsi="Arial"/>
                <w:sz w:val="18"/>
                <w:szCs w:val="18"/>
                <w:color w:val="auto"/>
              </w:rPr>
              <w:t>176,500</w:t>
            </w:r>
          </w:p>
        </w:tc>
        <w:tc>
          <w:tcPr>
            <w:tcW w:w="960" w:type="dxa"/>
            <w:vAlign w:val="bottom"/>
            <w:gridSpan w:val="3"/>
            <w:shd w:val="clear" w:color="auto" w:fill="D8D8D8"/>
          </w:tcPr>
          <w:p>
            <w:pPr>
              <w:jc w:val="right"/>
              <w:ind w:right="400"/>
              <w:spacing w:after="0" w:line="199" w:lineRule="exact"/>
              <w:rPr>
                <w:sz w:val="20"/>
                <w:szCs w:val="20"/>
                <w:color w:val="auto"/>
              </w:rPr>
            </w:pPr>
            <w:r>
              <w:rPr>
                <w:rFonts w:ascii="Arial" w:cs="Arial" w:eastAsia="Arial" w:hAnsi="Arial"/>
                <w:sz w:val="18"/>
                <w:szCs w:val="18"/>
                <w:color w:val="auto"/>
                <w:w w:val="98"/>
              </w:rPr>
              <w:t>$26.20</w:t>
            </w:r>
          </w:p>
        </w:tc>
        <w:tc>
          <w:tcPr>
            <w:tcW w:w="1680" w:type="dxa"/>
            <w:vAlign w:val="bottom"/>
            <w:gridSpan w:val="2"/>
            <w:shd w:val="clear" w:color="auto" w:fill="D8D8D8"/>
          </w:tcPr>
          <w:p>
            <w:pPr>
              <w:jc w:val="right"/>
              <w:ind w:right="120"/>
              <w:spacing w:after="0" w:line="199" w:lineRule="exact"/>
              <w:rPr>
                <w:sz w:val="20"/>
                <w:szCs w:val="20"/>
                <w:color w:val="auto"/>
              </w:rPr>
            </w:pPr>
            <w:r>
              <w:rPr>
                <w:rFonts w:ascii="Arial" w:cs="Arial" w:eastAsia="Arial" w:hAnsi="Arial"/>
                <w:sz w:val="18"/>
                <w:szCs w:val="18"/>
                <w:color w:val="auto"/>
              </w:rPr>
              <w:t>January 31, 2026</w:t>
            </w:r>
          </w:p>
        </w:tc>
        <w:tc>
          <w:tcPr>
            <w:tcW w:w="0" w:type="dxa"/>
            <w:vAlign w:val="bottom"/>
          </w:tcPr>
          <w:p>
            <w:pPr>
              <w:spacing w:after="0"/>
              <w:rPr>
                <w:sz w:val="1"/>
                <w:szCs w:val="1"/>
                <w:color w:val="auto"/>
              </w:rPr>
            </w:pPr>
          </w:p>
        </w:tc>
      </w:tr>
      <w:tr>
        <w:trPr>
          <w:trHeight w:val="240"/>
        </w:trPr>
        <w:tc>
          <w:tcPr>
            <w:tcW w:w="354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8"/>
                <w:szCs w:val="18"/>
                <w:color w:val="auto"/>
              </w:rPr>
              <w:t>Thomas DesRosier</w:t>
            </w:r>
          </w:p>
        </w:tc>
        <w:tc>
          <w:tcPr>
            <w:tcW w:w="340" w:type="dxa"/>
            <w:vAlign w:val="bottom"/>
            <w:tcBorders>
              <w:bottom w:val="single" w:sz="8" w:color="D8D8D8"/>
            </w:tcBorders>
            <w:shd w:val="clear" w:color="auto" w:fill="D8D8D8"/>
          </w:tcPr>
          <w:p>
            <w:pPr>
              <w:spacing w:after="0"/>
              <w:rPr>
                <w:sz w:val="20"/>
                <w:szCs w:val="20"/>
                <w:color w:val="auto"/>
              </w:rPr>
            </w:pPr>
          </w:p>
        </w:tc>
        <w:tc>
          <w:tcPr>
            <w:tcW w:w="2240" w:type="dxa"/>
            <w:vAlign w:val="bottom"/>
            <w:tcBorders>
              <w:bottom w:val="single" w:sz="8" w:color="D8D8D8"/>
            </w:tcBorders>
            <w:gridSpan w:val="2"/>
            <w:shd w:val="clear" w:color="auto" w:fill="D8D8D8"/>
          </w:tcPr>
          <w:p>
            <w:pPr>
              <w:jc w:val="right"/>
              <w:ind w:right="383"/>
              <w:spacing w:after="0"/>
              <w:rPr>
                <w:sz w:val="20"/>
                <w:szCs w:val="20"/>
                <w:color w:val="auto"/>
              </w:rPr>
            </w:pPr>
            <w:r>
              <w:rPr>
                <w:rFonts w:ascii="Arial" w:cs="Arial" w:eastAsia="Arial" w:hAnsi="Arial"/>
                <w:sz w:val="18"/>
                <w:szCs w:val="18"/>
                <w:color w:val="auto"/>
              </w:rPr>
              <w:t>May 16, 2016</w:t>
            </w:r>
            <w:r>
              <w:rPr>
                <w:rFonts w:ascii="Arial" w:cs="Arial" w:eastAsia="Arial" w:hAnsi="Arial"/>
                <w:sz w:val="15"/>
                <w:szCs w:val="15"/>
                <w:color w:val="auto"/>
              </w:rPr>
              <w:t>(2)</w:t>
            </w:r>
          </w:p>
        </w:tc>
        <w:tc>
          <w:tcPr>
            <w:tcW w:w="900" w:type="dxa"/>
            <w:vAlign w:val="bottom"/>
            <w:tcBorders>
              <w:bottom w:val="single" w:sz="8" w:color="D8D8D8"/>
            </w:tcBorders>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0</w:t>
            </w:r>
          </w:p>
        </w:tc>
        <w:tc>
          <w:tcPr>
            <w:tcW w:w="1760" w:type="dxa"/>
            <w:vAlign w:val="bottom"/>
            <w:tcBorders>
              <w:bottom w:val="single" w:sz="8" w:color="D8D8D8"/>
            </w:tcBorders>
            <w:gridSpan w:val="3"/>
            <w:shd w:val="clear" w:color="auto" w:fill="D8D8D8"/>
          </w:tcPr>
          <w:p>
            <w:pPr>
              <w:jc w:val="right"/>
              <w:ind w:right="400"/>
              <w:spacing w:after="0"/>
              <w:rPr>
                <w:sz w:val="20"/>
                <w:szCs w:val="20"/>
                <w:color w:val="auto"/>
              </w:rPr>
            </w:pPr>
            <w:r>
              <w:rPr>
                <w:rFonts w:ascii="Arial" w:cs="Arial" w:eastAsia="Arial" w:hAnsi="Arial"/>
                <w:sz w:val="18"/>
                <w:szCs w:val="18"/>
                <w:color w:val="auto"/>
              </w:rPr>
              <w:t>100,000</w:t>
            </w:r>
          </w:p>
        </w:tc>
        <w:tc>
          <w:tcPr>
            <w:tcW w:w="960" w:type="dxa"/>
            <w:vAlign w:val="bottom"/>
            <w:tcBorders>
              <w:bottom w:val="single" w:sz="8" w:color="D8D8D8"/>
            </w:tcBorders>
            <w:gridSpan w:val="3"/>
            <w:shd w:val="clear" w:color="auto" w:fill="D8D8D8"/>
          </w:tcPr>
          <w:p>
            <w:pPr>
              <w:jc w:val="right"/>
              <w:ind w:right="400"/>
              <w:spacing w:after="0"/>
              <w:rPr>
                <w:sz w:val="20"/>
                <w:szCs w:val="20"/>
                <w:color w:val="auto"/>
              </w:rPr>
            </w:pPr>
            <w:r>
              <w:rPr>
                <w:rFonts w:ascii="Arial" w:cs="Arial" w:eastAsia="Arial" w:hAnsi="Arial"/>
                <w:sz w:val="18"/>
                <w:szCs w:val="18"/>
                <w:color w:val="auto"/>
                <w:w w:val="89"/>
              </w:rPr>
              <w:t>$ 30.90</w:t>
            </w:r>
          </w:p>
        </w:tc>
        <w:tc>
          <w:tcPr>
            <w:tcW w:w="1680" w:type="dxa"/>
            <w:vAlign w:val="bottom"/>
            <w:tcBorders>
              <w:bottom w:val="single" w:sz="8" w:color="D8D8D8"/>
            </w:tcBorders>
            <w:gridSpan w:val="2"/>
            <w:shd w:val="clear" w:color="auto" w:fill="D8D8D8"/>
          </w:tcPr>
          <w:p>
            <w:pPr>
              <w:jc w:val="right"/>
              <w:ind w:right="120"/>
              <w:spacing w:after="0"/>
              <w:rPr>
                <w:sz w:val="20"/>
                <w:szCs w:val="20"/>
                <w:color w:val="auto"/>
              </w:rPr>
            </w:pPr>
            <w:r>
              <w:rPr>
                <w:rFonts w:ascii="Arial" w:cs="Arial" w:eastAsia="Arial" w:hAnsi="Arial"/>
                <w:sz w:val="18"/>
                <w:szCs w:val="18"/>
                <w:color w:val="auto"/>
              </w:rPr>
              <w:t>May 31, 2026</w:t>
            </w:r>
          </w:p>
        </w:tc>
        <w:tc>
          <w:tcPr>
            <w:tcW w:w="0" w:type="dxa"/>
            <w:vAlign w:val="bottom"/>
          </w:tcPr>
          <w:p>
            <w:pPr>
              <w:spacing w:after="0"/>
              <w:rPr>
                <w:sz w:val="1"/>
                <w:szCs w:val="1"/>
                <w:color w:val="auto"/>
              </w:rPr>
            </w:pPr>
          </w:p>
        </w:tc>
      </w:tr>
      <w:tr>
        <w:trPr>
          <w:trHeight w:val="217"/>
        </w:trPr>
        <w:tc>
          <w:tcPr>
            <w:tcW w:w="3540" w:type="dxa"/>
            <w:vAlign w:val="bottom"/>
          </w:tcPr>
          <w:p>
            <w:pPr>
              <w:ind w:left="100"/>
              <w:spacing w:after="0"/>
              <w:rPr>
                <w:sz w:val="20"/>
                <w:szCs w:val="20"/>
                <w:color w:val="auto"/>
              </w:rPr>
            </w:pPr>
            <w:r>
              <w:rPr>
                <w:rFonts w:ascii="Arial" w:cs="Arial" w:eastAsia="Arial" w:hAnsi="Arial"/>
                <w:sz w:val="18"/>
                <w:szCs w:val="18"/>
                <w:color w:val="auto"/>
              </w:rPr>
              <w:t>Wael Hashad</w:t>
            </w:r>
          </w:p>
        </w:tc>
        <w:tc>
          <w:tcPr>
            <w:tcW w:w="340" w:type="dxa"/>
            <w:vAlign w:val="bottom"/>
          </w:tcPr>
          <w:p>
            <w:pPr>
              <w:spacing w:after="0"/>
              <w:rPr>
                <w:sz w:val="18"/>
                <w:szCs w:val="18"/>
                <w:color w:val="auto"/>
              </w:rPr>
            </w:pPr>
          </w:p>
        </w:tc>
        <w:tc>
          <w:tcPr>
            <w:tcW w:w="2240" w:type="dxa"/>
            <w:vAlign w:val="bottom"/>
            <w:gridSpan w:val="2"/>
          </w:tcPr>
          <w:p>
            <w:pPr>
              <w:jc w:val="right"/>
              <w:ind w:right="383"/>
              <w:spacing w:after="0"/>
              <w:rPr>
                <w:sz w:val="20"/>
                <w:szCs w:val="20"/>
                <w:color w:val="auto"/>
              </w:rPr>
            </w:pPr>
            <w:r>
              <w:rPr>
                <w:rFonts w:ascii="Arial" w:cs="Arial" w:eastAsia="Arial" w:hAnsi="Arial"/>
                <w:sz w:val="18"/>
                <w:szCs w:val="18"/>
                <w:color w:val="auto"/>
              </w:rPr>
              <w:t>January 4, 2016</w:t>
            </w:r>
            <w:r>
              <w:rPr>
                <w:rFonts w:ascii="Arial" w:cs="Arial" w:eastAsia="Arial" w:hAnsi="Arial"/>
                <w:sz w:val="15"/>
                <w:szCs w:val="15"/>
                <w:color w:val="auto"/>
              </w:rPr>
              <w:t>(2)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1760" w:type="dxa"/>
            <w:vAlign w:val="bottom"/>
            <w:gridSpan w:val="3"/>
          </w:tcPr>
          <w:p>
            <w:pPr>
              <w:jc w:val="right"/>
              <w:ind w:right="400"/>
              <w:spacing w:after="0"/>
              <w:rPr>
                <w:sz w:val="20"/>
                <w:szCs w:val="20"/>
                <w:color w:val="auto"/>
              </w:rPr>
            </w:pPr>
            <w:r>
              <w:rPr>
                <w:rFonts w:ascii="Arial" w:cs="Arial" w:eastAsia="Arial" w:hAnsi="Arial"/>
                <w:sz w:val="18"/>
                <w:szCs w:val="18"/>
                <w:color w:val="auto"/>
              </w:rPr>
              <w:t>100,000</w:t>
            </w:r>
          </w:p>
        </w:tc>
        <w:tc>
          <w:tcPr>
            <w:tcW w:w="960" w:type="dxa"/>
            <w:vAlign w:val="bottom"/>
            <w:gridSpan w:val="3"/>
          </w:tcPr>
          <w:p>
            <w:pPr>
              <w:jc w:val="right"/>
              <w:ind w:right="400"/>
              <w:spacing w:after="0"/>
              <w:rPr>
                <w:sz w:val="20"/>
                <w:szCs w:val="20"/>
                <w:color w:val="auto"/>
              </w:rPr>
            </w:pPr>
            <w:r>
              <w:rPr>
                <w:rFonts w:ascii="Arial" w:cs="Arial" w:eastAsia="Arial" w:hAnsi="Arial"/>
                <w:sz w:val="18"/>
                <w:szCs w:val="18"/>
                <w:color w:val="auto"/>
                <w:w w:val="98"/>
              </w:rPr>
              <w:t>$34.10</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January 3,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6" w:lineRule="exact"/>
        <w:rPr>
          <w:sz w:val="20"/>
          <w:szCs w:val="20"/>
          <w:color w:val="auto"/>
        </w:rPr>
      </w:pPr>
    </w:p>
    <w:p>
      <w:pPr>
        <w:ind w:left="340" w:hanging="332"/>
        <w:spacing w:after="0" w:line="22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on the last day of each calendar quarter during the three-year period thereafter, subject to the holder’s continued employment with us through the applicable vesting date and potential accelerated vesting as described in the section titled “Employment Agreements.”</w:t>
      </w:r>
    </w:p>
    <w:p>
      <w:pPr>
        <w:spacing w:after="0" w:line="27" w:lineRule="exact"/>
        <w:rPr>
          <w:rFonts w:ascii="Arial" w:cs="Arial" w:eastAsia="Arial" w:hAnsi="Arial"/>
          <w:sz w:val="14"/>
          <w:szCs w:val="14"/>
          <w:color w:val="auto"/>
        </w:rPr>
      </w:pPr>
    </w:p>
    <w:p>
      <w:pPr>
        <w:ind w:left="340" w:hanging="332"/>
        <w:spacing w:after="0" w:line="22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Option vests as to 25% of the total shares subject to the option on the first anniversary of the vesting commencement date, and as to 6.25% of the shares subject to the option upon each consecutive three months of service during the three-year period thereafter, subject to the holder’s continued employment with us through the applicable vesting date and potential accelerated vesting as described in the section titled “Employment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We have entered into employment agreements with each of our NEOs. Certain key terms of these agreements are described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Roger J. Pomerantz, M.D.</w:t>
      </w:r>
    </w:p>
    <w:p>
      <w:pPr>
        <w:spacing w:after="0" w:line="9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employment agreement with Dr. Pomerantz entitles him to an initial annual base salary of $464,100, subject to periodic review and adjustment by our board of directors or Compensation Committee, and an annual target bonus opportunity of 50% of his annual base salary.</w:t>
      </w:r>
    </w:p>
    <w:p>
      <w:pPr>
        <w:spacing w:after="0" w:line="4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the event Dr. Pomerantz’s employment is terminated by us without cause or he resigns for good reason, subject to his timely executing a release of claims in our favor, he is entitled to receive 12 months of continued base salary and up to 12 months of continued medical, dental or vision coverage pursuant to COBRA, if elected. If the termination occurs within 60 days prior to or 12 months following a change in control, Dr. Pomerantz is also entitled to accelerated vesting of his time-based equity awards. On February 3, 2016, Dr. Pomerantz’s employment agreement was amended to provide that, upon such termination within 60 days prior to or 12 months following a change in control, in addition to accelerated vesting of his time-based equity awards, Dr. Pomerantz will also be entitled to receive 18 months of continued base salary and up to 18 months of continued medical, dental or vision coverage pursuant to COBRA, if elected.</w:t>
      </w:r>
    </w:p>
    <w:p>
      <w:pPr>
        <w:spacing w:after="0" w:line="5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Dr. Pomerantz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employment agreement:</w:t>
      </w:r>
    </w:p>
    <w:p>
      <w:pPr>
        <w:spacing w:after="0" w:line="77" w:lineRule="exact"/>
        <w:rPr>
          <w:sz w:val="20"/>
          <w:szCs w:val="20"/>
          <w:color w:val="auto"/>
        </w:rPr>
      </w:pPr>
    </w:p>
    <w:p>
      <w:pPr>
        <w:ind w:left="900" w:right="40" w:hanging="325"/>
        <w:spacing w:after="0" w:line="23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“Cause” generally means Dr. Pomerantz’s (i) failure to substantially perform his duties with us (other than due to disability) or materially comply with our policies; (ii) material failure to carry out or comply with any lawful and reasonable directive of our board of directors; (iii) breach of a material provision of his employment agreement; (iv) conviction, plea of no contest or imposition of unadjudicated probation for any felony or crime involving moral turpitude;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36" w:lineRule="exact"/>
        <w:rPr>
          <w:sz w:val="20"/>
          <w:szCs w:val="20"/>
          <w:color w:val="auto"/>
        </w:rPr>
      </w:pPr>
    </w:p>
    <w:p>
      <w:pPr>
        <w:ind w:left="920" w:right="220" w:hanging="7"/>
        <w:spacing w:after="0"/>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unlawful use (including being under the influence) or possession of illegal drugs on our (or our affiliate’s) premises or while performing his duties and responsibilities under his employment agreement; or (vi) commission of an act of fraud, embezzlement, misappropriation, willful misconduct or breach of fiduciary duty against us or any of our affiliates.</w:t>
      </w:r>
    </w:p>
    <w:p>
      <w:pPr>
        <w:spacing w:after="0" w:line="27"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 reason” generally means, subject to certain notice requirements and cure rights, without Dr. Pomerantz’s consent, (i) a reduction in his base salary (except for a reduction of less than 10% contemporaneously affecting other senior executives); (ii) a material reduction in his authority or areas of responsibility; or (iii) a relocation of his primary office more than 50 miles outside of the Boston metropolitan area.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Thomas J. DesRosier and Wael Hashad</w:t>
      </w:r>
    </w:p>
    <w:p>
      <w:pPr>
        <w:spacing w:after="0" w:line="99"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 employment agreements with Messrs. DesRosier and Hashad entitle them to initial annual base salaries of $390,000 and $340,000, respectively, subject to periodic review and adjustment by our board of directors or Compensation Committee, and annual target bonus opportunities of 40% of their annual base salaries.</w:t>
      </w:r>
    </w:p>
    <w:p>
      <w:pPr>
        <w:spacing w:after="0" w:line="5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Mr. Hashad was also entitled to receive reimbursement of reasonable moving expenses incurred prior to December 1, 2016 in connection with the relocation of his primary residence to the Cambridge, Massachusetts area, as well reimbursement of all related income and employment taxes. Mr. Hashad may be required to repay any relocation assistance or gross-up payment that he receives if his employment is terminated prior to the second anniversary of the date that he commenced employment.</w:t>
      </w:r>
    </w:p>
    <w:p>
      <w:pPr>
        <w:spacing w:after="0" w:line="5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In the event either of Messrs. DesRosier and Hashad is terminated by us without cause or he resigns for good reason, subject to his timely executing a release of claims in our favor, he is entitled to receive 12 months of continued base salary and up to 12 months of continued medical, dental or vision coverage pursuant to COBRA, if elected. If either of Messrs. DesRosier and Hashad’s termination occurs within 60 days prior to or 12 months following a change in control, he is also entitled to accelerated vesting of his time-based equity awards.</w:t>
      </w:r>
    </w:p>
    <w:p>
      <w:pPr>
        <w:spacing w:after="0" w:line="6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Each of Messrs. DesRosier and Hashad has agreed to refrain from disclosing our confidential information during or at any time following his employment with us and from competing with us or soliciting our employees or consultants for 12 months following termination of his employment.</w:t>
      </w:r>
    </w:p>
    <w:p>
      <w:pPr>
        <w:spacing w:after="0" w:line="54" w:lineRule="exact"/>
        <w:rPr>
          <w:sz w:val="20"/>
          <w:szCs w:val="20"/>
          <w:color w:val="auto"/>
        </w:rPr>
      </w:pPr>
    </w:p>
    <w:p>
      <w:pPr>
        <w:ind w:right="720"/>
        <w:spacing w:after="0" w:line="246" w:lineRule="auto"/>
        <w:rPr>
          <w:sz w:val="20"/>
          <w:szCs w:val="20"/>
          <w:color w:val="auto"/>
        </w:rPr>
      </w:pPr>
      <w:r>
        <w:rPr>
          <w:rFonts w:ascii="Arial" w:cs="Arial" w:eastAsia="Arial" w:hAnsi="Arial"/>
          <w:sz w:val="18"/>
          <w:szCs w:val="18"/>
          <w:color w:val="auto"/>
        </w:rPr>
        <w:t>For purposes of the employment agreements, “cause” and “good reason” have the same meanings as in Dr. Pomerantz’s employment agreement.</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Directors who are also our employees do not receive compensation for their service on our board of directors. Dr. Pomerantz served as a director and executive officer of our company during 2016. Refer to the 2016 Summary Compensation Table and related narrative disclosure above for information regarding the compensation he received from us during 2016.</w:t>
      </w:r>
    </w:p>
    <w:p>
      <w:pPr>
        <w:spacing w:after="0" w:line="54"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We maintain a compensation program for our non-employee directors providing for each non-employee director to receive the following amounts for serving on our board of directors:</w:t>
      </w:r>
    </w:p>
    <w:p>
      <w:pPr>
        <w:spacing w:after="0" w:line="62" w:lineRule="exact"/>
        <w:rPr>
          <w:sz w:val="20"/>
          <w:szCs w:val="20"/>
          <w:color w:val="auto"/>
        </w:rPr>
      </w:pPr>
    </w:p>
    <w:p>
      <w:pPr>
        <w:ind w:left="900" w:right="720" w:hanging="325"/>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option to purchase 30,000 shares of our common stock upon the director’s initial election or appointment to our board of directors;</w:t>
      </w:r>
    </w:p>
    <w:p>
      <w:pPr>
        <w:spacing w:after="0" w:line="21" w:lineRule="exact"/>
        <w:rPr>
          <w:rFonts w:ascii="Arial" w:cs="Arial" w:eastAsia="Arial" w:hAnsi="Arial"/>
          <w:sz w:val="18"/>
          <w:szCs w:val="18"/>
          <w:color w:val="auto"/>
        </w:rPr>
      </w:pPr>
    </w:p>
    <w:p>
      <w:pPr>
        <w:ind w:left="900" w:right="280" w:hanging="325"/>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director has served on our board of directors for at least six months as of the date of an annual meeting of stockholders, an option to purchase 15,000 shares of our common stock on the date of the annual meeting;</w:t>
      </w:r>
    </w:p>
    <w:p>
      <w:pPr>
        <w:spacing w:after="0" w:line="21" w:lineRule="exact"/>
        <w:rPr>
          <w:rFonts w:ascii="Arial" w:cs="Arial" w:eastAsia="Arial" w:hAnsi="Arial"/>
          <w:sz w:val="18"/>
          <w:szCs w:val="18"/>
          <w:color w:val="auto"/>
        </w:rPr>
      </w:pPr>
    </w:p>
    <w:p>
      <w:pPr>
        <w:ind w:left="900" w:right="220" w:hanging="325"/>
        <w:spacing w:after="0" w:line="24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director fee of $35,000, and if the director serves as chairman of our board of directors or lead independent director, an additional annual director fee of $20,000; and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7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director serves on a committee of our board of directors, an additional annual fee as follows:</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audit committee—$15,000;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audit committee member other than the chairman—$7,500;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compensation committee—$10,000;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compensation committee member other than the chairman—$5,000;</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of the nominating and corporate governance committee—$7,000; and</w:t>
      </w:r>
    </w:p>
    <w:p>
      <w:pPr>
        <w:spacing w:after="0" w:line="49" w:lineRule="exact"/>
        <w:rPr>
          <w:rFonts w:ascii="Arial" w:cs="Arial" w:eastAsia="Arial" w:hAnsi="Arial"/>
          <w:sz w:val="18"/>
          <w:szCs w:val="18"/>
          <w:color w:val="auto"/>
        </w:rPr>
      </w:pPr>
    </w:p>
    <w:p>
      <w:pPr>
        <w:ind w:left="1120" w:hanging="207"/>
        <w:spacing w:after="0"/>
        <w:tabs>
          <w:tab w:leader="none" w:pos="11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nominating and corporate governance committee member other than the chairman—$3,500.</w:t>
      </w:r>
    </w:p>
    <w:p>
      <w:pPr>
        <w:spacing w:after="0" w:line="5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Stock options granted to our non-employee directors under the program have an exercise price equal to the fair market value of our common stock on the grant date. The stock options granted upon a director’s initial election or appointment vest in four annual installments following the grant date. The stock options granted annually to directors vest in a single installment on the earlier of the day before the next annual meeting of stockholders or the first anniversary of the grant date. In addition, all unvested stock options vest in full immediately prior to a change in control.</w:t>
      </w:r>
    </w:p>
    <w:p>
      <w:pPr>
        <w:spacing w:after="0" w:line="54"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2016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180" w:type="dxa"/>
            <w:vAlign w:val="bottom"/>
            <w:shd w:val="clear" w:color="auto" w:fill="D8D8D8"/>
          </w:tcPr>
          <w:p>
            <w:pPr>
              <w:spacing w:after="0"/>
              <w:rPr>
                <w:sz w:val="15"/>
                <w:szCs w:val="15"/>
                <w:color w:val="auto"/>
              </w:rPr>
            </w:pPr>
          </w:p>
        </w:tc>
        <w:tc>
          <w:tcPr>
            <w:tcW w:w="2600" w:type="dxa"/>
            <w:vAlign w:val="bottom"/>
            <w:tcBorders>
              <w:bottom w:val="single" w:sz="8" w:color="auto"/>
            </w:tcBorders>
            <w:gridSpan w:val="2"/>
            <w:shd w:val="clear" w:color="auto" w:fill="D8D8D8"/>
          </w:tcPr>
          <w:p>
            <w:pPr>
              <w:ind w:left="160"/>
              <w:spacing w:after="0"/>
              <w:rPr>
                <w:sz w:val="20"/>
                <w:szCs w:val="20"/>
                <w:color w:val="auto"/>
              </w:rPr>
            </w:pPr>
            <w:r>
              <w:rPr>
                <w:rFonts w:ascii="Arial" w:cs="Arial" w:eastAsia="Arial" w:hAnsi="Arial"/>
                <w:sz w:val="14"/>
                <w:szCs w:val="14"/>
                <w:b w:val="1"/>
                <w:bCs w:val="1"/>
                <w:color w:val="auto"/>
              </w:rPr>
              <w:t>Fees Earned or Paid in Cash ($)</w:t>
            </w:r>
          </w:p>
        </w:tc>
        <w:tc>
          <w:tcPr>
            <w:tcW w:w="1940" w:type="dxa"/>
            <w:vAlign w:val="bottom"/>
            <w:tcBorders>
              <w:bottom w:val="single" w:sz="8" w:color="auto"/>
            </w:tcBorders>
            <w:gridSpan w:val="2"/>
            <w:shd w:val="clear" w:color="auto" w:fill="D8D8D8"/>
          </w:tcPr>
          <w:p>
            <w:pPr>
              <w:ind w:left="10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1"/>
                <w:szCs w:val="11"/>
                <w:b w:val="1"/>
                <w:bCs w:val="1"/>
                <w:color w:val="auto"/>
              </w:rPr>
              <w:t>(2)</w:t>
            </w:r>
          </w:p>
        </w:tc>
        <w:tc>
          <w:tcPr>
            <w:tcW w:w="140" w:type="dxa"/>
            <w:vAlign w:val="bottom"/>
            <w:shd w:val="clear" w:color="auto" w:fill="D8D8D8"/>
          </w:tcPr>
          <w:p>
            <w:pPr>
              <w:spacing w:after="0"/>
              <w:rPr>
                <w:sz w:val="15"/>
                <w:szCs w:val="15"/>
                <w:color w:val="auto"/>
              </w:rPr>
            </w:pPr>
          </w:p>
        </w:tc>
        <w:tc>
          <w:tcPr>
            <w:tcW w:w="200" w:type="dxa"/>
            <w:vAlign w:val="bottom"/>
            <w:tcBorders>
              <w:bottom w:val="single" w:sz="8" w:color="auto"/>
            </w:tcBorders>
            <w:shd w:val="clear" w:color="auto" w:fill="D8D8D8"/>
          </w:tcPr>
          <w:p>
            <w:pPr>
              <w:spacing w:after="0"/>
              <w:rPr>
                <w:sz w:val="15"/>
                <w:szCs w:val="15"/>
                <w:color w:val="auto"/>
              </w:rPr>
            </w:pPr>
          </w:p>
        </w:tc>
        <w:tc>
          <w:tcPr>
            <w:tcW w:w="920" w:type="dxa"/>
            <w:vAlign w:val="bottom"/>
            <w:tcBorders>
              <w:bottom w:val="single" w:sz="8" w:color="auto"/>
            </w:tcBorders>
            <w:shd w:val="clear" w:color="auto" w:fill="D8D8D8"/>
          </w:tcPr>
          <w:p>
            <w:pPr>
              <w:jc w:val="right"/>
              <w:ind w:right="212"/>
              <w:spacing w:after="0"/>
              <w:rPr>
                <w:sz w:val="20"/>
                <w:szCs w:val="20"/>
                <w:color w:val="auto"/>
              </w:rPr>
            </w:pPr>
            <w:r>
              <w:rPr>
                <w:rFonts w:ascii="Arial" w:cs="Arial" w:eastAsia="Arial" w:hAnsi="Arial"/>
                <w:sz w:val="14"/>
                <w:szCs w:val="14"/>
                <w:b w:val="1"/>
                <w:bCs w:val="1"/>
                <w:color w:val="auto"/>
              </w:rPr>
              <w:t>Total ($)</w:t>
            </w:r>
          </w:p>
        </w:tc>
        <w:tc>
          <w:tcPr>
            <w:tcW w:w="60" w:type="dxa"/>
            <w:vAlign w:val="bottom"/>
            <w:shd w:val="clear" w:color="auto" w:fill="D8D8D8"/>
          </w:tcPr>
          <w:p>
            <w:pPr>
              <w:spacing w:after="0"/>
              <w:rPr>
                <w:sz w:val="15"/>
                <w:szCs w:val="15"/>
                <w:color w:val="auto"/>
              </w:rPr>
            </w:pPr>
          </w:p>
        </w:tc>
      </w:tr>
      <w:tr>
        <w:trPr>
          <w:trHeight w:val="250"/>
        </w:trPr>
        <w:tc>
          <w:tcPr>
            <w:tcW w:w="5380" w:type="dxa"/>
            <w:vAlign w:val="bottom"/>
          </w:tcPr>
          <w:p>
            <w:pPr>
              <w:ind w:left="100"/>
              <w:spacing w:after="0"/>
              <w:rPr>
                <w:sz w:val="20"/>
                <w:szCs w:val="20"/>
                <w:color w:val="auto"/>
              </w:rPr>
            </w:pPr>
            <w:r>
              <w:rPr>
                <w:rFonts w:ascii="Arial" w:cs="Arial" w:eastAsia="Arial" w:hAnsi="Arial"/>
                <w:sz w:val="18"/>
                <w:szCs w:val="18"/>
                <w:color w:val="auto"/>
              </w:rPr>
              <w:t>Noubar B. Afeyan, Ph.D.</w:t>
            </w:r>
          </w:p>
        </w:tc>
        <w:tc>
          <w:tcPr>
            <w:tcW w:w="180" w:type="dxa"/>
            <w:vAlign w:val="bottom"/>
          </w:tcPr>
          <w:p>
            <w:pPr>
              <w:spacing w:after="0"/>
              <w:rPr>
                <w:sz w:val="21"/>
                <w:szCs w:val="21"/>
                <w:color w:val="auto"/>
              </w:rPr>
            </w:pP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66,750</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387,189</w:t>
            </w:r>
          </w:p>
        </w:tc>
        <w:tc>
          <w:tcPr>
            <w:tcW w:w="60" w:type="dxa"/>
            <w:vAlign w:val="bottom"/>
          </w:tcPr>
          <w:p>
            <w:pPr>
              <w:spacing w:after="0"/>
              <w:rPr>
                <w:sz w:val="21"/>
                <w:szCs w:val="21"/>
                <w:color w:val="auto"/>
              </w:rPr>
            </w:pPr>
          </w:p>
        </w:tc>
      </w:tr>
      <w:tr>
        <w:trPr>
          <w:trHeight w:val="257"/>
        </w:trPr>
        <w:tc>
          <w:tcPr>
            <w:tcW w:w="556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Peter Barton Hutt</w:t>
            </w:r>
          </w:p>
        </w:tc>
        <w:tc>
          <w:tcPr>
            <w:tcW w:w="11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47,000</w:t>
            </w:r>
          </w:p>
        </w:tc>
        <w:tc>
          <w:tcPr>
            <w:tcW w:w="7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367,439</w:t>
            </w:r>
          </w:p>
        </w:tc>
        <w:tc>
          <w:tcPr>
            <w:tcW w:w="60" w:type="dxa"/>
            <w:vAlign w:val="bottom"/>
            <w:shd w:val="clear" w:color="auto" w:fill="D8D8D8"/>
          </w:tcPr>
          <w:p>
            <w:pPr>
              <w:spacing w:after="0"/>
              <w:rPr>
                <w:sz w:val="22"/>
                <w:szCs w:val="22"/>
                <w:color w:val="auto"/>
              </w:rPr>
            </w:pPr>
          </w:p>
        </w:tc>
      </w:tr>
      <w:tr>
        <w:trPr>
          <w:trHeight w:val="257"/>
        </w:trPr>
        <w:tc>
          <w:tcPr>
            <w:tcW w:w="5560" w:type="dxa"/>
            <w:vAlign w:val="bottom"/>
            <w:gridSpan w:val="2"/>
          </w:tcPr>
          <w:p>
            <w:pPr>
              <w:ind w:left="100"/>
              <w:spacing w:after="0"/>
              <w:rPr>
                <w:sz w:val="20"/>
                <w:szCs w:val="20"/>
                <w:color w:val="auto"/>
              </w:rPr>
            </w:pPr>
            <w:r>
              <w:rPr>
                <w:rFonts w:ascii="Arial" w:cs="Arial" w:eastAsia="Arial" w:hAnsi="Arial"/>
                <w:sz w:val="18"/>
                <w:szCs w:val="18"/>
                <w:color w:val="auto"/>
              </w:rPr>
              <w:t>Lorence H. Kim, M.D.</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42,250</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362,689</w:t>
            </w:r>
          </w:p>
        </w:tc>
        <w:tc>
          <w:tcPr>
            <w:tcW w:w="60" w:type="dxa"/>
            <w:vAlign w:val="bottom"/>
          </w:tcPr>
          <w:p>
            <w:pPr>
              <w:spacing w:after="0"/>
              <w:rPr>
                <w:sz w:val="22"/>
                <w:szCs w:val="22"/>
                <w:color w:val="auto"/>
              </w:rPr>
            </w:pPr>
          </w:p>
        </w:tc>
      </w:tr>
      <w:tr>
        <w:trPr>
          <w:trHeight w:val="257"/>
        </w:trPr>
        <w:tc>
          <w:tcPr>
            <w:tcW w:w="556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Richard N. Kender</w:t>
            </w:r>
          </w:p>
        </w:tc>
        <w:tc>
          <w:tcPr>
            <w:tcW w:w="11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55,000</w:t>
            </w:r>
          </w:p>
        </w:tc>
        <w:tc>
          <w:tcPr>
            <w:tcW w:w="7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375,439</w:t>
            </w:r>
          </w:p>
        </w:tc>
        <w:tc>
          <w:tcPr>
            <w:tcW w:w="60" w:type="dxa"/>
            <w:vAlign w:val="bottom"/>
            <w:shd w:val="clear" w:color="auto" w:fill="D8D8D8"/>
          </w:tcPr>
          <w:p>
            <w:pPr>
              <w:spacing w:after="0"/>
              <w:rPr>
                <w:sz w:val="22"/>
                <w:szCs w:val="22"/>
                <w:color w:val="auto"/>
              </w:rPr>
            </w:pPr>
          </w:p>
        </w:tc>
      </w:tr>
      <w:tr>
        <w:trPr>
          <w:trHeight w:val="257"/>
        </w:trPr>
        <w:tc>
          <w:tcPr>
            <w:tcW w:w="5560" w:type="dxa"/>
            <w:vAlign w:val="bottom"/>
            <w:gridSpan w:val="2"/>
          </w:tcPr>
          <w:p>
            <w:pPr>
              <w:ind w:left="100"/>
              <w:spacing w:after="0"/>
              <w:rPr>
                <w:sz w:val="20"/>
                <w:szCs w:val="20"/>
                <w:color w:val="auto"/>
              </w:rPr>
            </w:pPr>
            <w:r>
              <w:rPr>
                <w:rFonts w:ascii="Arial" w:cs="Arial" w:eastAsia="Arial" w:hAnsi="Arial"/>
                <w:sz w:val="18"/>
                <w:szCs w:val="18"/>
                <w:color w:val="auto"/>
              </w:rPr>
              <w:t>Grégory Behar</w:t>
            </w:r>
            <w:r>
              <w:rPr>
                <w:rFonts w:ascii="Arial" w:cs="Arial" w:eastAsia="Arial" w:hAnsi="Arial"/>
                <w:sz w:val="15"/>
                <w:szCs w:val="15"/>
                <w:color w:val="auto"/>
              </w:rPr>
              <w:t>(1)</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35,000</w:t>
            </w:r>
          </w:p>
        </w:tc>
        <w:tc>
          <w:tcPr>
            <w:tcW w:w="7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c>
          <w:tcPr>
            <w:tcW w:w="60" w:type="dxa"/>
            <w:vAlign w:val="bottom"/>
          </w:tcPr>
          <w:p>
            <w:pPr>
              <w:spacing w:after="0"/>
              <w:rPr>
                <w:sz w:val="22"/>
                <w:szCs w:val="22"/>
                <w:color w:val="auto"/>
              </w:rPr>
            </w:pPr>
          </w:p>
        </w:tc>
      </w:tr>
      <w:tr>
        <w:trPr>
          <w:trHeight w:val="257"/>
        </w:trPr>
        <w:tc>
          <w:tcPr>
            <w:tcW w:w="556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Dennis A. Ausiello, M.D.</w:t>
            </w:r>
          </w:p>
        </w:tc>
        <w:tc>
          <w:tcPr>
            <w:tcW w:w="11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42,250</w:t>
            </w:r>
          </w:p>
        </w:tc>
        <w:tc>
          <w:tcPr>
            <w:tcW w:w="7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shd w:val="clear" w:color="auto" w:fill="D8D8D8"/>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362,689</w:t>
            </w:r>
          </w:p>
        </w:tc>
        <w:tc>
          <w:tcPr>
            <w:tcW w:w="60" w:type="dxa"/>
            <w:vAlign w:val="bottom"/>
            <w:shd w:val="clear" w:color="auto" w:fill="D8D8D8"/>
          </w:tcPr>
          <w:p>
            <w:pPr>
              <w:spacing w:after="0"/>
              <w:rPr>
                <w:sz w:val="22"/>
                <w:szCs w:val="22"/>
                <w:color w:val="auto"/>
              </w:rPr>
            </w:pPr>
          </w:p>
        </w:tc>
      </w:tr>
      <w:tr>
        <w:trPr>
          <w:trHeight w:val="257"/>
        </w:trPr>
        <w:tc>
          <w:tcPr>
            <w:tcW w:w="5560" w:type="dxa"/>
            <w:vAlign w:val="bottom"/>
            <w:gridSpan w:val="2"/>
          </w:tcPr>
          <w:p>
            <w:pPr>
              <w:ind w:left="100"/>
              <w:spacing w:after="0"/>
              <w:rPr>
                <w:sz w:val="20"/>
                <w:szCs w:val="20"/>
                <w:color w:val="auto"/>
              </w:rPr>
            </w:pPr>
            <w:r>
              <w:rPr>
                <w:rFonts w:ascii="Arial" w:cs="Arial" w:eastAsia="Arial" w:hAnsi="Arial"/>
                <w:sz w:val="18"/>
                <w:szCs w:val="18"/>
                <w:color w:val="auto"/>
              </w:rPr>
              <w:t>Kurt C. Graves</w:t>
            </w:r>
          </w:p>
        </w:tc>
        <w:tc>
          <w:tcPr>
            <w:tcW w:w="1100" w:type="dxa"/>
            <w:vAlign w:val="bottom"/>
          </w:tcPr>
          <w:p>
            <w:pPr>
              <w:ind w:left="16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38,750</w:t>
            </w:r>
          </w:p>
        </w:tc>
        <w:tc>
          <w:tcPr>
            <w:tcW w:w="720" w:type="dxa"/>
            <w:vAlign w:val="bottom"/>
          </w:tcPr>
          <w:p>
            <w:pPr>
              <w:ind w:lef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320,439</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359,189</w:t>
            </w:r>
          </w:p>
        </w:tc>
        <w:tc>
          <w:tcPr>
            <w:tcW w:w="60" w:type="dxa"/>
            <w:vAlign w:val="bottom"/>
          </w:tcPr>
          <w:p>
            <w:pPr>
              <w:spacing w:after="0"/>
              <w:rPr>
                <w:sz w:val="22"/>
                <w:szCs w:val="22"/>
                <w:color w:val="auto"/>
              </w:rPr>
            </w:pPr>
          </w:p>
        </w:tc>
      </w:tr>
      <w:tr>
        <w:trPr>
          <w:trHeight w:val="203"/>
        </w:trPr>
        <w:tc>
          <w:tcPr>
            <w:tcW w:w="5560" w:type="dxa"/>
            <w:vAlign w:val="bottom"/>
            <w:gridSpan w:val="2"/>
            <w:shd w:val="clear" w:color="auto" w:fill="D8D8D8"/>
          </w:tcPr>
          <w:p>
            <w:pPr>
              <w:ind w:left="100"/>
              <w:spacing w:after="0" w:line="202" w:lineRule="exact"/>
              <w:rPr>
                <w:sz w:val="20"/>
                <w:szCs w:val="20"/>
                <w:color w:val="auto"/>
              </w:rPr>
            </w:pPr>
            <w:r>
              <w:rPr>
                <w:rFonts w:ascii="Arial" w:cs="Arial" w:eastAsia="Arial" w:hAnsi="Arial"/>
                <w:sz w:val="18"/>
                <w:szCs w:val="18"/>
                <w:color w:val="auto"/>
              </w:rPr>
              <w:t>Werner Cautreels, Ph.D</w:t>
            </w:r>
            <w:r>
              <w:rPr>
                <w:rFonts w:ascii="Arial" w:cs="Arial" w:eastAsia="Arial" w:hAnsi="Arial"/>
                <w:sz w:val="15"/>
                <w:szCs w:val="15"/>
                <w:color w:val="auto"/>
              </w:rPr>
              <w:t>(3)</w:t>
            </w:r>
          </w:p>
        </w:tc>
        <w:tc>
          <w:tcPr>
            <w:tcW w:w="1100" w:type="dxa"/>
            <w:vAlign w:val="bottom"/>
            <w:shd w:val="clear" w:color="auto" w:fill="D8D8D8"/>
          </w:tcPr>
          <w:p>
            <w:pPr>
              <w:ind w:left="16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30"/>
              <w:spacing w:after="0" w:line="202" w:lineRule="exact"/>
              <w:rPr>
                <w:sz w:val="20"/>
                <w:szCs w:val="20"/>
                <w:color w:val="auto"/>
              </w:rPr>
            </w:pPr>
            <w:r>
              <w:rPr>
                <w:rFonts w:ascii="Arial" w:cs="Arial" w:eastAsia="Arial" w:hAnsi="Arial"/>
                <w:sz w:val="18"/>
                <w:szCs w:val="18"/>
                <w:color w:val="auto"/>
              </w:rPr>
              <w:t>18,571</w:t>
            </w:r>
          </w:p>
        </w:tc>
        <w:tc>
          <w:tcPr>
            <w:tcW w:w="720" w:type="dxa"/>
            <w:vAlign w:val="bottom"/>
            <w:shd w:val="clear" w:color="auto" w:fill="D8D8D8"/>
          </w:tcPr>
          <w:p>
            <w:pPr>
              <w:spacing w:after="0"/>
              <w:rPr>
                <w:sz w:val="17"/>
                <w:szCs w:val="17"/>
                <w:color w:val="auto"/>
              </w:rPr>
            </w:pPr>
          </w:p>
        </w:tc>
        <w:tc>
          <w:tcPr>
            <w:tcW w:w="12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D8D8D8"/>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18,571</w:t>
            </w:r>
          </w:p>
        </w:tc>
        <w:tc>
          <w:tcPr>
            <w:tcW w:w="60" w:type="dxa"/>
            <w:vAlign w:val="bottom"/>
            <w:shd w:val="clear" w:color="auto" w:fill="D8D8D8"/>
          </w:tcPr>
          <w:p>
            <w:pPr>
              <w:spacing w:after="0"/>
              <w:rPr>
                <w:sz w:val="17"/>
                <w:szCs w:val="17"/>
                <w:color w:val="auto"/>
              </w:rPr>
            </w:pPr>
          </w:p>
        </w:tc>
      </w:tr>
      <w:tr>
        <w:trPr>
          <w:trHeight w:val="54"/>
        </w:trPr>
        <w:tc>
          <w:tcPr>
            <w:tcW w:w="5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-1328420</wp:posOffset>
            </wp:positionV>
            <wp:extent cx="260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Behar elected to waive all non-cash compensation payable to him for his service on our board of directors during 2016.</w:t>
      </w:r>
    </w:p>
    <w:p>
      <w:pPr>
        <w:spacing w:after="0" w:line="28" w:lineRule="exact"/>
        <w:rPr>
          <w:rFonts w:ascii="Arial" w:cs="Arial" w:eastAsia="Arial" w:hAnsi="Arial"/>
          <w:sz w:val="14"/>
          <w:szCs w:val="14"/>
          <w:color w:val="auto"/>
        </w:rPr>
      </w:pPr>
    </w:p>
    <w:p>
      <w:pPr>
        <w:ind w:left="340" w:right="100" w:hanging="332"/>
        <w:spacing w:after="0" w:line="22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aggregate grant date fair value of the option awards granted during 2016 computed in accordance with FASB ASC Topic 718. For a description of the assumptions used in valuing these awards, see Note 9 to our audited consolidated financial statements included in this Annual Report. The table below shows the number of option awards held as of December 31, 2016 by each of our directors who are not NEOs. None of our directors held unvested stock awards as of that date.</w:t>
      </w:r>
    </w:p>
    <w:p>
      <w:pPr>
        <w:spacing w:after="0" w:line="27"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Cautreels served on our Board until June 14, 2016.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0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Name</w:t>
            </w:r>
          </w:p>
        </w:tc>
        <w:tc>
          <w:tcPr>
            <w:tcW w:w="7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4"/>
                <w:szCs w:val="14"/>
                <w:b w:val="1"/>
                <w:bCs w:val="1"/>
                <w:color w:val="auto"/>
              </w:rPr>
              <w:t>Stock Options (#)</w:t>
            </w:r>
          </w:p>
        </w:tc>
      </w:tr>
      <w:tr>
        <w:trPr>
          <w:trHeight w:val="196"/>
        </w:trPr>
        <w:tc>
          <w:tcPr>
            <w:tcW w:w="3600" w:type="dxa"/>
            <w:vAlign w:val="bottom"/>
          </w:tcPr>
          <w:p>
            <w:pPr>
              <w:ind w:left="80"/>
              <w:spacing w:after="0"/>
              <w:rPr>
                <w:sz w:val="20"/>
                <w:szCs w:val="20"/>
                <w:color w:val="auto"/>
              </w:rPr>
            </w:pPr>
            <w:r>
              <w:rPr>
                <w:rFonts w:ascii="Arial" w:cs="Arial" w:eastAsia="Arial" w:hAnsi="Arial"/>
                <w:sz w:val="14"/>
                <w:szCs w:val="14"/>
                <w:color w:val="auto"/>
              </w:rPr>
              <w:t>Noubar B. Afeyan, Ph.D.</w:t>
            </w:r>
          </w:p>
        </w:tc>
        <w:tc>
          <w:tcPr>
            <w:tcW w:w="7820" w:type="dxa"/>
            <w:vAlign w:val="bottom"/>
          </w:tcPr>
          <w:p>
            <w:pPr>
              <w:jc w:val="right"/>
              <w:ind w:right="12"/>
              <w:spacing w:after="0"/>
              <w:rPr>
                <w:sz w:val="20"/>
                <w:szCs w:val="20"/>
                <w:color w:val="auto"/>
              </w:rPr>
            </w:pPr>
            <w:r>
              <w:rPr>
                <w:rFonts w:ascii="Arial" w:cs="Arial" w:eastAsia="Arial" w:hAnsi="Arial"/>
                <w:sz w:val="14"/>
                <w:szCs w:val="14"/>
                <w:color w:val="auto"/>
              </w:rPr>
              <w:t>30,000</w:t>
            </w:r>
          </w:p>
        </w:tc>
      </w:tr>
      <w:tr>
        <w:trPr>
          <w:trHeight w:val="203"/>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Peter Barton Hutt</w:t>
            </w:r>
          </w:p>
        </w:tc>
        <w:tc>
          <w:tcPr>
            <w:tcW w:w="782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80,000</w:t>
            </w:r>
          </w:p>
        </w:tc>
      </w:tr>
      <w:tr>
        <w:trPr>
          <w:trHeight w:val="203"/>
        </w:trPr>
        <w:tc>
          <w:tcPr>
            <w:tcW w:w="3600" w:type="dxa"/>
            <w:vAlign w:val="bottom"/>
          </w:tcPr>
          <w:p>
            <w:pPr>
              <w:ind w:left="80"/>
              <w:spacing w:after="0"/>
              <w:rPr>
                <w:sz w:val="20"/>
                <w:szCs w:val="20"/>
                <w:color w:val="auto"/>
              </w:rPr>
            </w:pPr>
            <w:r>
              <w:rPr>
                <w:rFonts w:ascii="Arial" w:cs="Arial" w:eastAsia="Arial" w:hAnsi="Arial"/>
                <w:sz w:val="14"/>
                <w:szCs w:val="14"/>
                <w:color w:val="auto"/>
              </w:rPr>
              <w:t>Lorence H. Kim, M.D.</w:t>
            </w:r>
          </w:p>
        </w:tc>
        <w:tc>
          <w:tcPr>
            <w:tcW w:w="7820" w:type="dxa"/>
            <w:vAlign w:val="bottom"/>
          </w:tcPr>
          <w:p>
            <w:pPr>
              <w:jc w:val="right"/>
              <w:ind w:right="12"/>
              <w:spacing w:after="0"/>
              <w:rPr>
                <w:sz w:val="20"/>
                <w:szCs w:val="20"/>
                <w:color w:val="auto"/>
              </w:rPr>
            </w:pPr>
            <w:r>
              <w:rPr>
                <w:rFonts w:ascii="Arial" w:cs="Arial" w:eastAsia="Arial" w:hAnsi="Arial"/>
                <w:sz w:val="14"/>
                <w:szCs w:val="14"/>
                <w:color w:val="auto"/>
              </w:rPr>
              <w:t>105,000</w:t>
            </w:r>
          </w:p>
        </w:tc>
      </w:tr>
      <w:tr>
        <w:trPr>
          <w:trHeight w:val="203"/>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Richard N. Kender</w:t>
            </w:r>
          </w:p>
        </w:tc>
        <w:tc>
          <w:tcPr>
            <w:tcW w:w="782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105,000</w:t>
            </w:r>
          </w:p>
        </w:tc>
      </w:tr>
      <w:tr>
        <w:trPr>
          <w:trHeight w:val="203"/>
        </w:trPr>
        <w:tc>
          <w:tcPr>
            <w:tcW w:w="3600" w:type="dxa"/>
            <w:vAlign w:val="bottom"/>
          </w:tcPr>
          <w:p>
            <w:pPr>
              <w:ind w:left="80"/>
              <w:spacing w:after="0"/>
              <w:rPr>
                <w:sz w:val="20"/>
                <w:szCs w:val="20"/>
                <w:color w:val="auto"/>
              </w:rPr>
            </w:pPr>
            <w:r>
              <w:rPr>
                <w:rFonts w:ascii="Arial" w:cs="Arial" w:eastAsia="Arial" w:hAnsi="Arial"/>
                <w:sz w:val="14"/>
                <w:szCs w:val="14"/>
                <w:color w:val="auto"/>
              </w:rPr>
              <w:t>Grégory Behar</w:t>
            </w:r>
          </w:p>
        </w:tc>
        <w:tc>
          <w:tcPr>
            <w:tcW w:w="782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03"/>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Dennis A. Ausiello, M.D.</w:t>
            </w:r>
          </w:p>
        </w:tc>
        <w:tc>
          <w:tcPr>
            <w:tcW w:w="782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90,000</w:t>
            </w:r>
          </w:p>
        </w:tc>
      </w:tr>
      <w:tr>
        <w:trPr>
          <w:trHeight w:val="203"/>
        </w:trPr>
        <w:tc>
          <w:tcPr>
            <w:tcW w:w="3600" w:type="dxa"/>
            <w:vAlign w:val="bottom"/>
          </w:tcPr>
          <w:p>
            <w:pPr>
              <w:ind w:left="80"/>
              <w:spacing w:after="0"/>
              <w:rPr>
                <w:sz w:val="20"/>
                <w:szCs w:val="20"/>
                <w:color w:val="auto"/>
              </w:rPr>
            </w:pPr>
            <w:r>
              <w:rPr>
                <w:rFonts w:ascii="Arial" w:cs="Arial" w:eastAsia="Arial" w:hAnsi="Arial"/>
                <w:sz w:val="14"/>
                <w:szCs w:val="14"/>
                <w:color w:val="auto"/>
              </w:rPr>
              <w:t>Kurt C. Graves</w:t>
            </w:r>
          </w:p>
        </w:tc>
        <w:tc>
          <w:tcPr>
            <w:tcW w:w="7820" w:type="dxa"/>
            <w:vAlign w:val="bottom"/>
          </w:tcPr>
          <w:p>
            <w:pPr>
              <w:jc w:val="right"/>
              <w:ind w:right="12"/>
              <w:spacing w:after="0"/>
              <w:rPr>
                <w:sz w:val="20"/>
                <w:szCs w:val="20"/>
                <w:color w:val="auto"/>
              </w:rPr>
            </w:pPr>
            <w:r>
              <w:rPr>
                <w:rFonts w:ascii="Arial" w:cs="Arial" w:eastAsia="Arial" w:hAnsi="Arial"/>
                <w:sz w:val="14"/>
                <w:szCs w:val="14"/>
                <w:color w:val="auto"/>
              </w:rPr>
              <w:t>45,000</w:t>
            </w:r>
          </w:p>
        </w:tc>
      </w:tr>
      <w:tr>
        <w:trPr>
          <w:trHeight w:val="203"/>
        </w:trPr>
        <w:tc>
          <w:tcPr>
            <w:tcW w:w="3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Werner Cautreels, Ph.D.</w:t>
            </w:r>
          </w:p>
        </w:tc>
        <w:tc>
          <w:tcPr>
            <w:tcW w:w="7820" w:type="dxa"/>
            <w:vAlign w:val="bottom"/>
            <w:shd w:val="clear" w:color="auto" w:fill="D8D8D8"/>
          </w:tcPr>
          <w:p>
            <w:pPr>
              <w:jc w:val="right"/>
              <w:ind w:right="12"/>
              <w:spacing w:after="0"/>
              <w:rPr>
                <w:sz w:val="20"/>
                <w:szCs w:val="20"/>
                <w:color w:val="auto"/>
              </w:rPr>
            </w:pPr>
            <w:r>
              <w:rPr>
                <w:rFonts w:ascii="Arial" w:cs="Arial" w:eastAsia="Arial" w:hAnsi="Arial"/>
                <w:sz w:val="14"/>
                <w:szCs w:val="14"/>
                <w:color w:val="auto"/>
              </w:rPr>
              <w:t>—</w:t>
            </w:r>
          </w:p>
        </w:tc>
      </w:tr>
      <w:tr>
        <w:trPr>
          <w:trHeight w:val="310"/>
        </w:trPr>
        <w:tc>
          <w:tcPr>
            <w:tcW w:w="3600" w:type="dxa"/>
            <w:vAlign w:val="bottom"/>
          </w:tcPr>
          <w:p>
            <w:pPr>
              <w:spacing w:after="0"/>
              <w:rPr>
                <w:sz w:val="24"/>
                <w:szCs w:val="24"/>
                <w:color w:val="auto"/>
              </w:rPr>
            </w:pPr>
          </w:p>
        </w:tc>
        <w:tc>
          <w:tcPr>
            <w:tcW w:w="7820" w:type="dxa"/>
            <w:vAlign w:val="bottom"/>
          </w:tcPr>
          <w:p>
            <w:pPr>
              <w:jc w:val="right"/>
              <w:ind w:right="5572"/>
              <w:spacing w:after="0"/>
              <w:rPr>
                <w:sz w:val="20"/>
                <w:szCs w:val="20"/>
                <w:color w:val="auto"/>
              </w:rPr>
            </w:pPr>
            <w:r>
              <w:rPr>
                <w:rFonts w:ascii="Arial" w:cs="Arial" w:eastAsia="Arial" w:hAnsi="Arial"/>
                <w:sz w:val="14"/>
                <w:szCs w:val="14"/>
                <w:color w:val="auto"/>
              </w:rPr>
              <w:t>29</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EXECUTIVE AND DIRECTOR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on our equity compensation plans as of December 31, 2016.</w:t>
      </w:r>
    </w:p>
    <w:p>
      <w:pPr>
        <w:spacing w:after="0" w:line="226" w:lineRule="exact"/>
        <w:rPr>
          <w:sz w:val="20"/>
          <w:szCs w:val="20"/>
          <w:color w:val="auto"/>
        </w:rPr>
      </w:pPr>
    </w:p>
    <w:p>
      <w:pPr>
        <w:ind w:left="2840"/>
        <w:spacing w:after="0"/>
        <w:rPr>
          <w:sz w:val="20"/>
          <w:szCs w:val="20"/>
          <w:color w:val="auto"/>
        </w:rPr>
      </w:pPr>
      <w:r>
        <w:rPr>
          <w:rFonts w:ascii="Arial" w:cs="Arial" w:eastAsia="Arial" w:hAnsi="Arial"/>
          <w:sz w:val="14"/>
          <w:szCs w:val="14"/>
          <w:b w:val="1"/>
          <w:bCs w:val="1"/>
          <w:color w:val="auto"/>
        </w:rPr>
        <w:t>Number of Securities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3943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3943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2320" w:type="dxa"/>
            <w:vAlign w:val="bottom"/>
          </w:tcPr>
          <w:p>
            <w:pPr>
              <w:spacing w:after="0"/>
              <w:rPr>
                <w:sz w:val="12"/>
                <w:szCs w:val="12"/>
                <w:color w:val="auto"/>
              </w:rPr>
            </w:pPr>
          </w:p>
        </w:tc>
        <w:tc>
          <w:tcPr>
            <w:tcW w:w="292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7"/>
              </w:rPr>
              <w:t>Issued Upon Exercise of</w:t>
            </w:r>
          </w:p>
        </w:tc>
        <w:tc>
          <w:tcPr>
            <w:tcW w:w="3200" w:type="dxa"/>
            <w:vAlign w:val="bottom"/>
            <w:gridSpan w:val="2"/>
          </w:tcPr>
          <w:p>
            <w:pPr>
              <w:ind w:left="500"/>
              <w:spacing w:after="0" w:line="146" w:lineRule="exact"/>
              <w:rPr>
                <w:sz w:val="20"/>
                <w:szCs w:val="20"/>
                <w:color w:val="auto"/>
              </w:rPr>
            </w:pPr>
            <w:r>
              <w:rPr>
                <w:rFonts w:ascii="Arial" w:cs="Arial" w:eastAsia="Arial" w:hAnsi="Arial"/>
                <w:sz w:val="14"/>
                <w:szCs w:val="14"/>
                <w:b w:val="1"/>
                <w:bCs w:val="1"/>
                <w:color w:val="auto"/>
              </w:rPr>
              <w:t>Weighted Average Exercise Price</w:t>
            </w:r>
          </w:p>
        </w:tc>
        <w:tc>
          <w:tcPr>
            <w:tcW w:w="2980" w:type="dxa"/>
            <w:vAlign w:val="bottom"/>
          </w:tcPr>
          <w:p>
            <w:pPr>
              <w:jc w:val="center"/>
              <w:ind w:left="332"/>
              <w:spacing w:after="0" w:line="146" w:lineRule="exact"/>
              <w:rPr>
                <w:sz w:val="20"/>
                <w:szCs w:val="20"/>
                <w:color w:val="auto"/>
              </w:rPr>
            </w:pPr>
            <w:r>
              <w:rPr>
                <w:rFonts w:ascii="Arial" w:cs="Arial" w:eastAsia="Arial" w:hAnsi="Arial"/>
                <w:sz w:val="14"/>
                <w:szCs w:val="14"/>
                <w:b w:val="1"/>
                <w:bCs w:val="1"/>
                <w:color w:val="auto"/>
                <w:w w:val="95"/>
              </w:rPr>
              <w:t>Number of Securities</w:t>
            </w:r>
          </w:p>
        </w:tc>
      </w:tr>
      <w:tr>
        <w:trPr>
          <w:trHeight w:val="149"/>
        </w:trPr>
        <w:tc>
          <w:tcPr>
            <w:tcW w:w="2320" w:type="dxa"/>
            <w:vAlign w:val="bottom"/>
          </w:tcPr>
          <w:p>
            <w:pPr>
              <w:spacing w:after="0"/>
              <w:rPr>
                <w:sz w:val="12"/>
                <w:szCs w:val="12"/>
                <w:color w:val="auto"/>
              </w:rPr>
            </w:pPr>
          </w:p>
        </w:tc>
        <w:tc>
          <w:tcPr>
            <w:tcW w:w="2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Outstanding Options,</w:t>
            </w:r>
          </w:p>
        </w:tc>
        <w:tc>
          <w:tcPr>
            <w:tcW w:w="680" w:type="dxa"/>
            <w:vAlign w:val="bottom"/>
          </w:tcPr>
          <w:p>
            <w:pPr>
              <w:spacing w:after="0"/>
              <w:rPr>
                <w:sz w:val="12"/>
                <w:szCs w:val="12"/>
                <w:color w:val="auto"/>
              </w:rPr>
            </w:pPr>
          </w:p>
        </w:tc>
        <w:tc>
          <w:tcPr>
            <w:tcW w:w="2520" w:type="dxa"/>
            <w:vAlign w:val="bottom"/>
          </w:tcPr>
          <w:p>
            <w:pPr>
              <w:jc w:val="center"/>
              <w:ind w:right="692"/>
              <w:spacing w:after="0" w:line="149" w:lineRule="exact"/>
              <w:rPr>
                <w:sz w:val="20"/>
                <w:szCs w:val="20"/>
                <w:color w:val="auto"/>
              </w:rPr>
            </w:pPr>
            <w:r>
              <w:rPr>
                <w:rFonts w:ascii="Arial" w:cs="Arial" w:eastAsia="Arial" w:hAnsi="Arial"/>
                <w:sz w:val="14"/>
                <w:szCs w:val="14"/>
                <w:b w:val="1"/>
                <w:bCs w:val="1"/>
                <w:color w:val="auto"/>
                <w:w w:val="97"/>
              </w:rPr>
              <w:t>of Outstanding Options</w:t>
            </w:r>
          </w:p>
        </w:tc>
        <w:tc>
          <w:tcPr>
            <w:tcW w:w="2980" w:type="dxa"/>
            <w:vAlign w:val="bottom"/>
          </w:tcPr>
          <w:p>
            <w:pPr>
              <w:jc w:val="center"/>
              <w:ind w:left="332"/>
              <w:spacing w:after="0" w:line="149" w:lineRule="exact"/>
              <w:rPr>
                <w:sz w:val="20"/>
                <w:szCs w:val="20"/>
                <w:color w:val="auto"/>
              </w:rPr>
            </w:pPr>
            <w:r>
              <w:rPr>
                <w:rFonts w:ascii="Arial" w:cs="Arial" w:eastAsia="Arial" w:hAnsi="Arial"/>
                <w:sz w:val="14"/>
                <w:szCs w:val="14"/>
                <w:b w:val="1"/>
                <w:bCs w:val="1"/>
                <w:color w:val="auto"/>
                <w:w w:val="95"/>
              </w:rPr>
              <w:t>Available for Future Issuance</w:t>
            </w:r>
          </w:p>
        </w:tc>
      </w:tr>
      <w:tr>
        <w:trPr>
          <w:trHeight w:val="179"/>
        </w:trPr>
        <w:tc>
          <w:tcPr>
            <w:tcW w:w="2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Warrants and Rights</w:t>
            </w:r>
          </w:p>
        </w:tc>
        <w:tc>
          <w:tcPr>
            <w:tcW w:w="6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tcPr>
          <w:p>
            <w:pPr>
              <w:jc w:val="center"/>
              <w:ind w:right="692"/>
              <w:spacing w:after="0"/>
              <w:rPr>
                <w:sz w:val="20"/>
                <w:szCs w:val="20"/>
                <w:color w:val="auto"/>
              </w:rPr>
            </w:pPr>
            <w:r>
              <w:rPr>
                <w:rFonts w:ascii="Arial" w:cs="Arial" w:eastAsia="Arial" w:hAnsi="Arial"/>
                <w:sz w:val="14"/>
                <w:szCs w:val="14"/>
                <w:b w:val="1"/>
                <w:bCs w:val="1"/>
                <w:color w:val="auto"/>
                <w:w w:val="96"/>
              </w:rPr>
              <w:t>Warrants and Rights</w:t>
            </w:r>
          </w:p>
        </w:tc>
        <w:tc>
          <w:tcPr>
            <w:tcW w:w="29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Under Equity Compensation Plans</w:t>
            </w:r>
            <w:r>
              <w:rPr>
                <w:rFonts w:ascii="Arial" w:cs="Arial" w:eastAsia="Arial" w:hAnsi="Arial"/>
                <w:sz w:val="11"/>
                <w:szCs w:val="11"/>
                <w:b w:val="1"/>
                <w:bCs w:val="1"/>
                <w:color w:val="auto"/>
              </w:rPr>
              <w:t>1</w:t>
            </w:r>
          </w:p>
        </w:tc>
      </w:tr>
      <w:tr>
        <w:trPr>
          <w:trHeight w:val="141"/>
        </w:trPr>
        <w:tc>
          <w:tcPr>
            <w:tcW w:w="2320" w:type="dxa"/>
            <w:vAlign w:val="bottom"/>
          </w:tcPr>
          <w:p>
            <w:pPr>
              <w:ind w:left="40"/>
              <w:spacing w:after="0" w:line="141" w:lineRule="exact"/>
              <w:rPr>
                <w:sz w:val="20"/>
                <w:szCs w:val="20"/>
                <w:color w:val="auto"/>
              </w:rPr>
            </w:pPr>
            <w:r>
              <w:rPr>
                <w:rFonts w:ascii="Arial" w:cs="Arial" w:eastAsia="Arial" w:hAnsi="Arial"/>
                <w:sz w:val="14"/>
                <w:szCs w:val="14"/>
                <w:color w:val="auto"/>
              </w:rPr>
              <w:t>Equity compensation plans</w:t>
            </w: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149"/>
        </w:trPr>
        <w:tc>
          <w:tcPr>
            <w:tcW w:w="2320" w:type="dxa"/>
            <w:vAlign w:val="bottom"/>
          </w:tcPr>
          <w:p>
            <w:pPr>
              <w:ind w:left="140"/>
              <w:spacing w:after="0" w:line="149" w:lineRule="exact"/>
              <w:rPr>
                <w:sz w:val="20"/>
                <w:szCs w:val="20"/>
                <w:color w:val="auto"/>
              </w:rPr>
            </w:pPr>
            <w:r>
              <w:rPr>
                <w:rFonts w:ascii="Arial" w:cs="Arial" w:eastAsia="Arial" w:hAnsi="Arial"/>
                <w:sz w:val="14"/>
                <w:szCs w:val="14"/>
                <w:color w:val="auto"/>
              </w:rPr>
              <w:t>approved by security</w:t>
            </w:r>
          </w:p>
        </w:tc>
        <w:tc>
          <w:tcPr>
            <w:tcW w:w="2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980" w:type="dxa"/>
            <w:vAlign w:val="bottom"/>
          </w:tcPr>
          <w:p>
            <w:pPr>
              <w:spacing w:after="0"/>
              <w:rPr>
                <w:sz w:val="12"/>
                <w:szCs w:val="12"/>
                <w:color w:val="auto"/>
              </w:rPr>
            </w:pPr>
          </w:p>
        </w:tc>
      </w:tr>
      <w:tr>
        <w:trPr>
          <w:trHeight w:val="149"/>
        </w:trPr>
        <w:tc>
          <w:tcPr>
            <w:tcW w:w="2320" w:type="dxa"/>
            <w:vAlign w:val="bottom"/>
          </w:tcPr>
          <w:p>
            <w:pPr>
              <w:ind w:left="140"/>
              <w:spacing w:after="0" w:line="149" w:lineRule="exact"/>
              <w:rPr>
                <w:sz w:val="20"/>
                <w:szCs w:val="20"/>
                <w:color w:val="auto"/>
              </w:rPr>
            </w:pPr>
            <w:r>
              <w:rPr>
                <w:rFonts w:ascii="Arial" w:cs="Arial" w:eastAsia="Arial" w:hAnsi="Arial"/>
                <w:sz w:val="14"/>
                <w:szCs w:val="14"/>
                <w:color w:val="auto"/>
              </w:rPr>
              <w:t>holders</w:t>
            </w:r>
            <w:r>
              <w:rPr>
                <w:rFonts w:ascii="Arial" w:cs="Arial" w:eastAsia="Arial" w:hAnsi="Arial"/>
                <w:sz w:val="11"/>
                <w:szCs w:val="11"/>
                <w:color w:val="auto"/>
              </w:rPr>
              <w:t>2</w:t>
            </w:r>
          </w:p>
        </w:tc>
        <w:tc>
          <w:tcPr>
            <w:tcW w:w="2920" w:type="dxa"/>
            <w:vAlign w:val="bottom"/>
          </w:tcPr>
          <w:p>
            <w:pPr>
              <w:ind w:left="1740"/>
              <w:spacing w:after="0" w:line="149" w:lineRule="exact"/>
              <w:rPr>
                <w:sz w:val="20"/>
                <w:szCs w:val="20"/>
                <w:color w:val="auto"/>
              </w:rPr>
            </w:pPr>
            <w:r>
              <w:rPr>
                <w:rFonts w:ascii="Arial" w:cs="Arial" w:eastAsia="Arial" w:hAnsi="Arial"/>
                <w:sz w:val="14"/>
                <w:szCs w:val="14"/>
                <w:color w:val="auto"/>
              </w:rPr>
              <w:t>5,184,633</w:t>
            </w:r>
            <w:r>
              <w:rPr>
                <w:rFonts w:ascii="Arial" w:cs="Arial" w:eastAsia="Arial" w:hAnsi="Arial"/>
                <w:sz w:val="11"/>
                <w:szCs w:val="11"/>
                <w:color w:val="auto"/>
              </w:rPr>
              <w:t>3</w:t>
            </w:r>
          </w:p>
        </w:tc>
        <w:tc>
          <w:tcPr>
            <w:tcW w:w="68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2520" w:type="dxa"/>
            <w:vAlign w:val="bottom"/>
          </w:tcPr>
          <w:p>
            <w:pPr>
              <w:ind w:left="1620"/>
              <w:spacing w:after="0" w:line="149" w:lineRule="exact"/>
              <w:rPr>
                <w:sz w:val="20"/>
                <w:szCs w:val="20"/>
                <w:color w:val="auto"/>
              </w:rPr>
            </w:pPr>
            <w:r>
              <w:rPr>
                <w:rFonts w:ascii="Arial" w:cs="Arial" w:eastAsia="Arial" w:hAnsi="Arial"/>
                <w:sz w:val="14"/>
                <w:szCs w:val="14"/>
                <w:color w:val="auto"/>
              </w:rPr>
              <w:t>14.36</w:t>
            </w:r>
            <w:r>
              <w:rPr>
                <w:rFonts w:ascii="Arial" w:cs="Arial" w:eastAsia="Arial" w:hAnsi="Arial"/>
                <w:sz w:val="11"/>
                <w:szCs w:val="11"/>
                <w:color w:val="auto"/>
              </w:rPr>
              <w:t>4</w:t>
            </w:r>
          </w:p>
        </w:tc>
        <w:tc>
          <w:tcPr>
            <w:tcW w:w="2980" w:type="dxa"/>
            <w:vAlign w:val="bottom"/>
          </w:tcPr>
          <w:p>
            <w:pPr>
              <w:ind w:left="2280"/>
              <w:spacing w:after="0" w:line="149" w:lineRule="exact"/>
              <w:rPr>
                <w:sz w:val="20"/>
                <w:szCs w:val="20"/>
                <w:color w:val="auto"/>
              </w:rPr>
            </w:pPr>
            <w:r>
              <w:rPr>
                <w:rFonts w:ascii="Arial" w:cs="Arial" w:eastAsia="Arial" w:hAnsi="Arial"/>
                <w:sz w:val="14"/>
                <w:szCs w:val="14"/>
                <w:color w:val="auto"/>
                <w:w w:val="99"/>
              </w:rPr>
              <w:t>2,108,727</w:t>
            </w:r>
            <w:r>
              <w:rPr>
                <w:rFonts w:ascii="Arial" w:cs="Arial" w:eastAsia="Arial" w:hAnsi="Arial"/>
                <w:sz w:val="11"/>
                <w:szCs w:val="11"/>
                <w:color w:val="auto"/>
                <w:w w:val="99"/>
              </w:rPr>
              <w:t>5</w:t>
            </w:r>
          </w:p>
        </w:tc>
      </w:tr>
      <w:tr>
        <w:trPr>
          <w:trHeight w:val="148"/>
        </w:trPr>
        <w:tc>
          <w:tcPr>
            <w:tcW w:w="2320" w:type="dxa"/>
            <w:vAlign w:val="bottom"/>
            <w:shd w:val="clear" w:color="auto" w:fill="D8D8D8"/>
          </w:tcPr>
          <w:p>
            <w:pPr>
              <w:ind w:left="40"/>
              <w:spacing w:after="0" w:line="148" w:lineRule="exact"/>
              <w:rPr>
                <w:sz w:val="20"/>
                <w:szCs w:val="20"/>
                <w:color w:val="auto"/>
              </w:rPr>
            </w:pPr>
            <w:r>
              <w:rPr>
                <w:rFonts w:ascii="Arial" w:cs="Arial" w:eastAsia="Arial" w:hAnsi="Arial"/>
                <w:sz w:val="14"/>
                <w:szCs w:val="14"/>
                <w:color w:val="auto"/>
              </w:rPr>
              <w:t>Equity compensation</w:t>
            </w:r>
          </w:p>
        </w:tc>
        <w:tc>
          <w:tcPr>
            <w:tcW w:w="29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2520" w:type="dxa"/>
            <w:vAlign w:val="bottom"/>
            <w:shd w:val="clear" w:color="auto" w:fill="D8D8D8"/>
          </w:tcPr>
          <w:p>
            <w:pPr>
              <w:spacing w:after="0"/>
              <w:rPr>
                <w:sz w:val="12"/>
                <w:szCs w:val="12"/>
                <w:color w:val="auto"/>
              </w:rPr>
            </w:pPr>
          </w:p>
        </w:tc>
        <w:tc>
          <w:tcPr>
            <w:tcW w:w="2980" w:type="dxa"/>
            <w:vAlign w:val="bottom"/>
            <w:shd w:val="clear" w:color="auto" w:fill="D8D8D8"/>
          </w:tcPr>
          <w:p>
            <w:pPr>
              <w:spacing w:after="0"/>
              <w:rPr>
                <w:sz w:val="12"/>
                <w:szCs w:val="12"/>
                <w:color w:val="auto"/>
              </w:rPr>
            </w:pPr>
          </w:p>
        </w:tc>
      </w:tr>
      <w:tr>
        <w:trPr>
          <w:trHeight w:val="149"/>
        </w:trPr>
        <w:tc>
          <w:tcPr>
            <w:tcW w:w="232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plans not approved</w:t>
            </w:r>
          </w:p>
        </w:tc>
        <w:tc>
          <w:tcPr>
            <w:tcW w:w="2920" w:type="dxa"/>
            <w:vAlign w:val="bottom"/>
            <w:shd w:val="clear" w:color="auto" w:fill="D8D8D8"/>
          </w:tcPr>
          <w:p>
            <w:pPr>
              <w:spacing w:after="0"/>
              <w:rPr>
                <w:sz w:val="12"/>
                <w:szCs w:val="12"/>
                <w:color w:val="auto"/>
              </w:rPr>
            </w:pPr>
          </w:p>
        </w:tc>
        <w:tc>
          <w:tcPr>
            <w:tcW w:w="680" w:type="dxa"/>
            <w:vAlign w:val="bottom"/>
            <w:shd w:val="clear" w:color="auto" w:fill="D8D8D8"/>
          </w:tcPr>
          <w:p>
            <w:pPr>
              <w:spacing w:after="0"/>
              <w:rPr>
                <w:sz w:val="12"/>
                <w:szCs w:val="12"/>
                <w:color w:val="auto"/>
              </w:rPr>
            </w:pPr>
          </w:p>
        </w:tc>
        <w:tc>
          <w:tcPr>
            <w:tcW w:w="2520" w:type="dxa"/>
            <w:vAlign w:val="bottom"/>
            <w:shd w:val="clear" w:color="auto" w:fill="D8D8D8"/>
          </w:tcPr>
          <w:p>
            <w:pPr>
              <w:spacing w:after="0"/>
              <w:rPr>
                <w:sz w:val="12"/>
                <w:szCs w:val="12"/>
                <w:color w:val="auto"/>
              </w:rPr>
            </w:pPr>
          </w:p>
        </w:tc>
        <w:tc>
          <w:tcPr>
            <w:tcW w:w="2980" w:type="dxa"/>
            <w:vAlign w:val="bottom"/>
            <w:shd w:val="clear" w:color="auto" w:fill="D8D8D8"/>
          </w:tcPr>
          <w:p>
            <w:pPr>
              <w:spacing w:after="0"/>
              <w:rPr>
                <w:sz w:val="12"/>
                <w:szCs w:val="12"/>
                <w:color w:val="auto"/>
              </w:rPr>
            </w:pPr>
          </w:p>
        </w:tc>
      </w:tr>
      <w:tr>
        <w:trPr>
          <w:trHeight w:val="149"/>
        </w:trPr>
        <w:tc>
          <w:tcPr>
            <w:tcW w:w="2320" w:type="dxa"/>
            <w:vAlign w:val="bottom"/>
            <w:shd w:val="clear" w:color="auto" w:fill="D8D8D8"/>
          </w:tcPr>
          <w:p>
            <w:pPr>
              <w:ind w:left="140"/>
              <w:spacing w:after="0" w:line="149" w:lineRule="exact"/>
              <w:rPr>
                <w:sz w:val="20"/>
                <w:szCs w:val="20"/>
                <w:color w:val="auto"/>
              </w:rPr>
            </w:pPr>
            <w:r>
              <w:rPr>
                <w:rFonts w:ascii="Arial" w:cs="Arial" w:eastAsia="Arial" w:hAnsi="Arial"/>
                <w:sz w:val="14"/>
                <w:szCs w:val="14"/>
                <w:color w:val="auto"/>
              </w:rPr>
              <w:t>by security holders</w:t>
            </w:r>
          </w:p>
        </w:tc>
        <w:tc>
          <w:tcPr>
            <w:tcW w:w="2920" w:type="dxa"/>
            <w:vAlign w:val="bottom"/>
            <w:shd w:val="clear" w:color="auto" w:fill="D8D8D8"/>
          </w:tcPr>
          <w:p>
            <w:pPr>
              <w:ind w:left="142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D8D8D8"/>
          </w:tcPr>
          <w:p>
            <w:pPr>
              <w:spacing w:after="0"/>
              <w:rPr>
                <w:sz w:val="12"/>
                <w:szCs w:val="12"/>
                <w:color w:val="auto"/>
              </w:rPr>
            </w:pPr>
          </w:p>
        </w:tc>
        <w:tc>
          <w:tcPr>
            <w:tcW w:w="2520" w:type="dxa"/>
            <w:vAlign w:val="bottom"/>
            <w:shd w:val="clear" w:color="auto" w:fill="D8D8D8"/>
          </w:tcPr>
          <w:p>
            <w:pPr>
              <w:ind w:left="1000"/>
              <w:spacing w:after="0" w:line="149" w:lineRule="exact"/>
              <w:rPr>
                <w:sz w:val="20"/>
                <w:szCs w:val="20"/>
                <w:color w:val="auto"/>
              </w:rPr>
            </w:pPr>
            <w:r>
              <w:rPr>
                <w:rFonts w:ascii="Arial" w:cs="Arial" w:eastAsia="Arial" w:hAnsi="Arial"/>
                <w:sz w:val="14"/>
                <w:szCs w:val="14"/>
                <w:color w:val="auto"/>
              </w:rPr>
              <w:t>—</w:t>
            </w:r>
          </w:p>
        </w:tc>
        <w:tc>
          <w:tcPr>
            <w:tcW w:w="2980" w:type="dxa"/>
            <w:vAlign w:val="bottom"/>
            <w:shd w:val="clear" w:color="auto" w:fill="D8D8D8"/>
          </w:tcPr>
          <w:p>
            <w:pPr>
              <w:ind w:left="1700"/>
              <w:spacing w:after="0" w:line="149" w:lineRule="exact"/>
              <w:rPr>
                <w:sz w:val="20"/>
                <w:szCs w:val="20"/>
                <w:color w:val="auto"/>
              </w:rPr>
            </w:pPr>
            <w:r>
              <w:rPr>
                <w:rFonts w:ascii="Arial" w:cs="Arial" w:eastAsia="Arial" w:hAnsi="Arial"/>
                <w:sz w:val="14"/>
                <w:szCs w:val="14"/>
                <w:color w:val="auto"/>
              </w:rPr>
              <w:t>—</w:t>
            </w:r>
          </w:p>
        </w:tc>
      </w:tr>
      <w:tr>
        <w:trPr>
          <w:trHeight w:val="149"/>
        </w:trPr>
        <w:tc>
          <w:tcPr>
            <w:tcW w:w="23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2920" w:type="dxa"/>
            <w:vAlign w:val="bottom"/>
            <w:tcBorders>
              <w:bottom w:val="single" w:sz="8" w:color="auto"/>
            </w:tcBorders>
          </w:tcPr>
          <w:p>
            <w:pPr>
              <w:ind w:left="1740"/>
              <w:spacing w:after="0" w:line="149" w:lineRule="exact"/>
              <w:rPr>
                <w:sz w:val="20"/>
                <w:szCs w:val="20"/>
                <w:color w:val="auto"/>
              </w:rPr>
            </w:pPr>
            <w:r>
              <w:rPr>
                <w:rFonts w:ascii="Arial" w:cs="Arial" w:eastAsia="Arial" w:hAnsi="Arial"/>
                <w:sz w:val="14"/>
                <w:szCs w:val="14"/>
                <w:color w:val="auto"/>
              </w:rPr>
              <w:t>5,184,633</w:t>
            </w:r>
          </w:p>
        </w:tc>
        <w:tc>
          <w:tcPr>
            <w:tcW w:w="680" w:type="dxa"/>
            <w:vAlign w:val="bottom"/>
            <w:tcBorders>
              <w:bottom w:val="single" w:sz="8" w:color="auto"/>
            </w:tcBorders>
          </w:tcPr>
          <w:p>
            <w:pPr>
              <w:ind w:left="500"/>
              <w:spacing w:after="0" w:line="149" w:lineRule="exact"/>
              <w:rPr>
                <w:sz w:val="20"/>
                <w:szCs w:val="20"/>
                <w:color w:val="auto"/>
              </w:rPr>
            </w:pPr>
            <w:r>
              <w:rPr>
                <w:rFonts w:ascii="Arial" w:cs="Arial" w:eastAsia="Arial" w:hAnsi="Arial"/>
                <w:sz w:val="14"/>
                <w:szCs w:val="14"/>
                <w:color w:val="auto"/>
              </w:rPr>
              <w:t>$</w:t>
            </w:r>
          </w:p>
        </w:tc>
        <w:tc>
          <w:tcPr>
            <w:tcW w:w="2520" w:type="dxa"/>
            <w:vAlign w:val="bottom"/>
            <w:tcBorders>
              <w:bottom w:val="single" w:sz="8" w:color="auto"/>
            </w:tcBorders>
          </w:tcPr>
          <w:p>
            <w:pPr>
              <w:ind w:left="1620"/>
              <w:spacing w:after="0" w:line="149" w:lineRule="exact"/>
              <w:rPr>
                <w:sz w:val="20"/>
                <w:szCs w:val="20"/>
                <w:color w:val="auto"/>
              </w:rPr>
            </w:pPr>
            <w:r>
              <w:rPr>
                <w:rFonts w:ascii="Arial" w:cs="Arial" w:eastAsia="Arial" w:hAnsi="Arial"/>
                <w:sz w:val="14"/>
                <w:szCs w:val="14"/>
                <w:color w:val="auto"/>
              </w:rPr>
              <w:t>14.36</w:t>
            </w:r>
          </w:p>
        </w:tc>
        <w:tc>
          <w:tcPr>
            <w:tcW w:w="2980" w:type="dxa"/>
            <w:vAlign w:val="bottom"/>
            <w:tcBorders>
              <w:bottom w:val="single" w:sz="8" w:color="auto"/>
            </w:tcBorders>
          </w:tcPr>
          <w:p>
            <w:pPr>
              <w:ind w:left="2280"/>
              <w:spacing w:after="0" w:line="149" w:lineRule="exact"/>
              <w:rPr>
                <w:sz w:val="20"/>
                <w:szCs w:val="20"/>
                <w:color w:val="auto"/>
              </w:rPr>
            </w:pPr>
            <w:r>
              <w:rPr>
                <w:rFonts w:ascii="Arial" w:cs="Arial" w:eastAsia="Arial" w:hAnsi="Arial"/>
                <w:sz w:val="14"/>
                <w:szCs w:val="14"/>
                <w:color w:val="auto"/>
              </w:rPr>
              <w:t>2,108,727</w:t>
            </w:r>
          </w:p>
        </w:tc>
      </w:tr>
    </w:tbl>
    <w:p>
      <w:pPr>
        <w:spacing w:after="0" w:line="45" w:lineRule="exact"/>
        <w:rPr>
          <w:sz w:val="20"/>
          <w:szCs w:val="20"/>
          <w:color w:val="auto"/>
        </w:rPr>
      </w:pPr>
    </w:p>
    <w:p>
      <w:pPr>
        <w:ind w:right="60" w:firstLine="8"/>
        <w:spacing w:after="0" w:line="218" w:lineRule="auto"/>
        <w:tabs>
          <w:tab w:leader="none" w:pos="108" w:val="left"/>
        </w:tabs>
        <w:numPr>
          <w:ilvl w:val="0"/>
          <w:numId w:val="27"/>
        </w:numPr>
        <w:rPr>
          <w:rFonts w:ascii="Arial" w:cs="Arial" w:eastAsia="Arial" w:hAnsi="Arial"/>
          <w:sz w:val="24"/>
          <w:szCs w:val="24"/>
          <w:color w:val="auto"/>
          <w:vertAlign w:val="superscript"/>
        </w:rPr>
      </w:pPr>
      <w:r>
        <w:rPr>
          <w:rFonts w:ascii="Arial" w:cs="Arial" w:eastAsia="Arial" w:hAnsi="Arial"/>
          <w:sz w:val="14"/>
          <w:szCs w:val="14"/>
          <w:color w:val="auto"/>
        </w:rPr>
        <w:t>Pursuant to the terms of the 2015 Incentive Award Plan, or the 2015 Plan, the number of shares of common stock available for issuance under the 2015 Plan automatically increases on each January 1 until and including January 1, 2025, by an amount equal to the lesser of: (a) 4% of the shares of common stock outstanding on the final day of the immediately preceding calendar year and (b) such smaller number of shares as is determined by our board of directors. Pursuant to the terms of the 2015 Employee Stock Purchase Plan, or the 2015 ESPP, the number of shares of common stock available for issuance under the 2015 ESPP automatically increases on each January 1 until and including January 1, 2025, by an amount equal to the least of: (a) 400,000 shares, (b) 1% of the shares of common stock outstanding on the final day of the immediately preceding calendar year and (c) such smaller number of shares as is determined by our board of directors.</w:t>
      </w:r>
    </w:p>
    <w:p>
      <w:pPr>
        <w:spacing w:after="0" w:line="184"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Consists of the 2012 Stock Incentive Plan, or the 2012 Plan, the 2015 Plan, and the 2015 ESPP.</w:t>
      </w:r>
    </w:p>
    <w:p>
      <w:pPr>
        <w:spacing w:after="0" w:line="8" w:lineRule="exact"/>
        <w:rPr>
          <w:sz w:val="20"/>
          <w:szCs w:val="20"/>
          <w:color w:val="auto"/>
        </w:rPr>
      </w:pPr>
    </w:p>
    <w:p>
      <w:pPr>
        <w:ind w:right="280" w:firstLine="8"/>
        <w:spacing w:after="0" w:line="183" w:lineRule="auto"/>
        <w:tabs>
          <w:tab w:leader="none" w:pos="108"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Includes 2,616,454 outstanding options to purchase stock under the 2012 Plan, 2,452,679 outstanding options to purchase stock under the 2015 Plan, and 115,500 restricted stock units under the 2015 Plan.</w:t>
      </w:r>
    </w:p>
    <w:p>
      <w:pPr>
        <w:spacing w:after="0" w:line="31" w:lineRule="exact"/>
        <w:rPr>
          <w:sz w:val="20"/>
          <w:szCs w:val="20"/>
          <w:color w:val="auto"/>
        </w:rPr>
      </w:pPr>
    </w:p>
    <w:p>
      <w:pPr>
        <w:ind w:right="220" w:firstLine="8"/>
        <w:spacing w:after="0" w:line="183" w:lineRule="auto"/>
        <w:tabs>
          <w:tab w:leader="none" w:pos="108" w:val="left"/>
        </w:tabs>
        <w:numPr>
          <w:ilvl w:val="0"/>
          <w:numId w:val="29"/>
        </w:numPr>
        <w:rPr>
          <w:rFonts w:ascii="Arial" w:cs="Arial" w:eastAsia="Arial" w:hAnsi="Arial"/>
          <w:sz w:val="24"/>
          <w:szCs w:val="24"/>
          <w:color w:val="auto"/>
          <w:vertAlign w:val="superscript"/>
        </w:rPr>
      </w:pPr>
      <w:r>
        <w:rPr>
          <w:rFonts w:ascii="Arial" w:cs="Arial" w:eastAsia="Arial" w:hAnsi="Arial"/>
          <w:sz w:val="14"/>
          <w:szCs w:val="14"/>
          <w:color w:val="auto"/>
        </w:rPr>
        <w:t>As of December 31, 2016, the weighted-average exercise price of outstanding options under the 2012 Plan was $4.73 and the weighted-average exercise price of outstanding options under the 2015 Plan was $24.65.</w:t>
      </w:r>
    </w:p>
    <w:p>
      <w:pPr>
        <w:spacing w:after="0" w:line="10" w:lineRule="exact"/>
        <w:rPr>
          <w:rFonts w:ascii="Arial" w:cs="Arial" w:eastAsia="Arial" w:hAnsi="Arial"/>
          <w:sz w:val="24"/>
          <w:szCs w:val="24"/>
          <w:color w:val="auto"/>
          <w:vertAlign w:val="superscript"/>
        </w:rPr>
      </w:pPr>
    </w:p>
    <w:p>
      <w:pPr>
        <w:ind w:right="20"/>
        <w:spacing w:after="0" w:line="187" w:lineRule="auto"/>
        <w:rPr>
          <w:rFonts w:ascii="Arial" w:cs="Arial" w:eastAsia="Arial" w:hAnsi="Arial"/>
          <w:sz w:val="24"/>
          <w:szCs w:val="24"/>
          <w:color w:val="auto"/>
          <w:vertAlign w:val="superscript"/>
        </w:rPr>
      </w:pPr>
      <w:r>
        <w:rPr>
          <w:rFonts w:ascii="Arial" w:cs="Arial" w:eastAsia="Arial" w:hAnsi="Arial"/>
          <w:sz w:val="24"/>
          <w:szCs w:val="24"/>
          <w:color w:val="auto"/>
          <w:vertAlign w:val="superscript"/>
        </w:rPr>
        <w:t>5</w:t>
      </w:r>
      <w:r>
        <w:rPr>
          <w:rFonts w:ascii="Arial" w:cs="Arial" w:eastAsia="Arial" w:hAnsi="Arial"/>
          <w:sz w:val="14"/>
          <w:szCs w:val="14"/>
          <w:color w:val="auto"/>
        </w:rPr>
        <w:t xml:space="preserve"> As of December 31, 2016, a total of 755,820 shares of stock were available for issuance and no purchase rights were outstanding under the 2015 ESPP and 1,352,907 securities available for future issuance under the 2015 Plan.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April 16, 2017,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40,390,628 shares of Common Stock outstanding as of April 16, 2017. In computing the number of shares beneficially owned by a person and the percentage ownership of that person, shares of Common Stock subject to options, or other rights held by such person that are currently exercisable or will become exercisable within 60 days of April 16, 2017 are considered outstanding, although these shares are not considered outstanding for purposes of computing the percentage ownership of any other person.</w:t>
      </w:r>
    </w:p>
    <w:p>
      <w:pPr>
        <w:spacing w:after="0" w:line="5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Unless otherwise indicated, the address of each beneficial owner listed below is 200 Sidney Street, Cambridge, MA 02139.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218" w:lineRule="exact"/>
        <w:rPr>
          <w:sz w:val="20"/>
          <w:szCs w:val="20"/>
          <w:color w:val="auto"/>
        </w:rPr>
      </w:pPr>
    </w:p>
    <w:p>
      <w:pPr>
        <w:ind w:left="3320"/>
        <w:spacing w:after="0"/>
        <w:tabs>
          <w:tab w:leader="none" w:pos="8400" w:val="left"/>
          <w:tab w:leader="none" w:pos="9480" w:val="left"/>
        </w:tabs>
        <w:rPr>
          <w:sz w:val="20"/>
          <w:szCs w:val="20"/>
          <w:color w:val="auto"/>
        </w:rPr>
      </w:pPr>
      <w:r>
        <w:rPr>
          <w:rFonts w:ascii="Arial" w:cs="Arial" w:eastAsia="Arial" w:hAnsi="Arial"/>
          <w:sz w:val="14"/>
          <w:szCs w:val="14"/>
          <w:b w:val="1"/>
          <w:bCs w:val="1"/>
          <w:color w:val="auto"/>
        </w:rPr>
        <w:t>NAME OF BENEFICIAL OWNER</w:t>
      </w:r>
      <w:r>
        <w:rPr>
          <w:sz w:val="20"/>
          <w:szCs w:val="20"/>
          <w:color w:val="auto"/>
        </w:rPr>
        <w:tab/>
      </w:r>
      <w:r>
        <w:rPr>
          <w:rFonts w:ascii="Arial" w:cs="Arial" w:eastAsia="Arial" w:hAnsi="Arial"/>
          <w:sz w:val="14"/>
          <w:szCs w:val="14"/>
          <w:b w:val="1"/>
          <w:bCs w:val="1"/>
          <w:color w:val="auto"/>
        </w:rPr>
        <w:t>NUMBER</w:t>
      </w:r>
      <w:r>
        <w:rPr>
          <w:sz w:val="20"/>
          <w:szCs w:val="20"/>
          <w:color w:val="auto"/>
        </w:rPr>
        <w:tab/>
      </w:r>
      <w:r>
        <w:rPr>
          <w:rFonts w:ascii="Arial" w:cs="Arial" w:eastAsia="Arial" w:hAnsi="Arial"/>
          <w:sz w:val="12"/>
          <w:szCs w:val="12"/>
          <w:b w:val="1"/>
          <w:bCs w:val="1"/>
          <w:color w:val="auto"/>
        </w:rPr>
        <w:t>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-93345</wp:posOffset>
            </wp:positionV>
            <wp:extent cx="6080125" cy="1117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80125" cy="111760"/>
                    </a:xfrm>
                    <a:prstGeom prst="rect">
                      <a:avLst/>
                    </a:prstGeom>
                    <a:noFill/>
                  </pic:spPr>
                </pic:pic>
              </a:graphicData>
            </a:graphic>
          </wp:anchor>
        </w:drawing>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4"/>
          <w:szCs w:val="14"/>
          <w:b w:val="1"/>
          <w:bCs w:val="1"/>
          <w:i w:val="1"/>
          <w:iCs w:val="1"/>
          <w:color w:val="auto"/>
        </w:rPr>
        <w:t>5% or Greater Stockholders</w:t>
      </w:r>
    </w:p>
    <w:p>
      <w:pPr>
        <w:sectPr>
          <w:pgSz w:w="11900" w:h="16838" w:orient="portrait"/>
          <w:cols w:equalWidth="0" w:num="1">
            <w:col w:w="11340"/>
          </w:cols>
          <w:pgMar w:left="240" w:top="459" w:right="319" w:bottom="1440" w:gutter="0" w:footer="0" w:header="0"/>
        </w:sectPr>
      </w:pPr>
    </w:p>
    <w:p>
      <w:pPr>
        <w:ind w:left="1000"/>
        <w:spacing w:after="0" w:line="232" w:lineRule="auto"/>
        <w:rPr>
          <w:sz w:val="20"/>
          <w:szCs w:val="20"/>
          <w:color w:val="auto"/>
        </w:rPr>
      </w:pPr>
      <w:r>
        <w:rPr>
          <w:rFonts w:ascii="Arial" w:cs="Arial" w:eastAsia="Arial" w:hAnsi="Arial"/>
          <w:sz w:val="14"/>
          <w:szCs w:val="14"/>
          <w:color w:val="auto"/>
        </w:rPr>
        <w:t xml:space="preserve">Entities affiliated with Flagship Pioneering </w:t>
      </w:r>
      <w:r>
        <w:rPr>
          <w:rFonts w:ascii="Arial" w:cs="Arial" w:eastAsia="Arial" w:hAnsi="Arial"/>
          <w:sz w:val="24"/>
          <w:szCs w:val="24"/>
          <w:color w:val="auto"/>
          <w:vertAlign w:val="superscript"/>
        </w:rPr>
        <w:t>1</w:t>
      </w:r>
    </w:p>
    <w:p>
      <w:pPr>
        <w:ind w:left="1000"/>
        <w:spacing w:after="0" w:line="188" w:lineRule="auto"/>
        <w:rPr>
          <w:sz w:val="20"/>
          <w:szCs w:val="20"/>
          <w:color w:val="auto"/>
        </w:rPr>
      </w:pPr>
      <w:r>
        <w:rPr>
          <w:rFonts w:ascii="Arial" w:cs="Arial" w:eastAsia="Arial" w:hAnsi="Arial"/>
          <w:sz w:val="14"/>
          <w:szCs w:val="14"/>
          <w:color w:val="auto"/>
        </w:rPr>
        <w:t>Nestlé Health Science US Holdings, Inc.</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0125"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line="194" w:lineRule="auto"/>
        <w:rPr>
          <w:sz w:val="20"/>
          <w:szCs w:val="20"/>
          <w:color w:val="auto"/>
        </w:rPr>
      </w:pPr>
      <w:r>
        <w:rPr>
          <w:rFonts w:ascii="Arial" w:cs="Arial" w:eastAsia="Arial" w:hAnsi="Arial"/>
          <w:sz w:val="14"/>
          <w:szCs w:val="14"/>
          <w:color w:val="auto"/>
        </w:rPr>
        <w:t>FMR LLC</w:t>
      </w:r>
      <w:r>
        <w:rPr>
          <w:rFonts w:ascii="Arial" w:cs="Arial" w:eastAsia="Arial" w:hAnsi="Arial"/>
          <w:sz w:val="24"/>
          <w:szCs w:val="24"/>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080125" cy="1028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80125" cy="102870"/>
                    </a:xfrm>
                    <a:prstGeom prst="rect">
                      <a:avLst/>
                    </a:prstGeom>
                    <a:noFill/>
                  </pic:spPr>
                </pic:pic>
              </a:graphicData>
            </a:graphic>
          </wp:anchor>
        </w:drawing>
      </w:r>
    </w:p>
    <w:p>
      <w:pPr>
        <w:ind w:left="1000"/>
        <w:spacing w:after="0" w:line="231" w:lineRule="auto"/>
        <w:rPr>
          <w:sz w:val="20"/>
          <w:szCs w:val="20"/>
          <w:color w:val="auto"/>
        </w:rPr>
      </w:pPr>
      <w:r>
        <w:rPr>
          <w:rFonts w:ascii="Arial" w:cs="Arial" w:eastAsia="Arial" w:hAnsi="Arial"/>
          <w:sz w:val="14"/>
          <w:szCs w:val="14"/>
          <w:b w:val="1"/>
          <w:bCs w:val="1"/>
          <w:i w:val="1"/>
          <w:iCs w:val="1"/>
          <w:color w:val="auto"/>
        </w:rPr>
        <w:t>Named Executive Officers and Directors</w:t>
      </w:r>
    </w:p>
    <w:p>
      <w:pPr>
        <w:ind w:left="1000"/>
        <w:spacing w:after="0" w:line="188" w:lineRule="auto"/>
        <w:rPr>
          <w:sz w:val="20"/>
          <w:szCs w:val="20"/>
          <w:color w:val="auto"/>
        </w:rPr>
      </w:pPr>
      <w:r>
        <w:rPr>
          <w:rFonts w:ascii="Arial" w:cs="Arial" w:eastAsia="Arial" w:hAnsi="Arial"/>
          <w:sz w:val="14"/>
          <w:szCs w:val="14"/>
          <w:color w:val="auto"/>
        </w:rPr>
        <w:t>Roger J. Pomerantz, M.D.</w:t>
      </w:r>
      <w:r>
        <w:rPr>
          <w:rFonts w:ascii="Arial" w:cs="Arial" w:eastAsia="Arial" w:hAnsi="Arial"/>
          <w:sz w:val="24"/>
          <w:szCs w:val="24"/>
          <w:color w:val="auto"/>
          <w:vertAlign w:val="superscript"/>
        </w:rPr>
        <w:t>4</w:t>
      </w:r>
    </w:p>
    <w:p>
      <w:pPr>
        <w:ind w:left="1000"/>
        <w:spacing w:after="0" w:line="188" w:lineRule="auto"/>
        <w:rPr>
          <w:sz w:val="20"/>
          <w:szCs w:val="20"/>
          <w:color w:val="auto"/>
        </w:rPr>
      </w:pPr>
      <w:r>
        <w:rPr>
          <w:rFonts w:ascii="Arial" w:cs="Arial" w:eastAsia="Arial" w:hAnsi="Arial"/>
          <w:sz w:val="14"/>
          <w:szCs w:val="14"/>
          <w:color w:val="auto"/>
        </w:rPr>
        <w:t>Noubar B. Afeyan, Ph.D.</w:t>
      </w:r>
      <w:r>
        <w:rPr>
          <w:rFonts w:ascii="Arial" w:cs="Arial" w:eastAsia="Arial" w:hAnsi="Arial"/>
          <w:sz w:val="24"/>
          <w:szCs w:val="24"/>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-134620</wp:posOffset>
            </wp:positionV>
            <wp:extent cx="6080125"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line="194" w:lineRule="auto"/>
        <w:rPr>
          <w:sz w:val="20"/>
          <w:szCs w:val="20"/>
          <w:color w:val="auto"/>
        </w:rPr>
      </w:pPr>
      <w:r>
        <w:rPr>
          <w:rFonts w:ascii="Arial" w:cs="Arial" w:eastAsia="Arial" w:hAnsi="Arial"/>
          <w:sz w:val="14"/>
          <w:szCs w:val="14"/>
          <w:color w:val="auto"/>
        </w:rPr>
        <w:t>Dennis A. Ausiello, M.D.</w:t>
      </w:r>
      <w:r>
        <w:rPr>
          <w:rFonts w:ascii="Arial" w:cs="Arial" w:eastAsia="Arial" w:hAnsi="Arial"/>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080125"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4"/>
          <w:szCs w:val="14"/>
          <w:color w:val="auto"/>
        </w:rPr>
        <w:t>Grégory Behar</w:t>
      </w:r>
    </w:p>
    <w:p>
      <w:pPr>
        <w:ind w:left="1000"/>
        <w:spacing w:after="0" w:line="235" w:lineRule="auto"/>
        <w:rPr>
          <w:sz w:val="20"/>
          <w:szCs w:val="20"/>
          <w:color w:val="auto"/>
        </w:rPr>
      </w:pPr>
      <w:r>
        <w:rPr>
          <w:rFonts w:ascii="Arial" w:cs="Arial" w:eastAsia="Arial" w:hAnsi="Arial"/>
          <w:sz w:val="14"/>
          <w:szCs w:val="14"/>
          <w:color w:val="auto"/>
        </w:rPr>
        <w:t>Kurt C. Graves</w:t>
      </w:r>
      <w:r>
        <w:rPr>
          <w:rFonts w:ascii="Arial" w:cs="Arial" w:eastAsia="Arial" w:hAnsi="Arial"/>
          <w:sz w:val="24"/>
          <w:szCs w:val="24"/>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080125"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line="188" w:lineRule="auto"/>
        <w:rPr>
          <w:sz w:val="20"/>
          <w:szCs w:val="20"/>
          <w:color w:val="auto"/>
        </w:rPr>
      </w:pPr>
      <w:r>
        <w:rPr>
          <w:rFonts w:ascii="Arial" w:cs="Arial" w:eastAsia="Arial" w:hAnsi="Arial"/>
          <w:sz w:val="14"/>
          <w:szCs w:val="14"/>
          <w:color w:val="auto"/>
        </w:rPr>
        <w:t>Peter Barton Hutt</w:t>
      </w:r>
      <w:r>
        <w:rPr>
          <w:rFonts w:ascii="Arial" w:cs="Arial" w:eastAsia="Arial" w:hAnsi="Arial"/>
          <w:sz w:val="24"/>
          <w:szCs w:val="24"/>
          <w:color w:val="auto"/>
          <w:vertAlign w:val="superscript"/>
        </w:rPr>
        <w:t>8</w:t>
      </w:r>
    </w:p>
    <w:p>
      <w:pPr>
        <w:ind w:left="1000"/>
        <w:spacing w:after="0" w:line="188" w:lineRule="auto"/>
        <w:rPr>
          <w:sz w:val="20"/>
          <w:szCs w:val="20"/>
          <w:color w:val="auto"/>
        </w:rPr>
      </w:pPr>
      <w:r>
        <w:rPr>
          <w:rFonts w:ascii="Arial" w:cs="Arial" w:eastAsia="Arial" w:hAnsi="Arial"/>
          <w:sz w:val="14"/>
          <w:szCs w:val="14"/>
          <w:color w:val="auto"/>
        </w:rPr>
        <w:t>Richard N. Kender</w:t>
      </w:r>
      <w:r>
        <w:rPr>
          <w:rFonts w:ascii="Arial" w:cs="Arial" w:eastAsia="Arial" w:hAnsi="Arial"/>
          <w:sz w:val="24"/>
          <w:szCs w:val="24"/>
          <w:color w:val="auto"/>
          <w:vertAlign w:val="superscript"/>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-1905</wp:posOffset>
            </wp:positionV>
            <wp:extent cx="6080125"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line="188" w:lineRule="auto"/>
        <w:rPr>
          <w:sz w:val="20"/>
          <w:szCs w:val="20"/>
          <w:color w:val="auto"/>
        </w:rPr>
      </w:pPr>
      <w:r>
        <w:rPr>
          <w:rFonts w:ascii="Arial" w:cs="Arial" w:eastAsia="Arial" w:hAnsi="Arial"/>
          <w:sz w:val="14"/>
          <w:szCs w:val="14"/>
          <w:color w:val="auto"/>
        </w:rPr>
        <w:t>Lorence H. Kim, M.D.</w:t>
      </w:r>
      <w:r>
        <w:rPr>
          <w:rFonts w:ascii="Arial" w:cs="Arial" w:eastAsia="Arial" w:hAnsi="Arial"/>
          <w:sz w:val="24"/>
          <w:szCs w:val="24"/>
          <w:color w:val="auto"/>
          <w:vertAlign w:val="superscript"/>
        </w:rPr>
        <w:t>10</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Thomas J. DesRosier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6080125"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000"/>
        <w:spacing w:after="0" w:line="205" w:lineRule="auto"/>
        <w:rPr>
          <w:sz w:val="20"/>
          <w:szCs w:val="20"/>
          <w:color w:val="auto"/>
        </w:rPr>
      </w:pPr>
      <w:r>
        <w:rPr>
          <w:rFonts w:ascii="Arial" w:cs="Arial" w:eastAsia="Arial" w:hAnsi="Arial"/>
          <w:sz w:val="14"/>
          <w:szCs w:val="14"/>
          <w:color w:val="auto"/>
        </w:rPr>
        <w:t>Wael Hashad</w:t>
      </w:r>
      <w:r>
        <w:rPr>
          <w:rFonts w:ascii="Arial" w:cs="Arial" w:eastAsia="Arial" w:hAnsi="Arial"/>
          <w:sz w:val="24"/>
          <w:szCs w:val="24"/>
          <w:color w:val="auto"/>
          <w:vertAlign w:val="superscript"/>
        </w:rPr>
        <w:t>11</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All executive officers and directors as a group (14 persons)</w:t>
      </w:r>
      <w:r>
        <w:rPr>
          <w:rFonts w:ascii="Arial" w:cs="Arial" w:eastAsia="Arial" w:hAnsi="Arial"/>
          <w:sz w:val="24"/>
          <w:szCs w:val="24"/>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-27305</wp:posOffset>
            </wp:positionV>
            <wp:extent cx="450215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 Less than one percent.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980" w:type="dxa"/>
            <w:vAlign w:val="bottom"/>
          </w:tcPr>
          <w:p>
            <w:pPr>
              <w:jc w:val="right"/>
              <w:spacing w:after="0"/>
              <w:rPr>
                <w:sz w:val="20"/>
                <w:szCs w:val="20"/>
                <w:color w:val="auto"/>
              </w:rPr>
            </w:pPr>
            <w:r>
              <w:rPr>
                <w:rFonts w:ascii="Arial" w:cs="Arial" w:eastAsia="Arial" w:hAnsi="Arial"/>
                <w:sz w:val="14"/>
                <w:szCs w:val="14"/>
                <w:color w:val="auto"/>
              </w:rPr>
              <w:t>12,682,876</w:t>
            </w:r>
          </w:p>
        </w:tc>
        <w:tc>
          <w:tcPr>
            <w:tcW w:w="180" w:type="dxa"/>
            <w:vAlign w:val="bottom"/>
          </w:tcPr>
          <w:p>
            <w:pPr>
              <w:spacing w:after="0"/>
              <w:rPr>
                <w:sz w:val="14"/>
                <w:szCs w:val="1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31.4%</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6,888,888</w:t>
            </w:r>
          </w:p>
        </w:tc>
        <w:tc>
          <w:tcPr>
            <w:tcW w:w="180" w:type="dxa"/>
            <w:vAlign w:val="bottom"/>
          </w:tcPr>
          <w:p>
            <w:pPr>
              <w:spacing w:after="0"/>
              <w:rPr>
                <w:sz w:val="18"/>
                <w:szCs w:val="18"/>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17.1%</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6,053,363</w:t>
            </w:r>
          </w:p>
        </w:tc>
        <w:tc>
          <w:tcPr>
            <w:tcW w:w="180" w:type="dxa"/>
            <w:vAlign w:val="bottom"/>
          </w:tcPr>
          <w:p>
            <w:pPr>
              <w:spacing w:after="0"/>
              <w:rPr>
                <w:sz w:val="18"/>
                <w:szCs w:val="18"/>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15.0%</w:t>
            </w:r>
          </w:p>
        </w:tc>
      </w:tr>
      <w:tr>
        <w:trPr>
          <w:trHeight w:val="405"/>
        </w:trPr>
        <w:tc>
          <w:tcPr>
            <w:tcW w:w="980" w:type="dxa"/>
            <w:vAlign w:val="bottom"/>
          </w:tcPr>
          <w:p>
            <w:pPr>
              <w:jc w:val="right"/>
              <w:spacing w:after="0"/>
              <w:rPr>
                <w:sz w:val="20"/>
                <w:szCs w:val="20"/>
                <w:color w:val="auto"/>
              </w:rPr>
            </w:pPr>
            <w:r>
              <w:rPr>
                <w:rFonts w:ascii="Arial" w:cs="Arial" w:eastAsia="Arial" w:hAnsi="Arial"/>
                <w:sz w:val="14"/>
                <w:szCs w:val="14"/>
                <w:color w:val="auto"/>
              </w:rPr>
              <w:t>940,946</w:t>
            </w:r>
          </w:p>
        </w:tc>
        <w:tc>
          <w:tcPr>
            <w:tcW w:w="180" w:type="dxa"/>
            <w:vAlign w:val="bottom"/>
          </w:tcPr>
          <w:p>
            <w:pPr>
              <w:spacing w:after="0"/>
              <w:rPr>
                <w:sz w:val="24"/>
                <w:szCs w:val="24"/>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2.3%</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12,728,017</w:t>
            </w:r>
          </w:p>
        </w:tc>
        <w:tc>
          <w:tcPr>
            <w:tcW w:w="180" w:type="dxa"/>
            <w:vAlign w:val="bottom"/>
          </w:tcPr>
          <w:p>
            <w:pPr>
              <w:spacing w:after="0"/>
              <w:rPr>
                <w:sz w:val="18"/>
                <w:szCs w:val="18"/>
                <w:color w:val="auto"/>
              </w:rPr>
            </w:pPr>
          </w:p>
        </w:tc>
        <w:tc>
          <w:tcPr>
            <w:tcW w:w="1180" w:type="dxa"/>
            <w:vAlign w:val="bottom"/>
          </w:tcPr>
          <w:p>
            <w:pPr>
              <w:jc w:val="center"/>
              <w:ind w:left="108"/>
              <w:spacing w:after="0"/>
              <w:rPr>
                <w:sz w:val="20"/>
                <w:szCs w:val="20"/>
                <w:color w:val="auto"/>
              </w:rPr>
            </w:pPr>
            <w:r>
              <w:rPr>
                <w:rFonts w:ascii="Arial" w:cs="Arial" w:eastAsia="Arial" w:hAnsi="Arial"/>
                <w:sz w:val="14"/>
                <w:szCs w:val="14"/>
                <w:color w:val="auto"/>
              </w:rPr>
              <w:t>31.5%</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52,500</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22,500</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130,000</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76,875</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76,875</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189"/>
        </w:trPr>
        <w:tc>
          <w:tcPr>
            <w:tcW w:w="980" w:type="dxa"/>
            <w:vAlign w:val="bottom"/>
          </w:tcPr>
          <w:p>
            <w:pPr>
              <w:jc w:val="right"/>
              <w:spacing w:after="0"/>
              <w:rPr>
                <w:sz w:val="20"/>
                <w:szCs w:val="20"/>
                <w:color w:val="auto"/>
              </w:rPr>
            </w:pPr>
            <w:r>
              <w:rPr>
                <w:rFonts w:ascii="Arial" w:cs="Arial" w:eastAsia="Arial" w:hAnsi="Arial"/>
                <w:sz w:val="14"/>
                <w:szCs w:val="14"/>
                <w:color w:val="auto"/>
              </w:rPr>
              <w:t>25,000</w:t>
            </w:r>
          </w:p>
        </w:tc>
        <w:tc>
          <w:tcPr>
            <w:tcW w:w="180" w:type="dxa"/>
            <w:vAlign w:val="bottom"/>
          </w:tcPr>
          <w:p>
            <w:pPr>
              <w:spacing w:after="0"/>
              <w:rPr>
                <w:sz w:val="16"/>
                <w:szCs w:val="16"/>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16"/>
        </w:trPr>
        <w:tc>
          <w:tcPr>
            <w:tcW w:w="980" w:type="dxa"/>
            <w:vAlign w:val="bottom"/>
          </w:tcPr>
          <w:p>
            <w:pPr>
              <w:jc w:val="right"/>
              <w:spacing w:after="0"/>
              <w:rPr>
                <w:sz w:val="20"/>
                <w:szCs w:val="20"/>
                <w:color w:val="auto"/>
              </w:rPr>
            </w:pPr>
            <w:r>
              <w:rPr>
                <w:rFonts w:ascii="Arial" w:cs="Arial" w:eastAsia="Arial" w:hAnsi="Arial"/>
                <w:sz w:val="14"/>
                <w:szCs w:val="14"/>
                <w:color w:val="auto"/>
              </w:rPr>
              <w:t>31,265</w:t>
            </w:r>
          </w:p>
        </w:tc>
        <w:tc>
          <w:tcPr>
            <w:tcW w:w="180" w:type="dxa"/>
            <w:vAlign w:val="bottom"/>
          </w:tcPr>
          <w:p>
            <w:pPr>
              <w:spacing w:after="0"/>
              <w:rPr>
                <w:sz w:val="18"/>
                <w:szCs w:val="18"/>
                <w:color w:val="auto"/>
              </w:rPr>
            </w:pPr>
          </w:p>
        </w:tc>
        <w:tc>
          <w:tcPr>
            <w:tcW w:w="1180" w:type="dxa"/>
            <w:vAlign w:val="bottom"/>
          </w:tcPr>
          <w:p>
            <w:pPr>
              <w:jc w:val="center"/>
              <w:ind w:left="88"/>
              <w:spacing w:after="0"/>
              <w:rPr>
                <w:sz w:val="20"/>
                <w:szCs w:val="20"/>
                <w:color w:val="auto"/>
              </w:rPr>
            </w:pPr>
            <w:r>
              <w:rPr>
                <w:rFonts w:ascii="Arial" w:cs="Arial" w:eastAsia="Arial" w:hAnsi="Arial"/>
                <w:sz w:val="14"/>
                <w:szCs w:val="14"/>
                <w:color w:val="auto"/>
              </w:rPr>
              <w:t>*</w:t>
            </w:r>
          </w:p>
        </w:tc>
      </w:tr>
      <w:tr>
        <w:trPr>
          <w:trHeight w:val="242"/>
        </w:trPr>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15,065,007</w:t>
            </w:r>
          </w:p>
        </w:tc>
        <w:tc>
          <w:tcPr>
            <w:tcW w:w="180" w:type="dxa"/>
            <w:vAlign w:val="bottom"/>
          </w:tcPr>
          <w:p>
            <w:pPr>
              <w:spacing w:after="0"/>
              <w:rPr>
                <w:sz w:val="21"/>
                <w:szCs w:val="21"/>
                <w:color w:val="auto"/>
              </w:rPr>
            </w:pPr>
          </w:p>
        </w:tc>
        <w:tc>
          <w:tcPr>
            <w:tcW w:w="118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color w:val="auto"/>
              </w:rPr>
              <w:t>35.7%</w:t>
            </w:r>
          </w:p>
        </w:tc>
      </w:tr>
    </w:tbl>
    <w:p>
      <w:pPr>
        <w:spacing w:after="0" w:line="228" w:lineRule="exact"/>
        <w:rPr>
          <w:sz w:val="20"/>
          <w:szCs w:val="20"/>
          <w:color w:val="auto"/>
        </w:rPr>
      </w:pPr>
    </w:p>
    <w:p>
      <w:pPr>
        <w:sectPr>
          <w:pgSz w:w="11900" w:h="16838" w:orient="portrait"/>
          <w:cols w:equalWidth="0" w:num="2">
            <w:col w:w="7440" w:space="720"/>
            <w:col w:w="3180"/>
          </w:cols>
          <w:pgMar w:left="240" w:top="459" w:right="319" w:bottom="1440" w:gutter="0" w:footer="0" w:header="0"/>
          <w:type w:val="continuous"/>
        </w:sectPr>
      </w:pPr>
    </w:p>
    <w:p>
      <w:pPr>
        <w:ind w:left="120" w:right="60" w:hanging="112"/>
        <w:spacing w:after="0" w:line="224" w:lineRule="auto"/>
        <w:tabs>
          <w:tab w:leader="none" w:pos="120" w:val="left"/>
        </w:tabs>
        <w:numPr>
          <w:ilvl w:val="0"/>
          <w:numId w:val="30"/>
        </w:numPr>
        <w:rPr>
          <w:rFonts w:ascii="Arial" w:cs="Arial" w:eastAsia="Arial" w:hAnsi="Arial"/>
          <w:sz w:val="11"/>
          <w:szCs w:val="11"/>
          <w:color w:val="auto"/>
        </w:rPr>
      </w:pPr>
      <w:r>
        <w:rPr>
          <w:rFonts w:ascii="Arial" w:cs="Arial" w:eastAsia="Arial" w:hAnsi="Arial"/>
          <w:sz w:val="14"/>
          <w:szCs w:val="14"/>
          <w:color w:val="auto"/>
        </w:rPr>
        <w:t>Based solely on a Schedule 13G/A filed with the SEC on February 13, 2017 by Flagship Venture Fund 2007, L.P. (“Fund 2007”), Flagship Ventures 2007 General Partner LLC (“Fund 2007 GP”), Flagship Ventures Fund IV, L.P. (“Fund IV”), Flagship Ventures Fund IV-Rx, L.P. (“Fund IV-Rx”), Flagship VentureLabs IV, LLC (“VentureLabs IV”), Flagship Ventures Fund IV General Partner LLC (“Fund IV GP”), Noubar B. Afeyan, Ph.D. and Edwin M. Kania, Jr. Fund 2007, Fund 2007 GP, Fund IV, Fund IV-Rx, VentureLabs IV, Fund IV FP, Noubar Afeyan and Edwin Kania are collectively referred to herein as the “Flagship Reporting Persons.” As the general partner of Fund 2007, Fund 2007 GP may be deemed to beneficially own shares of Common Stock directly held by Fund 2007. As the manager of VentureLabs IV, Fund IV may be deemed to beneficially own shares of Common Stock directly held by VentureLabs IV. As the general partner of Fund IV and Fund IV-Rx, Fund IV GP may be deemed to beneficially own shares of Common Stock beneficially owned by Fund IV and directly held by Fund IV-Rx, respectively. Messrs. Afeyan and Kania, as Managers of Fund 2007 GP and</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340"/>
          </w:cols>
          <w:pgMar w:left="240" w:top="459" w:right="3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136" w:lineRule="exact"/>
        <w:rPr>
          <w:sz w:val="20"/>
          <w:szCs w:val="20"/>
          <w:color w:val="auto"/>
        </w:rPr>
      </w:pPr>
    </w:p>
    <w:p>
      <w:pPr>
        <w:ind w:left="120" w:right="40"/>
        <w:spacing w:after="0" w:line="225" w:lineRule="auto"/>
        <w:rPr>
          <w:sz w:val="20"/>
          <w:szCs w:val="20"/>
          <w:color w:val="auto"/>
        </w:rPr>
      </w:pPr>
      <w:r>
        <w:rPr>
          <w:rFonts w:ascii="Arial" w:cs="Arial" w:eastAsia="Arial" w:hAnsi="Arial"/>
          <w:sz w:val="14"/>
          <w:szCs w:val="14"/>
          <w:color w:val="auto"/>
        </w:rPr>
        <w:t>Fund IV GP, may be deemed to beneficially own shares of Common Stock beneficially owned by Fund 2007 GP and Fund IV GP, respectively. Fund IV has shared voting and dispositive power over 10,757,414 shares. Fund IV-Rx has shared voting and dispositive power over 1,925,462 shares. VentureLabs IV has shared voting and dispositive power over 2,734,994 shares. Fund IV GP has shared voting and dispositive power over 12,682,876 shares. Messrs. Afeyan and Kania have shared voting and dispositive power over 12,682,876 shares. Fund 2007 and Fund 2007 GP do not have voting or dispositive power over any shares. The address for the Flagship Reporting Persons is c/o Flagship Pioneering, Inc., 55 Cambridge Parkway, Suite 800E, Cambridge, Massachusetts 02142.</w:t>
      </w:r>
    </w:p>
    <w:p>
      <w:pPr>
        <w:spacing w:after="0" w:line="29" w:lineRule="exact"/>
        <w:rPr>
          <w:sz w:val="20"/>
          <w:szCs w:val="20"/>
          <w:color w:val="auto"/>
        </w:rPr>
      </w:pPr>
    </w:p>
    <w:p>
      <w:pPr>
        <w:ind w:left="120" w:right="160" w:hanging="112"/>
        <w:spacing w:after="0" w:line="272" w:lineRule="auto"/>
        <w:tabs>
          <w:tab w:leader="none" w:pos="120" w:val="left"/>
        </w:tabs>
        <w:numPr>
          <w:ilvl w:val="0"/>
          <w:numId w:val="31"/>
        </w:numPr>
        <w:rPr>
          <w:rFonts w:ascii="Arial" w:cs="Arial" w:eastAsia="Arial" w:hAnsi="Arial"/>
          <w:sz w:val="11"/>
          <w:szCs w:val="11"/>
          <w:color w:val="auto"/>
        </w:rPr>
      </w:pPr>
      <w:r>
        <w:rPr>
          <w:rFonts w:ascii="Arial" w:cs="Arial" w:eastAsia="Arial" w:hAnsi="Arial"/>
          <w:sz w:val="12"/>
          <w:szCs w:val="12"/>
          <w:color w:val="auto"/>
        </w:rPr>
        <w:t>Based solely on a Schedule 13G filed with the SEC on July 6, 2015 by Nestlé Health Science US Holdings, Inc. (“NHS”), NIMCO US, Inc. (“NIMCO”) and Nestlé S.A. (“Nestlé”). NHS is a wholly owned subsidiary of NIMCO, which is a wholly owned subsidiary of Nestlé, a publicly traded company. Each of these entities may be deemed to share voting and investment power with respect to all shares of Common Stock held by NHS. Each of NHS, NIMCO and Nestlé disclaims beneficial ownership of such shares of Common Stock except to the extent of its pecuniary interest therein. The address for NHS and NIMCO is 383 Main Ave., 5th Floor, Norwalk, CT 06851. The address for Nestlé is Avenue Nestlé 55, CH-1800, Vevey Switzerland.</w:t>
      </w:r>
    </w:p>
    <w:p>
      <w:pPr>
        <w:spacing w:after="0" w:line="9" w:lineRule="exact"/>
        <w:rPr>
          <w:sz w:val="20"/>
          <w:szCs w:val="20"/>
          <w:color w:val="auto"/>
        </w:rPr>
      </w:pPr>
    </w:p>
    <w:p>
      <w:pPr>
        <w:ind w:left="120" w:right="80" w:hanging="112"/>
        <w:spacing w:after="0" w:line="223" w:lineRule="auto"/>
        <w:tabs>
          <w:tab w:leader="none" w:pos="120" w:val="left"/>
        </w:tabs>
        <w:numPr>
          <w:ilvl w:val="0"/>
          <w:numId w:val="32"/>
        </w:numPr>
        <w:rPr>
          <w:rFonts w:ascii="Arial" w:cs="Arial" w:eastAsia="Arial" w:hAnsi="Arial"/>
          <w:sz w:val="11"/>
          <w:szCs w:val="11"/>
          <w:color w:val="auto"/>
        </w:rPr>
      </w:pPr>
      <w:r>
        <w:rPr>
          <w:rFonts w:ascii="Arial" w:cs="Arial" w:eastAsia="Arial" w:hAnsi="Arial"/>
          <w:sz w:val="14"/>
          <w:szCs w:val="14"/>
          <w:color w:val="auto"/>
        </w:rPr>
        <w:t>Based solely on a Schedule 13G/A filed on February 14, 2017 by FMR LLC, Abigail P. Johnson and Select Biotechnology Portfolio.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 FMR LLC has sole voting power over 709,025 shares and sole dispositive power over 6,053,363 shares. Abigail P. Johnson has sole dispositive power over 6,053,363 shares. Select Biotechnology Portfolio has sole voting power over 2,320,475 shares. The address for FMR LLC is 245 Summer Street, Boston, Massachusetts 02210.</w:t>
      </w:r>
    </w:p>
    <w:p>
      <w:pPr>
        <w:spacing w:after="0" w:line="30" w:lineRule="exact"/>
        <w:rPr>
          <w:sz w:val="20"/>
          <w:szCs w:val="20"/>
          <w:color w:val="auto"/>
        </w:rPr>
      </w:pPr>
    </w:p>
    <w:p>
      <w:pPr>
        <w:ind w:left="120" w:right="20" w:hanging="112"/>
        <w:spacing w:after="0" w:line="231" w:lineRule="auto"/>
        <w:tabs>
          <w:tab w:leader="none" w:pos="12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757,254 shares of Common Stock which Dr. Pomerantz has the right to acquire pursuant to outstanding stock options which are or will be immediately exercisable within 60 days of April 16, 2017.</w:t>
      </w:r>
    </w:p>
    <w:p>
      <w:pPr>
        <w:spacing w:after="0" w:line="28" w:lineRule="exact"/>
        <w:rPr>
          <w:sz w:val="20"/>
          <w:szCs w:val="20"/>
          <w:color w:val="auto"/>
        </w:rPr>
      </w:pPr>
    </w:p>
    <w:p>
      <w:pPr>
        <w:ind w:left="120" w:right="340" w:hanging="112"/>
        <w:spacing w:after="0" w:line="231" w:lineRule="auto"/>
        <w:tabs>
          <w:tab w:leader="none" w:pos="12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30,000 shares of Common Stock which Dr. Afeyan has the right to acquire pursuant to outstanding stock options which are or will be immediately exercisable within 60 days of April 16, 2017.</w:t>
      </w:r>
    </w:p>
    <w:p>
      <w:pPr>
        <w:spacing w:after="0" w:line="28" w:lineRule="exact"/>
        <w:rPr>
          <w:sz w:val="20"/>
          <w:szCs w:val="20"/>
          <w:color w:val="auto"/>
        </w:rPr>
      </w:pPr>
    </w:p>
    <w:p>
      <w:pPr>
        <w:ind w:left="120" w:right="280" w:hanging="112"/>
        <w:spacing w:after="0" w:line="231" w:lineRule="auto"/>
        <w:tabs>
          <w:tab w:leader="none" w:pos="120" w:val="left"/>
        </w:tabs>
        <w:numPr>
          <w:ilvl w:val="0"/>
          <w:numId w:val="35"/>
        </w:numPr>
        <w:rPr>
          <w:rFonts w:ascii="Arial" w:cs="Arial" w:eastAsia="Arial" w:hAnsi="Arial"/>
          <w:sz w:val="11"/>
          <w:szCs w:val="11"/>
          <w:color w:val="auto"/>
        </w:rPr>
      </w:pPr>
      <w:r>
        <w:rPr>
          <w:rFonts w:ascii="Arial" w:cs="Arial" w:eastAsia="Arial" w:hAnsi="Arial"/>
          <w:sz w:val="14"/>
          <w:szCs w:val="14"/>
          <w:color w:val="auto"/>
        </w:rPr>
        <w:t>Includes 52,500 shares of Common Stock which Dr. Ausiello has the right to acquire pursuant to outstanding stock options which are or will be immediately exercisable within 60 days of April 16, 2017.</w:t>
      </w:r>
    </w:p>
    <w:p>
      <w:pPr>
        <w:spacing w:after="0" w:line="28" w:lineRule="exact"/>
        <w:rPr>
          <w:sz w:val="20"/>
          <w:szCs w:val="20"/>
          <w:color w:val="auto"/>
        </w:rPr>
      </w:pPr>
    </w:p>
    <w:p>
      <w:pPr>
        <w:ind w:left="120" w:right="300" w:hanging="112"/>
        <w:spacing w:after="0" w:line="231" w:lineRule="auto"/>
        <w:tabs>
          <w:tab w:leader="none" w:pos="120" w:val="left"/>
        </w:tabs>
        <w:numPr>
          <w:ilvl w:val="0"/>
          <w:numId w:val="36"/>
        </w:numPr>
        <w:rPr>
          <w:rFonts w:ascii="Arial" w:cs="Arial" w:eastAsia="Arial" w:hAnsi="Arial"/>
          <w:sz w:val="11"/>
          <w:szCs w:val="11"/>
          <w:color w:val="auto"/>
        </w:rPr>
      </w:pPr>
      <w:r>
        <w:rPr>
          <w:rFonts w:ascii="Arial" w:cs="Arial" w:eastAsia="Arial" w:hAnsi="Arial"/>
          <w:sz w:val="14"/>
          <w:szCs w:val="14"/>
          <w:color w:val="auto"/>
        </w:rPr>
        <w:t>Includes 22,500 shares of Common Stock which Mr. Graves has the right to acquire pursuant to outstanding stock options which are or will be immediately exercisable within 60 days of April 16, 2017.</w:t>
      </w:r>
    </w:p>
    <w:p>
      <w:pPr>
        <w:spacing w:after="0" w:line="28" w:lineRule="exact"/>
        <w:rPr>
          <w:sz w:val="20"/>
          <w:szCs w:val="20"/>
          <w:color w:val="auto"/>
        </w:rPr>
      </w:pPr>
    </w:p>
    <w:p>
      <w:pPr>
        <w:ind w:left="120" w:right="480" w:hanging="112"/>
        <w:spacing w:after="0" w:line="231" w:lineRule="auto"/>
        <w:tabs>
          <w:tab w:leader="none" w:pos="120" w:val="left"/>
        </w:tabs>
        <w:numPr>
          <w:ilvl w:val="0"/>
          <w:numId w:val="37"/>
        </w:numPr>
        <w:rPr>
          <w:rFonts w:ascii="Arial" w:cs="Arial" w:eastAsia="Arial" w:hAnsi="Arial"/>
          <w:sz w:val="11"/>
          <w:szCs w:val="11"/>
          <w:color w:val="auto"/>
        </w:rPr>
      </w:pPr>
      <w:r>
        <w:rPr>
          <w:rFonts w:ascii="Arial" w:cs="Arial" w:eastAsia="Arial" w:hAnsi="Arial"/>
          <w:sz w:val="14"/>
          <w:szCs w:val="14"/>
          <w:color w:val="auto"/>
        </w:rPr>
        <w:t>Includes 80,000 shares of Common Stock which Mr. Hutt has the right to acquire pursuant to outstanding stock options which are or will be immediately exercisable within 60 days of April 16, 2017.</w:t>
      </w:r>
    </w:p>
    <w:p>
      <w:pPr>
        <w:spacing w:after="0" w:line="28" w:lineRule="exact"/>
        <w:rPr>
          <w:sz w:val="20"/>
          <w:szCs w:val="20"/>
          <w:color w:val="auto"/>
        </w:rPr>
      </w:pPr>
    </w:p>
    <w:p>
      <w:pPr>
        <w:ind w:left="120" w:right="300" w:hanging="112"/>
        <w:spacing w:after="0" w:line="231" w:lineRule="auto"/>
        <w:tabs>
          <w:tab w:leader="none" w:pos="120" w:val="left"/>
        </w:tabs>
        <w:numPr>
          <w:ilvl w:val="0"/>
          <w:numId w:val="38"/>
        </w:numPr>
        <w:rPr>
          <w:rFonts w:ascii="Arial" w:cs="Arial" w:eastAsia="Arial" w:hAnsi="Arial"/>
          <w:sz w:val="11"/>
          <w:szCs w:val="11"/>
          <w:color w:val="auto"/>
        </w:rPr>
      </w:pPr>
      <w:r>
        <w:rPr>
          <w:rFonts w:ascii="Arial" w:cs="Arial" w:eastAsia="Arial" w:hAnsi="Arial"/>
          <w:sz w:val="14"/>
          <w:szCs w:val="14"/>
          <w:color w:val="auto"/>
        </w:rPr>
        <w:t>Includes 76,875 shares of Common Stock which Mr. Kender has the right to acquire pursuant to outstanding stock options which are or will be immediately exercisable within 60 days of April 16, 2017.</w:t>
      </w:r>
    </w:p>
    <w:p>
      <w:pPr>
        <w:spacing w:after="0" w:line="28" w:lineRule="exact"/>
        <w:rPr>
          <w:sz w:val="20"/>
          <w:szCs w:val="20"/>
          <w:color w:val="auto"/>
        </w:rPr>
      </w:pPr>
    </w:p>
    <w:p>
      <w:pPr>
        <w:ind w:left="180" w:right="460" w:hanging="172"/>
        <w:spacing w:after="0" w:line="231" w:lineRule="auto"/>
        <w:tabs>
          <w:tab w:leader="none" w:pos="1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76,875 shares of Common Stock which Dr. Kim has the right to acquire pursuant to outstanding stock options which are or will be immediately exercisable within 60 days of April 16, 2017.</w:t>
      </w:r>
    </w:p>
    <w:p>
      <w:pPr>
        <w:spacing w:after="0" w:line="27" w:lineRule="exact"/>
        <w:rPr>
          <w:rFonts w:ascii="Arial" w:cs="Arial" w:eastAsia="Arial" w:hAnsi="Arial"/>
          <w:sz w:val="11"/>
          <w:szCs w:val="11"/>
          <w:color w:val="auto"/>
        </w:rPr>
      </w:pPr>
    </w:p>
    <w:p>
      <w:pPr>
        <w:ind w:left="180" w:right="200" w:hanging="172"/>
        <w:spacing w:after="0" w:line="231" w:lineRule="auto"/>
        <w:tabs>
          <w:tab w:leader="none" w:pos="1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Includes 31,250 shares of Common Stock which Mr. Hashad has the right to acquire pursuant to outstanding stock options which are or will be immediately exercisable within 60 days of April 16, 2017.</w:t>
      </w:r>
    </w:p>
    <w:p>
      <w:pPr>
        <w:spacing w:after="0" w:line="27" w:lineRule="exact"/>
        <w:rPr>
          <w:rFonts w:ascii="Arial" w:cs="Arial" w:eastAsia="Arial" w:hAnsi="Arial"/>
          <w:sz w:val="11"/>
          <w:szCs w:val="11"/>
          <w:color w:val="auto"/>
        </w:rPr>
      </w:pPr>
    </w:p>
    <w:p>
      <w:pPr>
        <w:ind w:left="180" w:hanging="172"/>
        <w:spacing w:after="0" w:line="231" w:lineRule="auto"/>
        <w:tabs>
          <w:tab w:leader="none" w:pos="180" w:val="left"/>
        </w:tabs>
        <w:numPr>
          <w:ilvl w:val="0"/>
          <w:numId w:val="39"/>
        </w:numPr>
        <w:rPr>
          <w:rFonts w:ascii="Arial" w:cs="Arial" w:eastAsia="Arial" w:hAnsi="Arial"/>
          <w:sz w:val="11"/>
          <w:szCs w:val="11"/>
          <w:color w:val="auto"/>
        </w:rPr>
      </w:pPr>
      <w:r>
        <w:rPr>
          <w:rFonts w:ascii="Arial" w:cs="Arial" w:eastAsia="Arial" w:hAnsi="Arial"/>
          <w:sz w:val="14"/>
          <w:szCs w:val="14"/>
          <w:color w:val="auto"/>
        </w:rPr>
        <w:t>Consists of (a) 13,260,522 shares of Common Stock and (b) 1,804,485 shares of common stock which the holders have the right to acquire pursuant to outstanding stock options which are or will be immediately exercisable within 60 days of April 16, 2017.</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of the Securities Act of 1933, as amended,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Our finance team is primarily responsible for developing and implementing procedures to obtain information regarding potential related person transactions and for determining whether a related person transaction requiring compliance with our policy exists. Our Chief Financial Officer then presents the related person transaction to our Audit Committee. In reviewing and approving any such transaction, our Audit Committee is tasked to consider all relevant facts and circumstances, including, but not limited to, whether the transaction is on terms comparable to those that could be obtained in an arm’s length transaction, the extent of the related person’s interest in the transaction and the conflicts of interest and corporate opportunity provisions under our Code of Business Conduct and Ethics. No director may participate in approval of a related person transaction in which he or she is a related person. Our Audit Committee may also ratify related person transactions that were entered into by management because pre-approval was not feasible and transactions that were not initially recognized as related person transactions. If these transactions are not ratified, our management must make all reasonable efforts to cancel or annul such transactions. Our management must update our Audit Committee on material changes to any approved or ratified related person transaction and provide an annual status report on all then-current related person transactions. The following are certain transactions, arrangements and relationships with our directors, executive officers and stockholders owning 5% or more of our outstanding Common Stock.</w:t>
      </w: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NESTLÉ HEALTH SCIENCE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 xml:space="preserve">In January 2016 we entered into a Collaboration and License Agreement, or the License Agreement, with Nestec Ltd., or NHS, an affiliate of Nestlé Health Science US Holdings, Inc., which holds 17.1% of our Common Stock as of April 16, 2017, for the development and commercialization of certain of our product candidates in development for the treatment and management of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infection, or CDI, and inflammatory bowel disease, or IBD, including ulcerative colitis and Crohn’s disease. The License Agreement supports the development of our portfolio of products for CDI and IBD in markets outside of the United States and Canada, or the Licensed Territory, and is expected to provide substantial financial support for our ongoing worldwide research and development. We have retained full commercial rights to our entire portfolio of product candidates with respect to the United States and Canada, where we plan to build our own commercial organization.</w:t>
      </w:r>
    </w:p>
    <w:p>
      <w:pPr>
        <w:spacing w:after="0" w:line="5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Under the License Agreement, we granted to NHS an exclusive, royalty-bearing license to develop and commercialize, in the Licensed Territory, certain products based on our microbiome technology that are being developed for the treatment of CDI and IBD, including SER-109, SER-262, SER-287 and SER-301, or the NHS Collaboration Products. Upon mutual agreement, one or more other products based on our microbiome technology for CDI or IBD may be added to the License Agreement in lieu of or in addition to the then-existing NHS Collaboration Products. NHS’ exclusive license in the Licensed</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w:t>
      </w:r>
    </w:p>
    <w:p>
      <w:pPr>
        <w:spacing w:after="0" w:line="13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Territory to develop and commercialize NHS Collaboration Products extends to any indications for which the parties agree to develop such products. We also granted to NHS a non-exclusive license to export, develop and make NHS Collaboration Products in the licensed fields worldwide solely for commercialization in the licensed fields and in the Licensed Territory. Additionally, the rights to develop and commercialize a given Collaboration Product in certain non-EU countries within the Licensed Territory may revert to us if NHS either elects not to pursue commercialization of such NHS Collaboration Product in such country, or fails to meet certain agreed upon milestones for commercialization of such NHS Collaboration Product in such country. If the licensed rights in any country revert to us in this way, then we would pay to NHS a royalty in the mid-single digits on net sales of such Collaboration Product in such country.</w:t>
      </w:r>
    </w:p>
    <w:p>
      <w:pPr>
        <w:spacing w:after="0" w:line="6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License Agreement sets forth our and NHS’ respective obligations for development, commercialization, regulatory and manufacturing and supply activities for the NHS Collaboration Products with respect to the licensed fields and the Licensed Territory. Under the License Agreement, our and NHS’ development activities will be governed by global and regional development plans, including the conduct of additional clinical studies. We agreed to manufacture and supply NHS Collaboration Products to support development and commercialization of NHS Collaboration Products in the licensed fields and in the Licensed Territory. We also agreed to use diligent efforts to develop NHS Collaboration Products under a global development plan and to obtain approval for such NHS Collaboration Products in the European Union.</w:t>
      </w:r>
    </w:p>
    <w:p>
      <w:pPr>
        <w:spacing w:after="0" w:line="5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exchange for the license, NHS paid us an upfront cash payment of $120 million in February 2016. NHS has also agreed to pay us tiered royalties, at percentages ranging from the high single digits to high teens, of net sales of NHS Collaboration Products in the Licensed Territory. Additionally, NHS has agreed to pay us up to $660 million for the achievement of certain development and regulatory milestones and up to an aggregate of $1.125 billion for the achievement of certain commercial milestones related to the sales of NHS Collaboration Products. We received a $10 million milestone payment in 2016 associated with the initiation of our Phase 1b study for SER-262 in CDI.</w:t>
      </w:r>
    </w:p>
    <w:p>
      <w:pPr>
        <w:spacing w:after="0" w:line="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development of NHS Collaboration Products for IBD under a global development plan, we are obligated to pay the costs of clinical trials of such products up to and including Phase 2 clinical trials, and 67% of the costs for Phase 3 and other clinical trials of such products, with NHS bearing the remaining 33% of such costs. For other clinical development of NHS Collaboration Products for IBD, we agreed to pay the costs of such activities to support approval in the United States and Canada, and NHS agreed to bear the cost of such activities to support approval of NHS Collaboration Products in the Licensed Territory.</w:t>
      </w:r>
    </w:p>
    <w:p>
      <w:pPr>
        <w:spacing w:after="0" w:line="6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With respect to development of NHS Collaboration Products for CDI under a global development plan, we agreed to pay all costs of an ongoing Phase 2 clinical trial for SER-109 and of Phase 3 clinical trials for SER-109. We agreed to bear all costs of conducting any Phase 1 or Phase 2 clinical trials under a global development plan for NHS Collaboration Products other than SER-109 for CDI. We agreed to pay 67% and NHS agreed to pay 33% of other costs of Phase 3 clinical trials conducted for NHS Collaboration Products other than SER-109 for CDI under a global development plan. For other clinical development of NHS Collaboration Products for CDI, we agreed to pay costs of such development activities to support approval in the United States and Canada, and NHS agreed to bear the cost of such activities to support approval of NHS Collaboration Products in the Licensed Territory.</w:t>
      </w:r>
    </w:p>
    <w:p>
      <w:pPr>
        <w:spacing w:after="0" w:line="5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License Agreement continues in effect until terminated by either us or NHS on the following bases: (i) NHS may terminate the License Agreement in the event of serious safety issues related to any of the NHS Collaboration Products; (ii) we may terminate the License Agreement if NHS challenges the validity or enforceability of any of our licensed patents; and (iii) either we or NHS may terminate the License Agreement in the event of the other party’s uncured material breach or insolvency. Upon termination of the License Agreement, all licenses granted to NHS by us will terminate, and all rights in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CERTAIN RELATIONSHIPS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and to the NHS Collaboration Products in the Licensed Territory will revert to us. If we commit a material breach of the License Agreement, NHS may elect not to terminate the License Agreement but instead apply specified adjustments to its payment obligations and other terms and conditions of the License Agreement.</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We have entered into employment agreements with our executive officers. For more information regarding the employment agreements with our named executive officers, see the section in this proxy statement entitled “Executive and Director Compensation—Employment Agreements.”</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Section 16(a) of the Exchange Act requires our directors, executive officers and stockholders who beneficially own more than 10% of any class of our equity securities registered pursuant to Section 12 of the Exchange Act, or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515620</wp:posOffset>
            </wp:positionV>
            <wp:extent cx="724662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fiscal year ended December 31, 2016, Noubar B. Afeyan, Ph.D., Peter Barton Hutt and Richard N. Kender served as members of our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2016.</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Stockholders who intend to have a proposal considered for inclusion in our proxy materials for presentation at our 2018 Annual Meeting of Stockholders pursuant to Rule 14a-8 under the Exchange Act must submit the proposal to our Secretary at our offices at 200 Sidney Street, Cambridge, MA 02142 in writing not later than January 1, 2018.</w:t>
      </w:r>
    </w:p>
    <w:p>
      <w:pPr>
        <w:spacing w:after="0" w:line="5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Stockholders intending to present a proposal at the 2018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2018 Annual Meeting of Stockholders no earlier than the close of business on February 20, 2018 and no later than the close of business on March 22, 2018. The notice must contain the information required by the Amended and Restated Bylaws, a copy of which is available upon request to our Secretary. In the event that the date of the 2018 Annual Meeting of Stockholders is more than 30 days before or more than 60 days after June 20, 2018, then our Secretary must receive such written notice not earlier than the close of business on the 120th day prior to the 2018 Annual Meeting and not later than the close of business on the 90th day prior to the 2018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6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246620"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accompanying proxy is solicited by and on behalf of our Board of Directors,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9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Certain information contained in this proxy statement relating to the occupations and security holdings of our directors and officers is based upon information received from the individual directors and officers.</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289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Seres’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A copy of Seres’ Annual Report on Form 10-K for the fiscal year ended December 31, 2016, including financial statements and schedules thereto but not including exhibits, as filed with the SEC, will be sent to any stockholder of record on April 26, 2017 without charge upon written request addressed to:</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Seres Therapeutics, Inc.</w:t>
      </w:r>
    </w:p>
    <w:p>
      <w:pPr>
        <w:ind w:left="900"/>
        <w:spacing w:after="0" w:line="234" w:lineRule="auto"/>
        <w:rPr>
          <w:sz w:val="20"/>
          <w:szCs w:val="20"/>
          <w:color w:val="auto"/>
        </w:rPr>
      </w:pPr>
      <w:r>
        <w:rPr>
          <w:rFonts w:ascii="Arial" w:cs="Arial" w:eastAsia="Arial" w:hAnsi="Arial"/>
          <w:sz w:val="18"/>
          <w:szCs w:val="18"/>
          <w:color w:val="auto"/>
        </w:rPr>
        <w:t>Attention: Secretary</w:t>
      </w:r>
    </w:p>
    <w:p>
      <w:pPr>
        <w:ind w:left="900"/>
        <w:spacing w:after="0" w:line="235" w:lineRule="auto"/>
        <w:rPr>
          <w:sz w:val="20"/>
          <w:szCs w:val="20"/>
          <w:color w:val="auto"/>
        </w:rPr>
      </w:pPr>
      <w:r>
        <w:rPr>
          <w:rFonts w:ascii="Arial" w:cs="Arial" w:eastAsia="Arial" w:hAnsi="Arial"/>
          <w:sz w:val="18"/>
          <w:szCs w:val="18"/>
          <w:color w:val="auto"/>
        </w:rPr>
        <w:t>200 Sidney Street</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Cambridge, MA 02139</w:t>
      </w:r>
    </w:p>
    <w:p>
      <w:pPr>
        <w:spacing w:after="0" w:line="320"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 xml:space="preserve">A reasonable fee will be charged for copies of exhibits. You also may access this proxy statement and our Annual Report on Form 10-K at </w:t>
      </w:r>
      <w:r>
        <w:rPr>
          <w:rFonts w:ascii="Arial" w:cs="Arial" w:eastAsia="Arial" w:hAnsi="Arial"/>
          <w:sz w:val="18"/>
          <w:szCs w:val="18"/>
          <w:i w:val="1"/>
          <w:iCs w:val="1"/>
          <w:color w:val="auto"/>
        </w:rPr>
        <w:t>www.proxyvote.com</w:t>
      </w:r>
      <w:r>
        <w:rPr>
          <w:rFonts w:ascii="Arial" w:cs="Arial" w:eastAsia="Arial" w:hAnsi="Arial"/>
          <w:sz w:val="18"/>
          <w:szCs w:val="18"/>
          <w:color w:val="auto"/>
        </w:rPr>
        <w:t>. You also may access our Annual Report on Form 10-K for the year ended December 31, 2016 at</w:t>
      </w:r>
      <w:r>
        <w:rPr>
          <w:rFonts w:ascii="Arial" w:cs="Arial" w:eastAsia="Arial" w:hAnsi="Arial"/>
          <w:sz w:val="18"/>
          <w:szCs w:val="18"/>
          <w:i w:val="1"/>
          <w:iCs w:val="1"/>
          <w:color w:val="auto"/>
        </w:rPr>
        <w:t xml:space="preserve"> www.serestherapeutics.com</w:t>
      </w:r>
      <w:r>
        <w:rPr>
          <w:rFonts w:ascii="Arial" w:cs="Arial" w:eastAsia="Arial" w:hAnsi="Arial"/>
          <w:sz w:val="18"/>
          <w:szCs w:val="18"/>
          <w:color w:val="auto"/>
        </w:rPr>
        <w:t>.</w:t>
      </w:r>
    </w:p>
    <w:p>
      <w:pPr>
        <w:spacing w:after="0" w:line="181"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WHETHER OR NOT YOU PLAN TO ATTEND THE ANNUAL MEETING IN PERSON,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20875" cy="4286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9208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Thomas J. DesRosier, Secretary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w:t>
      </w:r>
    </w:p>
    <w:p>
      <w:pPr>
        <w:spacing w:after="0"/>
        <w:rPr>
          <w:sz w:val="20"/>
          <w:szCs w:val="20"/>
          <w:color w:val="auto"/>
        </w:rPr>
      </w:pPr>
      <w:r>
        <w:rPr>
          <w:rFonts w:ascii="Arial" w:cs="Arial" w:eastAsia="Arial" w:hAnsi="Arial"/>
          <w:sz w:val="18"/>
          <w:szCs w:val="18"/>
          <w:color w:val="auto"/>
        </w:rPr>
        <w:t>May 1, 2017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ind w:left="300"/>
        <w:spacing w:after="0"/>
        <w:rPr>
          <w:sz w:val="20"/>
          <w:szCs w:val="20"/>
          <w:color w:val="auto"/>
        </w:rPr>
      </w:pPr>
      <w:r>
        <w:rPr>
          <w:rFonts w:ascii="Arial" w:cs="Arial" w:eastAsia="Arial" w:hAnsi="Arial"/>
          <w:sz w:val="13"/>
          <w:szCs w:val="13"/>
          <w:b w:val="1"/>
          <w:bCs w:val="1"/>
          <w:i w:val="1"/>
          <w:iCs w:val="1"/>
          <w:color w:val="auto"/>
        </w:rPr>
        <w:t>SERES THERAPEUTICS, INC.</w:t>
      </w:r>
    </w:p>
    <w:p>
      <w:pPr>
        <w:ind w:left="300"/>
        <w:spacing w:after="0" w:line="237" w:lineRule="auto"/>
        <w:rPr>
          <w:sz w:val="20"/>
          <w:szCs w:val="20"/>
          <w:color w:val="auto"/>
        </w:rPr>
      </w:pPr>
      <w:r>
        <w:rPr>
          <w:rFonts w:ascii="Arial" w:cs="Arial" w:eastAsia="Arial" w:hAnsi="Arial"/>
          <w:sz w:val="14"/>
          <w:szCs w:val="14"/>
          <w:b w:val="1"/>
          <w:bCs w:val="1"/>
          <w:i w:val="1"/>
          <w:iCs w:val="1"/>
          <w:color w:val="auto"/>
        </w:rPr>
        <w:t>200 SIDNEY STREET</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CAMBRIDGE, MA 02139</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 - www.proxyvote.com</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60"/>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800"/>
          </w:cols>
          <w:pgMar w:left="240" w:top="459" w:right="239"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line="221" w:lineRule="auto"/>
        <w:rPr>
          <w:sz w:val="20"/>
          <w:szCs w:val="20"/>
          <w:color w:val="auto"/>
        </w:rPr>
      </w:pPr>
      <w:r>
        <w:rPr>
          <w:rFonts w:ascii="Arial" w:cs="Arial" w:eastAsia="Arial" w:hAnsi="Arial"/>
          <w:sz w:val="14"/>
          <w:szCs w:val="14"/>
          <w:color w:val="auto"/>
        </w:rPr>
        <w:t>KEEP THIS PORTION FOR YOUR RECORDS</w:t>
      </w:r>
    </w:p>
    <w:p>
      <w:pPr>
        <w:jc w:val="right"/>
        <w:ind w:right="40"/>
        <w:spacing w:after="0"/>
        <w:rPr>
          <w:sz w:val="20"/>
          <w:szCs w:val="20"/>
          <w:color w:val="auto"/>
        </w:rPr>
      </w:pPr>
      <w:r>
        <w:rPr>
          <w:rFonts w:ascii="Arial" w:cs="Arial" w:eastAsia="Arial" w:hAnsi="Arial"/>
          <w:sz w:val="14"/>
          <w:szCs w:val="14"/>
          <w:color w:val="auto"/>
        </w:rPr>
        <w:t>— — — — — — — — — — — — — — — — — — — — — — — — — — — — — — — — — — — — — — — — — — — — — — — — — — — — —</w:t>
      </w:r>
    </w:p>
    <w:p>
      <w:pPr>
        <w:spacing w:after="0" w:line="12" w:lineRule="exact"/>
        <w:rPr>
          <w:sz w:val="20"/>
          <w:szCs w:val="20"/>
          <w:color w:val="auto"/>
        </w:rPr>
      </w:pPr>
    </w:p>
    <w:p>
      <w:pPr>
        <w:jc w:val="right"/>
        <w:spacing w:after="0"/>
        <w:tabs>
          <w:tab w:leader="none" w:pos="292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3"/>
          <w:szCs w:val="13"/>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100965</wp:posOffset>
            </wp:positionV>
            <wp:extent cx="7031990" cy="37820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31990" cy="378206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ind w:left="3920"/>
        <w:spacing w:after="0"/>
        <w:tabs>
          <w:tab w:leader="none" w:pos="4280" w:val="left"/>
          <w:tab w:leader="none" w:pos="5020" w:val="left"/>
        </w:tabs>
        <w:rPr>
          <w:sz w:val="20"/>
          <w:szCs w:val="20"/>
          <w:color w:val="auto"/>
        </w:rPr>
      </w:pPr>
      <w:r>
        <w:rPr>
          <w:rFonts w:ascii="Arial" w:cs="Arial" w:eastAsia="Arial" w:hAnsi="Arial"/>
          <w:sz w:val="14"/>
          <w:szCs w:val="14"/>
          <w:b w:val="1"/>
          <w:bCs w:val="1"/>
          <w:color w:val="auto"/>
        </w:rPr>
        <w:t>For</w:t>
        <w:tab/>
        <w:t>Withhold</w:t>
      </w:r>
      <w:r>
        <w:rPr>
          <w:sz w:val="20"/>
          <w:szCs w:val="20"/>
          <w:color w:val="auto"/>
        </w:rPr>
        <w:tab/>
      </w:r>
      <w:r>
        <w:rPr>
          <w:rFonts w:ascii="Arial" w:cs="Arial" w:eastAsia="Arial" w:hAnsi="Arial"/>
          <w:sz w:val="13"/>
          <w:szCs w:val="13"/>
          <w:b w:val="1"/>
          <w:bCs w:val="1"/>
          <w:color w:val="auto"/>
        </w:rPr>
        <w:t>For All</w:t>
      </w:r>
    </w:p>
    <w:p>
      <w:pPr>
        <w:jc w:val="both"/>
        <w:ind w:left="620" w:right="20"/>
        <w:spacing w:after="0" w:line="238" w:lineRule="auto"/>
        <w:rPr>
          <w:sz w:val="20"/>
          <w:szCs w:val="20"/>
          <w:color w:val="auto"/>
        </w:rPr>
      </w:pPr>
      <w:r>
        <w:rPr>
          <w:rFonts w:ascii="Arial" w:cs="Arial" w:eastAsia="Arial" w:hAnsi="Arial"/>
          <w:sz w:val="12"/>
          <w:szCs w:val="12"/>
          <w:b w:val="1"/>
          <w:bCs w:val="1"/>
          <w:color w:val="auto"/>
        </w:rPr>
        <w:t xml:space="preserve">The Board of Directors recommends you vote FOR </w:t>
      </w:r>
      <w:r>
        <w:rPr>
          <w:rFonts w:ascii="Arial" w:cs="Arial" w:eastAsia="Arial" w:hAnsi="Arial"/>
          <w:sz w:val="22"/>
          <w:szCs w:val="22"/>
          <w:b w:val="1"/>
          <w:bCs w:val="1"/>
          <w:color w:val="auto"/>
          <w:vertAlign w:val="subscript"/>
        </w:rPr>
        <w:t>All All Except</w:t>
      </w:r>
      <w:r>
        <w:rPr>
          <w:rFonts w:ascii="Arial" w:cs="Arial" w:eastAsia="Arial" w:hAnsi="Arial"/>
          <w:sz w:val="12"/>
          <w:szCs w:val="12"/>
          <w:b w:val="1"/>
          <w:bCs w:val="1"/>
          <w:color w:val="auto"/>
        </w:rPr>
        <w:t xml:space="preserve"> the following:</w:t>
      </w:r>
    </w:p>
    <w:p>
      <w:pPr>
        <w:ind w:left="3960"/>
        <w:spacing w:after="0" w:line="141" w:lineRule="exact"/>
        <w:tabs>
          <w:tab w:leader="none" w:pos="4500" w:val="left"/>
          <w:tab w:leader="none" w:pos="516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77" w:lineRule="exact"/>
        <w:rPr>
          <w:sz w:val="20"/>
          <w:szCs w:val="20"/>
          <w:color w:val="auto"/>
        </w:rPr>
      </w:pPr>
    </w:p>
    <w:p>
      <w:pPr>
        <w:ind w:left="920" w:hanging="295"/>
        <w:spacing w:after="0"/>
        <w:tabs>
          <w:tab w:leader="none" w:pos="920" w:val="left"/>
        </w:tabs>
        <w:numPr>
          <w:ilvl w:val="0"/>
          <w:numId w:val="40"/>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78" w:lineRule="exact"/>
        <w:rPr>
          <w:rFonts w:ascii="Arial" w:cs="Arial" w:eastAsia="Arial" w:hAnsi="Arial"/>
          <w:sz w:val="14"/>
          <w:szCs w:val="14"/>
          <w:b w:val="1"/>
          <w:bCs w:val="1"/>
          <w:color w:val="auto"/>
        </w:rPr>
      </w:pPr>
    </w:p>
    <w:p>
      <w:pPr>
        <w:ind w:left="102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00" w:lineRule="exact"/>
        <w:rPr>
          <w:sz w:val="20"/>
          <w:szCs w:val="20"/>
          <w:color w:val="auto"/>
        </w:rPr>
      </w:pPr>
    </w:p>
    <w:p>
      <w:pPr>
        <w:ind w:left="1020"/>
        <w:spacing w:after="0"/>
        <w:tabs>
          <w:tab w:leader="none" w:pos="1300" w:val="left"/>
          <w:tab w:leader="none" w:pos="2860" w:val="left"/>
          <w:tab w:leader="none" w:pos="3140" w:val="left"/>
        </w:tabs>
        <w:rPr>
          <w:sz w:val="20"/>
          <w:szCs w:val="20"/>
          <w:color w:val="auto"/>
        </w:rPr>
      </w:pPr>
      <w:r>
        <w:rPr>
          <w:rFonts w:ascii="Arial" w:cs="Arial" w:eastAsia="Arial" w:hAnsi="Arial"/>
          <w:sz w:val="14"/>
          <w:szCs w:val="14"/>
          <w:color w:val="auto"/>
        </w:rPr>
        <w:t>01</w:t>
        <w:tab/>
        <w:t>Richard N. Kender</w:t>
      </w:r>
      <w:r>
        <w:rPr>
          <w:sz w:val="20"/>
          <w:szCs w:val="20"/>
          <w:color w:val="auto"/>
        </w:rPr>
        <w:tab/>
      </w:r>
      <w:r>
        <w:rPr>
          <w:rFonts w:ascii="Arial" w:cs="Arial" w:eastAsia="Arial" w:hAnsi="Arial"/>
          <w:sz w:val="14"/>
          <w:szCs w:val="14"/>
          <w:color w:val="auto"/>
        </w:rPr>
        <w:t>02</w:t>
      </w:r>
      <w:r>
        <w:rPr>
          <w:sz w:val="20"/>
          <w:szCs w:val="20"/>
          <w:color w:val="auto"/>
        </w:rPr>
        <w:tab/>
      </w:r>
      <w:r>
        <w:rPr>
          <w:rFonts w:ascii="Arial" w:cs="Arial" w:eastAsia="Arial" w:hAnsi="Arial"/>
          <w:sz w:val="13"/>
          <w:szCs w:val="13"/>
          <w:color w:val="auto"/>
        </w:rPr>
        <w:t>Lorence H Kim, M.D.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right="2240"/>
        <w:spacing w:after="0" w:line="238"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1084" w:lineRule="exact"/>
        <w:rPr>
          <w:sz w:val="20"/>
          <w:szCs w:val="20"/>
          <w:color w:val="auto"/>
        </w:rPr>
      </w:pPr>
    </w:p>
    <w:p>
      <w:pPr>
        <w:sectPr>
          <w:pgSz w:w="11900" w:h="16838" w:orient="portrait"/>
          <w:cols w:equalWidth="0" w:num="2">
            <w:col w:w="5480" w:space="260"/>
            <w:col w:w="5680"/>
          </w:cols>
          <w:pgMar w:left="240" w:top="459" w:right="239" w:bottom="1440" w:gutter="0" w:footer="0" w:header="0"/>
          <w:type w:val="continuous"/>
        </w:sectPr>
      </w:pPr>
    </w:p>
    <w:p>
      <w:pPr>
        <w:spacing w:after="0" w:line="148" w:lineRule="exact"/>
        <w:rPr>
          <w:sz w:val="20"/>
          <w:szCs w:val="20"/>
          <w:color w:val="auto"/>
        </w:rPr>
      </w:pPr>
    </w:p>
    <w:p>
      <w:pPr>
        <w:ind w:left="620"/>
        <w:spacing w:after="0"/>
        <w:tabs>
          <w:tab w:leader="none" w:pos="9640" w:val="left"/>
          <w:tab w:leader="none" w:pos="10040" w:val="left"/>
          <w:tab w:leader="none" w:pos="10740" w:val="left"/>
        </w:tabs>
        <w:rPr>
          <w:sz w:val="20"/>
          <w:szCs w:val="20"/>
          <w:color w:val="auto"/>
        </w:rPr>
      </w:pPr>
      <w:r>
        <w:rPr>
          <w:rFonts w:ascii="Arial" w:cs="Arial" w:eastAsia="Arial" w:hAnsi="Arial"/>
          <w:sz w:val="14"/>
          <w:szCs w:val="14"/>
          <w:b w:val="1"/>
          <w:bCs w:val="1"/>
          <w:color w:val="auto"/>
        </w:rPr>
        <w:t>The Board of Directors recommends you vote FOR the following proposal:</w:t>
      </w:r>
      <w:r>
        <w:rPr>
          <w:sz w:val="20"/>
          <w:szCs w:val="20"/>
          <w:color w:val="auto"/>
        </w:rPr>
        <w:tab/>
      </w: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134" w:lineRule="exact"/>
        <w:rPr>
          <w:sz w:val="20"/>
          <w:szCs w:val="20"/>
          <w:color w:val="auto"/>
        </w:rPr>
      </w:pPr>
    </w:p>
    <w:p>
      <w:pPr>
        <w:ind w:left="980" w:hanging="297"/>
        <w:spacing w:after="0"/>
        <w:tabs>
          <w:tab w:leader="none" w:pos="980"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Ratify the appointment of PricewaterhouseCoopers LLP as our independent registered public accounting firm for the fiscal year ending</w:t>
      </w:r>
    </w:p>
    <w:p>
      <w:pPr>
        <w:ind w:left="980"/>
        <w:spacing w:after="0" w:line="161" w:lineRule="exact"/>
        <w:tabs>
          <w:tab w:leader="none" w:pos="9700" w:val="left"/>
          <w:tab w:leader="none" w:pos="10200" w:val="left"/>
          <w:tab w:leader="none" w:pos="10920" w:val="left"/>
        </w:tabs>
        <w:rPr>
          <w:sz w:val="20"/>
          <w:szCs w:val="20"/>
          <w:color w:val="auto"/>
        </w:rPr>
      </w:pPr>
      <w:r>
        <w:rPr>
          <w:rFonts w:ascii="Arial" w:cs="Arial" w:eastAsia="Arial" w:hAnsi="Arial"/>
          <w:sz w:val="14"/>
          <w:szCs w:val="14"/>
          <w:color w:val="auto"/>
        </w:rPr>
        <w:t>December 31, 2017.</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2"/>
          <w:szCs w:val="12"/>
          <w:color w:val="auto"/>
        </w:rPr>
        <w:t>☐</w:t>
      </w:r>
    </w:p>
    <w:p>
      <w:pPr>
        <w:spacing w:after="0" w:line="261"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To transact such other business as may properly come before the Annual Meeting or any continuation,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487045</wp:posOffset>
            </wp:positionV>
            <wp:extent cx="77470" cy="1054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1054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20" w:right="560"/>
        <w:spacing w:after="0" w:line="25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90" w:lineRule="exact"/>
        <w:rPr>
          <w:sz w:val="20"/>
          <w:szCs w:val="20"/>
          <w:color w:val="auto"/>
        </w:rPr>
      </w:pPr>
    </w:p>
    <w:p>
      <w:pPr>
        <w:ind w:left="680"/>
        <w:spacing w:after="0"/>
        <w:tabs>
          <w:tab w:leader="none" w:pos="4220" w:val="left"/>
          <w:tab w:leader="none" w:pos="5720" w:val="left"/>
          <w:tab w:leader="none" w:pos="96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available at </w:t>
      </w:r>
      <w:r>
        <w:rPr>
          <w:rFonts w:ascii="Arial" w:cs="Arial" w:eastAsia="Arial" w:hAnsi="Arial"/>
          <w:sz w:val="18"/>
          <w:szCs w:val="18"/>
          <w:u w:val="single" w:color="auto"/>
          <w:color w:val="auto"/>
        </w:rPr>
        <w:t>www.proxyvote.com</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57785</wp:posOffset>
            </wp:positionV>
            <wp:extent cx="7083425" cy="33877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083425" cy="3387725"/>
                    </a:xfrm>
                    <a:prstGeom prst="rect">
                      <a:avLst/>
                    </a:prstGeom>
                    <a:noFill/>
                  </pic:spPr>
                </pic:pic>
              </a:graphicData>
            </a:graphic>
          </wp:anchor>
        </w:drawing>
      </w:r>
    </w:p>
    <w:p>
      <w:pPr>
        <w:spacing w:after="0" w:line="12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SERES THERAPEUTICS, INC.</w:t>
      </w:r>
    </w:p>
    <w:p>
      <w:pPr>
        <w:spacing w:after="0" w:line="27"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June 20, 2017 8:00 AM EDT</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740" w:right="40"/>
        <w:spacing w:after="0" w:line="276" w:lineRule="auto"/>
        <w:rPr>
          <w:sz w:val="20"/>
          <w:szCs w:val="20"/>
          <w:color w:val="auto"/>
        </w:rPr>
      </w:pPr>
      <w:r>
        <w:rPr>
          <w:rFonts w:ascii="Arial" w:cs="Arial" w:eastAsia="Arial" w:hAnsi="Arial"/>
          <w:sz w:val="17"/>
          <w:szCs w:val="17"/>
          <w:color w:val="auto"/>
        </w:rPr>
        <w:t>The undersigned stockholder(s) hereby appoint(s) Roger J. Pomerantz, M.D. and Thomas J. DesRosier, or either of them, as proxies, each with the power to appoint his substitute, and hereby authorizes them to represent and to vote, as designated on the reverse side of this proxy card, all of the shares of common stock of Seres Therapeutics, Inc. that the undersigned stockholder(s) is/are entitled to vote at the Annual Meeting of Stockholder(s) to be held at 8:00 AM EDT on June 20, 2017, at the corporate headquarters of Seres Therapeutics, Inc., 200 Sidney Street Cambridge, MA 02139, and any adjournment, continuation, or postponement thereof.</w:t>
      </w:r>
    </w:p>
    <w:p>
      <w:pPr>
        <w:spacing w:after="0" w:line="200" w:lineRule="exact"/>
        <w:rPr>
          <w:sz w:val="20"/>
          <w:szCs w:val="20"/>
          <w:color w:val="auto"/>
        </w:rPr>
      </w:pPr>
    </w:p>
    <w:p>
      <w:pPr>
        <w:ind w:left="740"/>
        <w:spacing w:after="0" w:line="259" w:lineRule="auto"/>
        <w:rPr>
          <w:sz w:val="20"/>
          <w:szCs w:val="20"/>
          <w:color w:val="auto"/>
        </w:rPr>
      </w:pPr>
      <w:r>
        <w:rPr>
          <w:rFonts w:ascii="Arial" w:cs="Arial" w:eastAsia="Arial" w:hAnsi="Arial"/>
          <w:sz w:val="18"/>
          <w:szCs w:val="18"/>
          <w:color w:val="auto"/>
        </w:rPr>
        <w:t>Such proxies are authorized to vote in their discretion (x) for the election of any person to the Board of Directors if any nominee named herein becomes unable to serve or for good cause will not serve, (y) on any matter that the Board of Directors did not know would be presented at the Annual Meeting by a reasonable time before the proxy solicitation was made, and (z) on such other business as may properly be brought before the meeting or any adjournment, continuation, or postponement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-94615</wp:posOffset>
            </wp:positionV>
            <wp:extent cx="77470" cy="9779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977900"/>
                    </a:xfrm>
                    <a:prstGeom prst="rect">
                      <a:avLst/>
                    </a:prstGeom>
                    <a:noFill/>
                  </pic:spPr>
                </pic:pic>
              </a:graphicData>
            </a:graphic>
          </wp:anchor>
        </w:drawing>
      </w:r>
    </w:p>
    <w:p>
      <w:pPr>
        <w:spacing w:after="0" w:line="190" w:lineRule="exact"/>
        <w:rPr>
          <w:sz w:val="20"/>
          <w:szCs w:val="20"/>
          <w:color w:val="auto"/>
        </w:rPr>
      </w:pPr>
    </w:p>
    <w:p>
      <w:pPr>
        <w:ind w:left="740" w:right="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stockholder(s).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left="320"/>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lvl w:ilvl="1">
      <w:lvlJc w:val="left"/>
      <w:lvlText w:val="(%2)"/>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2"/>
      <w:numFmt w:val="bullet"/>
      <w:start w:val="1"/>
    </w:lvl>
  </w:abstractNum>
  <w:abstractNum w:abstractNumId="9">
    <w:nsid w:val="4353D0CD"/>
    <w:multiLevelType w:val="hybridMultilevel"/>
    <w:lvl w:ilvl="0">
      <w:lvlJc w:val="left"/>
      <w:lvlText w:val="3"/>
      <w:numFmt w:val="bullet"/>
      <w:start w:val="1"/>
    </w:lvl>
  </w:abstractNum>
  <w:abstractNum w:abstractNumId="10">
    <w:nsid w:val="B03E0C6"/>
    <w:multiLevelType w:val="hybridMultilevel"/>
    <w:lvl w:ilvl="0">
      <w:lvlJc w:val="left"/>
      <w:lvlText w:val="4"/>
      <w:numFmt w:val="bullet"/>
      <w:start w:val="1"/>
    </w:lvl>
  </w:abstractNum>
  <w:abstractNum w:abstractNumId="11">
    <w:nsid w:val="189A769B"/>
    <w:multiLevelType w:val="hybridMultilevel"/>
    <w:lvl w:ilvl="0">
      <w:lvlJc w:val="left"/>
      <w:lvlText w:val="5"/>
      <w:numFmt w:val="bullet"/>
      <w:start w:val="1"/>
    </w:lvl>
  </w:abstractNum>
  <w:abstractNum w:abstractNumId="12">
    <w:nsid w:val="54E49EB4"/>
    <w:multiLevelType w:val="hybridMultilevel"/>
    <w:lvl w:ilvl="0">
      <w:lvlJc w:val="left"/>
      <w:lvlText w:val="6"/>
      <w:numFmt w:val="bullet"/>
      <w:start w:val="1"/>
    </w:lvl>
  </w:abstractNum>
  <w:abstractNum w:abstractNumId="13">
    <w:nsid w:val="71F32454"/>
    <w:multiLevelType w:val="hybridMultilevel"/>
    <w:lvl w:ilvl="0">
      <w:lvlJc w:val="left"/>
      <w:lvlText w:val="7"/>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5"/>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lvl w:ilvl="1">
      <w:lvlJc w:val="left"/>
      <w:lvlText w:val="(%2)"/>
      <w:numFmt w:val="lowerRoman"/>
      <w:start w:val="5"/>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lvl w:ilvl="1">
      <w:lvlJc w:val="left"/>
      <w:lvlText w:val="•"/>
      <w:numFmt w:val="bullet"/>
      <w:start w:val="1"/>
    </w:lvl>
  </w:abstractNum>
  <w:abstractNum w:abstractNumId="25">
    <w:nsid w:val="3006C83E"/>
    <w:multiLevelType w:val="hybridMultilevel"/>
    <w:lvl w:ilvl="0">
      <w:lvlJc w:val="left"/>
      <w:lvlText w:val="(%1)"/>
      <w:numFmt w:val="decimal"/>
      <w:start w:val="1"/>
    </w:lvl>
  </w:abstractNum>
  <w:abstractNum w:abstractNumId="26">
    <w:nsid w:val="614FD4A1"/>
    <w:multiLevelType w:val="hybridMultilevel"/>
    <w:lvl w:ilvl="0">
      <w:lvlJc w:val="left"/>
      <w:lvlText w:val="1"/>
      <w:numFmt w:val="bullet"/>
      <w:start w:val="1"/>
    </w:lvl>
  </w:abstractNum>
  <w:abstractNum w:abstractNumId="27">
    <w:nsid w:val="419AC241"/>
    <w:multiLevelType w:val="hybridMultilevel"/>
    <w:lvl w:ilvl="0">
      <w:lvlJc w:val="left"/>
      <w:lvlText w:val="3"/>
      <w:numFmt w:val="bullet"/>
      <w:start w:val="1"/>
    </w:lvl>
  </w:abstractNum>
  <w:abstractNum w:abstractNumId="28">
    <w:nsid w:val="5577F8E1"/>
    <w:multiLevelType w:val="hybridMultilevel"/>
    <w:lvl w:ilvl="0">
      <w:lvlJc w:val="left"/>
      <w:lvlText w:val="4"/>
      <w:numFmt w:val="bullet"/>
      <w:start w:val="1"/>
    </w:lvl>
  </w:abstractNum>
  <w:abstractNum w:abstractNumId="29">
    <w:nsid w:val="440BADFC"/>
    <w:multiLevelType w:val="hybridMultilevel"/>
    <w:lvl w:ilvl="0">
      <w:lvlJc w:val="left"/>
      <w:lvlText w:val="1"/>
      <w:numFmt w:val="bullet"/>
      <w:start w:val="1"/>
    </w:lvl>
  </w:abstractNum>
  <w:abstractNum w:abstractNumId="30">
    <w:nsid w:val="5072367"/>
    <w:multiLevelType w:val="hybridMultilevel"/>
    <w:lvl w:ilvl="0">
      <w:lvlJc w:val="left"/>
      <w:lvlText w:val="2"/>
      <w:numFmt w:val="bullet"/>
      <w:start w:val="1"/>
    </w:lvl>
  </w:abstractNum>
  <w:abstractNum w:abstractNumId="31">
    <w:nsid w:val="3804823E"/>
    <w:multiLevelType w:val="hybridMultilevel"/>
    <w:lvl w:ilvl="0">
      <w:lvlJc w:val="left"/>
      <w:lvlText w:val="3"/>
      <w:numFmt w:val="bullet"/>
      <w:start w:val="1"/>
    </w:lvl>
  </w:abstractNum>
  <w:abstractNum w:abstractNumId="32">
    <w:nsid w:val="77465F01"/>
    <w:multiLevelType w:val="hybridMultilevel"/>
    <w:lvl w:ilvl="0">
      <w:lvlJc w:val="left"/>
      <w:lvlText w:val="4"/>
      <w:numFmt w:val="bullet"/>
      <w:start w:val="1"/>
    </w:lvl>
  </w:abstractNum>
  <w:abstractNum w:abstractNumId="33">
    <w:nsid w:val="7724C67E"/>
    <w:multiLevelType w:val="hybridMultilevel"/>
    <w:lvl w:ilvl="0">
      <w:lvlJc w:val="left"/>
      <w:lvlText w:val="5"/>
      <w:numFmt w:val="bullet"/>
      <w:start w:val="1"/>
    </w:lvl>
  </w:abstractNum>
  <w:abstractNum w:abstractNumId="34">
    <w:nsid w:val="5C482A97"/>
    <w:multiLevelType w:val="hybridMultilevel"/>
    <w:lvl w:ilvl="0">
      <w:lvlJc w:val="left"/>
      <w:lvlText w:val="6"/>
      <w:numFmt w:val="bullet"/>
      <w:start w:val="1"/>
    </w:lvl>
  </w:abstractNum>
  <w:abstractNum w:abstractNumId="35">
    <w:nsid w:val="2463B9EA"/>
    <w:multiLevelType w:val="hybridMultilevel"/>
    <w:lvl w:ilvl="0">
      <w:lvlJc w:val="left"/>
      <w:lvlText w:val="7"/>
      <w:numFmt w:val="bullet"/>
      <w:start w:val="1"/>
    </w:lvl>
  </w:abstractNum>
  <w:abstractNum w:abstractNumId="36">
    <w:nsid w:val="5E884ADC"/>
    <w:multiLevelType w:val="hybridMultilevel"/>
    <w:lvl w:ilvl="0">
      <w:lvlJc w:val="left"/>
      <w:lvlText w:val="8"/>
      <w:numFmt w:val="bullet"/>
      <w:start w:val="1"/>
    </w:lvl>
  </w:abstractNum>
  <w:abstractNum w:abstractNumId="37">
    <w:nsid w:val="51EAD36B"/>
    <w:multiLevelType w:val="hybridMultilevel"/>
    <w:lvl w:ilvl="0">
      <w:lvlJc w:val="left"/>
      <w:lvlText w:val="9"/>
      <w:numFmt w:val="bullet"/>
      <w:start w:val="1"/>
    </w:lvl>
  </w:abstractNum>
  <w:abstractNum w:abstractNumId="38">
    <w:nsid w:val="2D517796"/>
    <w:multiLevelType w:val="hybridMultilevel"/>
    <w:lvl w:ilvl="0">
      <w:lvlJc w:val="left"/>
      <w:lvlText w:val="%1"/>
      <w:numFmt w:val="decimal"/>
      <w:start w:val="10"/>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2019-12-07T23:25:13Z</dcterms:created>
  <dcterms:modified xsi:type="dcterms:W3CDTF">2019-12-07T23:25:13Z</dcterms:modified>
</cp:coreProperties>
</file>